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CB5" w:rsidRDefault="00B87705" w14:paraId="03096C46" w14:textId="654C1F8D">
      <w:pPr>
        <w:jc w:val="center"/>
      </w:pPr>
      <w:r>
        <w:t xml:space="preserve">Possible </w:t>
      </w:r>
      <w:r w:rsidR="00A4241F">
        <w:t>172 FERC ¶ 61,247</w:t>
      </w:r>
    </w:p>
    <w:p w:rsidRPr="00395600" w:rsidR="00A054BC" w:rsidP="00FA595F" w:rsidRDefault="00A054BC" w14:paraId="294720A8" w14:textId="1A3855ED">
      <w:pPr>
        <w:jc w:val="center"/>
      </w:pPr>
      <w:r w:rsidRPr="00395600">
        <w:t>DEPARTMENT OF ENERGY</w:t>
      </w:r>
    </w:p>
    <w:p w:rsidRPr="00395600" w:rsidR="00A054BC" w:rsidP="002468EF" w:rsidRDefault="00FA595F" w14:paraId="28BC9AF5" w14:textId="3FE8A1BE">
      <w:pPr>
        <w:jc w:val="center"/>
      </w:pPr>
      <w:r w:rsidRPr="00395600">
        <w:t>FEDERAL ENERGY REGULATORY COMMISSION</w:t>
      </w:r>
    </w:p>
    <w:p w:rsidRPr="00395600" w:rsidR="00A054BC" w:rsidP="002468EF" w:rsidRDefault="00A054BC" w14:paraId="66917F3F" w14:textId="77777777">
      <w:pPr>
        <w:jc w:val="center"/>
      </w:pPr>
    </w:p>
    <w:p w:rsidRPr="00395600" w:rsidR="00A054BC" w:rsidP="002468EF" w:rsidRDefault="00A054BC" w14:paraId="76CB7058" w14:textId="69BD82ED">
      <w:pPr>
        <w:jc w:val="center"/>
      </w:pPr>
      <w:r w:rsidRPr="00395600">
        <w:t xml:space="preserve">18 CFR Part </w:t>
      </w:r>
      <w:r w:rsidR="007B7E51">
        <w:t>35</w:t>
      </w:r>
    </w:p>
    <w:p w:rsidRPr="00395600" w:rsidR="00A054BC" w:rsidP="002468EF" w:rsidRDefault="00A054BC" w14:paraId="75A1E5B6" w14:textId="77777777">
      <w:pPr>
        <w:jc w:val="center"/>
      </w:pPr>
    </w:p>
    <w:p w:rsidR="00A054BC" w:rsidP="002468EF" w:rsidRDefault="00A054BC" w14:paraId="5EF68029" w14:textId="1298E837">
      <w:pPr>
        <w:jc w:val="center"/>
      </w:pPr>
      <w:r w:rsidRPr="00395600">
        <w:t>[</w:t>
      </w:r>
      <w:r>
        <w:t>Docket No. RM18-9-000</w:t>
      </w:r>
      <w:r w:rsidRPr="00395600">
        <w:t>; Order No.</w:t>
      </w:r>
      <w:r>
        <w:t xml:space="preserve"> </w:t>
      </w:r>
      <w:r w:rsidR="00A70AB8">
        <w:t>2222</w:t>
      </w:r>
      <w:r w:rsidRPr="00395600">
        <w:t>]</w:t>
      </w:r>
    </w:p>
    <w:p w:rsidR="00A054BC" w:rsidP="002468EF" w:rsidRDefault="00A054BC" w14:paraId="319F8747" w14:textId="77777777">
      <w:pPr>
        <w:jc w:val="center"/>
      </w:pPr>
    </w:p>
    <w:p w:rsidR="00A054BC" w:rsidP="002468EF" w:rsidRDefault="00A054BC" w14:paraId="5015753A" w14:textId="77777777">
      <w:pPr>
        <w:jc w:val="center"/>
      </w:pPr>
      <w:r>
        <w:t>Participation of Distributed Energy Resource</w:t>
      </w:r>
    </w:p>
    <w:p w:rsidR="00A054BC" w:rsidP="002468EF" w:rsidRDefault="00A054BC" w14:paraId="623F0204" w14:textId="77777777">
      <w:pPr>
        <w:jc w:val="center"/>
      </w:pPr>
      <w:r>
        <w:t>Aggregations in Markets Operated by Regional</w:t>
      </w:r>
    </w:p>
    <w:p w:rsidR="00A054BC" w:rsidP="002468EF" w:rsidRDefault="00A054BC" w14:paraId="263D4C64" w14:textId="77777777">
      <w:pPr>
        <w:jc w:val="center"/>
      </w:pPr>
      <w:r>
        <w:t>Transmission Organizations and Independent System</w:t>
      </w:r>
    </w:p>
    <w:p w:rsidR="00A054BC" w:rsidP="002468EF" w:rsidRDefault="00A054BC" w14:paraId="18A85240" w14:textId="38C92C7C">
      <w:pPr>
        <w:jc w:val="center"/>
      </w:pPr>
      <w:r>
        <w:t>Operators</w:t>
      </w:r>
    </w:p>
    <w:p w:rsidR="00893879" w:rsidP="002468EF" w:rsidRDefault="00893879" w14:paraId="18BC535D" w14:textId="0BD6D7C0">
      <w:pPr>
        <w:jc w:val="center"/>
      </w:pPr>
    </w:p>
    <w:p w:rsidR="00893879" w:rsidP="00893879" w:rsidRDefault="00893879" w14:paraId="4C1FA6BC" w14:textId="742F7430">
      <w:pPr>
        <w:widowControl/>
        <w:jc w:val="center"/>
      </w:pPr>
      <w:r w:rsidRPr="00893879">
        <w:t>(Issued September 17, 2020)</w:t>
      </w:r>
    </w:p>
    <w:p w:rsidRPr="00395600" w:rsidR="00A054BC" w:rsidP="002468EF" w:rsidRDefault="00A054BC" w14:paraId="1248BA37" w14:textId="77777777"/>
    <w:p w:rsidRPr="00395600" w:rsidR="00A054BC" w:rsidP="002468EF" w:rsidRDefault="00A054BC" w14:paraId="0B1C9811" w14:textId="77777777">
      <w:pPr>
        <w:spacing w:after="260"/>
      </w:pPr>
      <w:r w:rsidRPr="00395600">
        <w:rPr>
          <w:u w:val="single"/>
        </w:rPr>
        <w:t>AGENCY</w:t>
      </w:r>
      <w:r w:rsidRPr="00395600">
        <w:t>:  Federal Energy Regulatory Commission.</w:t>
      </w:r>
    </w:p>
    <w:p w:rsidRPr="00395600" w:rsidR="00A054BC" w:rsidP="002468EF" w:rsidRDefault="00A054BC" w14:paraId="63026D9C" w14:textId="0AB7B453">
      <w:pPr>
        <w:spacing w:after="260"/>
      </w:pPr>
      <w:r w:rsidRPr="00395600">
        <w:rPr>
          <w:u w:val="single"/>
        </w:rPr>
        <w:t>ACTION</w:t>
      </w:r>
      <w:r w:rsidRPr="00395600">
        <w:t xml:space="preserve">:  Final </w:t>
      </w:r>
      <w:r w:rsidR="005E34B9">
        <w:t>r</w:t>
      </w:r>
      <w:r w:rsidRPr="00395600">
        <w:t>ule</w:t>
      </w:r>
      <w:r w:rsidR="00940B83">
        <w:t>.</w:t>
      </w:r>
    </w:p>
    <w:p w:rsidRPr="00395600" w:rsidR="00A054BC" w:rsidP="002468EF" w:rsidRDefault="00A054BC" w14:paraId="6F33E4AB" w14:textId="7C57519E">
      <w:pPr>
        <w:spacing w:line="480" w:lineRule="auto"/>
      </w:pPr>
      <w:r w:rsidRPr="00395600">
        <w:rPr>
          <w:u w:val="single"/>
        </w:rPr>
        <w:t>SUMMARY</w:t>
      </w:r>
      <w:r w:rsidRPr="00395600">
        <w:t xml:space="preserve">:  </w:t>
      </w:r>
      <w:r w:rsidRPr="004D7570" w:rsidR="004D7570">
        <w:t xml:space="preserve">The Federal Energy Regulatory Commission (Commission) is amending </w:t>
      </w:r>
      <w:bookmarkStart w:name="_Hlk35348031" w:id="0"/>
      <w:r w:rsidRPr="004D7570" w:rsidR="004D7570">
        <w:t xml:space="preserve">its regulations to remove barriers to the participation of distributed energy resource aggregations in the capacity, energy, and ancillary service markets operated by </w:t>
      </w:r>
      <w:r w:rsidR="004E6C9D">
        <w:t>R</w:t>
      </w:r>
      <w:r w:rsidRPr="004D7570" w:rsidR="004D7570">
        <w:t xml:space="preserve">egional </w:t>
      </w:r>
      <w:r w:rsidR="004E6C9D">
        <w:t>T</w:t>
      </w:r>
      <w:r w:rsidRPr="004D7570" w:rsidR="004D7570">
        <w:t xml:space="preserve">ransmission </w:t>
      </w:r>
      <w:r w:rsidR="004E6C9D">
        <w:t>O</w:t>
      </w:r>
      <w:r w:rsidRPr="004D7570" w:rsidR="004D7570">
        <w:t xml:space="preserve">rganizations and </w:t>
      </w:r>
      <w:r w:rsidR="004E6C9D">
        <w:t>I</w:t>
      </w:r>
      <w:r w:rsidRPr="004D7570" w:rsidR="004D7570">
        <w:t xml:space="preserve">ndependent </w:t>
      </w:r>
      <w:r w:rsidR="004E6C9D">
        <w:t>S</w:t>
      </w:r>
      <w:r w:rsidRPr="004D7570" w:rsidR="004D7570">
        <w:t xml:space="preserve">ystem </w:t>
      </w:r>
      <w:r w:rsidR="004E6C9D">
        <w:t>O</w:t>
      </w:r>
      <w:r w:rsidRPr="004D7570" w:rsidR="004D7570">
        <w:t>perators</w:t>
      </w:r>
      <w:r w:rsidR="00AA4D75">
        <w:t xml:space="preserve"> (RTO/ISO</w:t>
      </w:r>
      <w:r w:rsidR="005F01BC">
        <w:t>)</w:t>
      </w:r>
      <w:r w:rsidRPr="004D7570" w:rsidR="004D7570">
        <w:t>.</w:t>
      </w:r>
      <w:bookmarkEnd w:id="0"/>
    </w:p>
    <w:p w:rsidRPr="00395600" w:rsidR="00A054BC" w:rsidP="002468EF" w:rsidRDefault="00A054BC" w14:paraId="34D85CA6" w14:textId="0803354B">
      <w:pPr>
        <w:spacing w:line="480" w:lineRule="auto"/>
      </w:pPr>
      <w:r w:rsidRPr="00395600">
        <w:rPr>
          <w:u w:val="single"/>
        </w:rPr>
        <w:t>DATE</w:t>
      </w:r>
      <w:r w:rsidR="00716E30">
        <w:rPr>
          <w:u w:val="single"/>
        </w:rPr>
        <w:t>S</w:t>
      </w:r>
      <w:r w:rsidRPr="00395600">
        <w:t xml:space="preserve">: This rule will become effective </w:t>
      </w:r>
      <w:r w:rsidRPr="00395600">
        <w:rPr>
          <w:b/>
        </w:rPr>
        <w:t>[</w:t>
      </w:r>
      <w:r w:rsidRPr="00395600">
        <w:rPr>
          <w:b/>
        </w:rPr>
        <w:fldChar w:fldCharType="begin"/>
      </w:r>
      <w:r w:rsidRPr="00395600">
        <w:rPr>
          <w:b/>
        </w:rPr>
        <w:instrText xml:space="preserve"> MACROBUTTON  NoMacro Insert_Date </w:instrText>
      </w:r>
      <w:r w:rsidRPr="00395600">
        <w:fldChar w:fldCharType="end"/>
      </w:r>
      <w:r w:rsidRPr="00D63C15" w:rsidR="00BB6A9E">
        <w:rPr>
          <w:b/>
          <w:bCs/>
        </w:rPr>
        <w:t>60</w:t>
      </w:r>
      <w:r w:rsidR="00BB6A9E">
        <w:t xml:space="preserve"> </w:t>
      </w:r>
      <w:r w:rsidRPr="00395600">
        <w:rPr>
          <w:b/>
        </w:rPr>
        <w:t xml:space="preserve">days after </w:t>
      </w:r>
      <w:r w:rsidR="005E34B9">
        <w:rPr>
          <w:b/>
        </w:rPr>
        <w:t xml:space="preserve">date of </w:t>
      </w:r>
      <w:r w:rsidRPr="00395600">
        <w:rPr>
          <w:b/>
        </w:rPr>
        <w:t>publication in the FEDERAL REGISTER]</w:t>
      </w:r>
      <w:r w:rsidR="002A787C">
        <w:rPr>
          <w:b/>
        </w:rPr>
        <w:t xml:space="preserve">.  </w:t>
      </w:r>
      <w:r w:rsidR="006D5483">
        <w:t>E</w:t>
      </w:r>
      <w:r w:rsidRPr="00767729" w:rsidR="002A787C">
        <w:t xml:space="preserve">ach RTO/ISO </w:t>
      </w:r>
      <w:r w:rsidR="00A31DFE">
        <w:t>must</w:t>
      </w:r>
      <w:r w:rsidRPr="00767729" w:rsidR="002A787C">
        <w:t xml:space="preserve"> file the tariff changes needed to implement the requirements of this </w:t>
      </w:r>
      <w:r w:rsidR="005E34B9">
        <w:t>f</w:t>
      </w:r>
      <w:r w:rsidRPr="00767729" w:rsidR="002A787C">
        <w:t xml:space="preserve">inal </w:t>
      </w:r>
      <w:r w:rsidR="005E34B9">
        <w:t>r</w:t>
      </w:r>
      <w:r w:rsidRPr="00767729" w:rsidR="002A787C">
        <w:t xml:space="preserve">ule </w:t>
      </w:r>
      <w:r w:rsidR="00745F75">
        <w:t xml:space="preserve">by </w:t>
      </w:r>
      <w:r w:rsidRPr="00395600" w:rsidR="00745F75">
        <w:rPr>
          <w:b/>
        </w:rPr>
        <w:t>[</w:t>
      </w:r>
      <w:r w:rsidRPr="00395600" w:rsidR="00745F75">
        <w:rPr>
          <w:b/>
        </w:rPr>
        <w:fldChar w:fldCharType="begin"/>
      </w:r>
      <w:r w:rsidRPr="00395600" w:rsidR="00745F75">
        <w:rPr>
          <w:b/>
        </w:rPr>
        <w:instrText xml:space="preserve"> MACROBUTTON  NoMacro Insert_Date </w:instrText>
      </w:r>
      <w:r w:rsidRPr="00395600" w:rsidR="00745F75">
        <w:fldChar w:fldCharType="end"/>
      </w:r>
      <w:r w:rsidRPr="00767729" w:rsidR="002A787C">
        <w:t xml:space="preserve"> </w:t>
      </w:r>
      <w:r w:rsidR="002A787C">
        <w:rPr>
          <w:b/>
        </w:rPr>
        <w:t xml:space="preserve">270 </w:t>
      </w:r>
      <w:r w:rsidRPr="00395600" w:rsidR="002A787C">
        <w:rPr>
          <w:b/>
        </w:rPr>
        <w:t xml:space="preserve">days </w:t>
      </w:r>
      <w:r w:rsidRPr="00395600" w:rsidR="00745F75">
        <w:rPr>
          <w:b/>
        </w:rPr>
        <w:t>after</w:t>
      </w:r>
      <w:r w:rsidRPr="00395600" w:rsidR="002A787C">
        <w:rPr>
          <w:b/>
        </w:rPr>
        <w:t xml:space="preserve"> </w:t>
      </w:r>
      <w:r w:rsidR="005E34B9">
        <w:rPr>
          <w:b/>
        </w:rPr>
        <w:t xml:space="preserve">date of </w:t>
      </w:r>
      <w:r w:rsidRPr="00395600" w:rsidR="002A787C">
        <w:rPr>
          <w:b/>
        </w:rPr>
        <w:t xml:space="preserve">publication in the </w:t>
      </w:r>
      <w:r w:rsidRPr="00395600" w:rsidR="00745F75">
        <w:rPr>
          <w:b/>
        </w:rPr>
        <w:t>FEDERAL REGISTER]</w:t>
      </w:r>
      <w:r w:rsidR="002A787C">
        <w:t xml:space="preserve">.  </w:t>
      </w:r>
    </w:p>
    <w:p w:rsidR="00A054BC" w:rsidP="006764CF" w:rsidRDefault="00A054BC" w14:paraId="6B670EC4" w14:textId="77777777">
      <w:pPr>
        <w:pageBreakBefore/>
      </w:pPr>
      <w:r w:rsidRPr="00395600">
        <w:rPr>
          <w:u w:val="single"/>
        </w:rPr>
        <w:t>FOR FURTHER INFORMATION CONTACT</w:t>
      </w:r>
      <w:r w:rsidRPr="00395600">
        <w:t>:</w:t>
      </w:r>
    </w:p>
    <w:p w:rsidRPr="00395600" w:rsidR="00A054BC" w:rsidP="002468EF" w:rsidRDefault="00A054BC" w14:paraId="6BAE5376" w14:textId="77777777"/>
    <w:p w:rsidR="005765F9" w:rsidP="002468EF" w:rsidRDefault="00145F91" w14:paraId="711D8AC5" w14:textId="77777777">
      <w:r>
        <w:t>David Kathan</w:t>
      </w:r>
      <w:r w:rsidR="005765F9">
        <w:t xml:space="preserve"> (Technical Information)</w:t>
      </w:r>
    </w:p>
    <w:p w:rsidR="00C97E97" w:rsidP="002468EF" w:rsidRDefault="00C97E97" w14:paraId="4585873E" w14:textId="77777777">
      <w:r w:rsidRPr="00C97E97">
        <w:t xml:space="preserve">Office of Energy Policy and Innovation </w:t>
      </w:r>
    </w:p>
    <w:p w:rsidR="00C97E97" w:rsidP="002468EF" w:rsidRDefault="00C97E97" w14:paraId="2189773B" w14:textId="77777777">
      <w:r w:rsidRPr="00C97E97">
        <w:t xml:space="preserve">Federal Energy Regulatory Commission </w:t>
      </w:r>
    </w:p>
    <w:p w:rsidR="00DA159D" w:rsidP="002468EF" w:rsidRDefault="00C97E97" w14:paraId="03D2A60C" w14:textId="77777777">
      <w:r w:rsidRPr="00C97E97">
        <w:t xml:space="preserve">888 First Street, NE </w:t>
      </w:r>
    </w:p>
    <w:p w:rsidR="00DA159D" w:rsidP="002468EF" w:rsidRDefault="00C97E97" w14:paraId="5A4CE3D7" w14:textId="77777777">
      <w:r w:rsidRPr="00C97E97">
        <w:t xml:space="preserve">Washington, DC 20426 </w:t>
      </w:r>
    </w:p>
    <w:p w:rsidR="00A054BC" w:rsidP="002468EF" w:rsidRDefault="00C97E97" w14:paraId="37CBD26A" w14:textId="73A28262">
      <w:r w:rsidRPr="00C97E97">
        <w:t>(202) 502-</w:t>
      </w:r>
      <w:r w:rsidR="008541B8">
        <w:t>6404</w:t>
      </w:r>
    </w:p>
    <w:p w:rsidR="006764CF" w:rsidP="002468EF" w:rsidRDefault="006764CF" w14:paraId="3C70D653" w14:textId="77777777"/>
    <w:p w:rsidR="008541B8" w:rsidP="002468EF" w:rsidRDefault="008541B8" w14:paraId="39B4CB33" w14:textId="7E677ECC">
      <w:r>
        <w:t>Karin Herzfeld (Legal Information)</w:t>
      </w:r>
    </w:p>
    <w:p w:rsidR="009A5F19" w:rsidP="002468EF" w:rsidRDefault="009A5F19" w14:paraId="276A6B29" w14:textId="77777777">
      <w:r w:rsidRPr="009A5F19">
        <w:t xml:space="preserve">Office of General Counsel – Energy Markets </w:t>
      </w:r>
    </w:p>
    <w:p w:rsidR="009A5F19" w:rsidP="002468EF" w:rsidRDefault="009A5F19" w14:paraId="166B0ADC" w14:textId="77777777">
      <w:r w:rsidRPr="009A5F19">
        <w:t xml:space="preserve">Federal Energy Regulatory Commission </w:t>
      </w:r>
    </w:p>
    <w:p w:rsidR="009A5F19" w:rsidP="002468EF" w:rsidRDefault="009A5F19" w14:paraId="59AFE625" w14:textId="77777777">
      <w:r w:rsidRPr="009A5F19">
        <w:t xml:space="preserve">888 First Street, NE </w:t>
      </w:r>
    </w:p>
    <w:p w:rsidR="009A5F19" w:rsidP="002468EF" w:rsidRDefault="009A5F19" w14:paraId="11C153E3" w14:textId="77777777">
      <w:r w:rsidRPr="009A5F19">
        <w:t xml:space="preserve">Washington, DC 20426 </w:t>
      </w:r>
    </w:p>
    <w:p w:rsidR="008541B8" w:rsidP="002468EF" w:rsidRDefault="009A5F19" w14:paraId="1793ACD5" w14:textId="59CDF322">
      <w:r w:rsidRPr="009A5F19">
        <w:t>(202) 502-8</w:t>
      </w:r>
      <w:r w:rsidR="00EB733B">
        <w:t>459</w:t>
      </w:r>
    </w:p>
    <w:p w:rsidR="007F78D9" w:rsidP="002468EF" w:rsidRDefault="007F78D9" w14:paraId="4FF211CB" w14:textId="77777777"/>
    <w:p w:rsidRPr="00395600" w:rsidR="00A054BC" w:rsidP="002468EF" w:rsidRDefault="00A054BC" w14:paraId="21540D9E" w14:textId="72020682">
      <w:pPr>
        <w:sectPr w:rsidRPr="00395600" w:rsidR="00A054BC" w:rsidSect="00A054BC">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1440" w:gutter="0"/>
          <w:pgNumType w:fmt="lowerRoman" w:start="1"/>
          <w:cols w:space="720"/>
          <w:noEndnote/>
          <w:titlePg/>
          <w:docGrid w:linePitch="354"/>
        </w:sectPr>
      </w:pPr>
      <w:r w:rsidRPr="00395600">
        <w:rPr>
          <w:u w:val="single"/>
        </w:rPr>
        <w:t>SUPPLEMENTARY INFORMATION</w:t>
      </w:r>
      <w:r w:rsidRPr="00395600">
        <w:t>:</w:t>
      </w:r>
      <w:r w:rsidR="004D7570">
        <w:t xml:space="preserve">  </w:t>
      </w:r>
    </w:p>
    <w:p w:rsidRPr="00E417B1" w:rsidR="00E417B1" w:rsidP="002468EF" w:rsidRDefault="00E417B1" w14:paraId="113FDD9E" w14:textId="76090698">
      <w:pPr>
        <w:jc w:val="center"/>
      </w:pPr>
      <w:r>
        <w:t>172 FERC ¶ 61,247</w:t>
      </w:r>
    </w:p>
    <w:p w:rsidRPr="00395600" w:rsidR="00A054BC" w:rsidP="002468EF" w:rsidRDefault="00A054BC" w14:paraId="309B2976" w14:textId="6C8DA6AB">
      <w:pPr>
        <w:jc w:val="center"/>
      </w:pPr>
      <w:r w:rsidRPr="00395600">
        <w:t>UNITED STATES OF AMERICA</w:t>
      </w:r>
    </w:p>
    <w:p w:rsidRPr="00395600" w:rsidR="00A054BC" w:rsidP="002468EF" w:rsidRDefault="00A054BC" w14:paraId="4B925D26" w14:textId="77777777">
      <w:pPr>
        <w:jc w:val="center"/>
      </w:pPr>
      <w:r w:rsidRPr="00395600">
        <w:t>FEDERAL ENERGY REGULATORY COMMISSION</w:t>
      </w:r>
    </w:p>
    <w:p w:rsidRPr="00395600" w:rsidR="00A054BC" w:rsidP="002468EF" w:rsidRDefault="00A054BC" w14:paraId="490C4702" w14:textId="77777777"/>
    <w:p w:rsidRPr="00FA595F" w:rsidR="00A054BC" w:rsidP="00FA595F" w:rsidRDefault="00FA595F" w14:paraId="770CE726" w14:textId="0A7D50DB">
      <w:pPr>
        <w:widowControl/>
      </w:pPr>
      <w:r w:rsidRPr="00FA595F">
        <w:t>Before Commissioners:  Neil Chatterjee, Chairman;</w:t>
      </w:r>
    </w:p>
    <w:p w:rsidRPr="00FA595F" w:rsidR="00FA595F" w:rsidP="00FA595F" w:rsidRDefault="00FA595F" w14:paraId="04939723" w14:textId="5126CAE1">
      <w:pPr>
        <w:widowControl/>
      </w:pPr>
      <w:r w:rsidRPr="00FA595F">
        <w:t xml:space="preserve">                                        Richard Glick and James P. Danly.</w:t>
      </w:r>
    </w:p>
    <w:p w:rsidRPr="00395600" w:rsidR="00FA595F" w:rsidP="00FA595F" w:rsidRDefault="00FA595F" w14:paraId="5841F274" w14:textId="74FF2860">
      <w:pPr>
        <w:widowControl/>
      </w:pPr>
      <w:r w:rsidRPr="00FA595F">
        <w:t xml:space="preserve">                                        </w:t>
      </w:r>
    </w:p>
    <w:p w:rsidRPr="00395600" w:rsidR="00A054BC" w:rsidP="002468EF" w:rsidRDefault="00A054BC" w14:paraId="450C8B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928"/>
        <w:gridCol w:w="1812"/>
        <w:gridCol w:w="1620"/>
      </w:tblGrid>
      <w:tr w:rsidRPr="00395600" w:rsidR="00A054BC" w:rsidTr="00E417B1" w14:paraId="040E02E0" w14:textId="77777777">
        <w:tc>
          <w:tcPr>
            <w:tcW w:w="5928" w:type="dxa"/>
            <w:shd w:val="clear" w:color="auto" w:fill="auto"/>
          </w:tcPr>
          <w:p w:rsidR="00A054BC" w:rsidP="002468EF" w:rsidRDefault="00A054BC" w14:paraId="0D49C5FF" w14:textId="77777777">
            <w:pPr>
              <w:widowControl/>
              <w:autoSpaceDE/>
              <w:autoSpaceDN/>
              <w:adjustRightInd/>
              <w:rPr>
                <w:rFonts w:cstheme="minorBidi"/>
                <w:szCs w:val="22"/>
              </w:rPr>
            </w:pPr>
            <w:r>
              <w:rPr>
                <w:rFonts w:cstheme="minorBidi"/>
                <w:szCs w:val="22"/>
              </w:rPr>
              <w:t>Participation of Distributed Energy Resource</w:t>
            </w:r>
          </w:p>
          <w:p w:rsidR="00A054BC" w:rsidP="002468EF" w:rsidRDefault="00A054BC" w14:paraId="623D8F1E" w14:textId="77777777">
            <w:pPr>
              <w:widowControl/>
              <w:autoSpaceDE/>
              <w:autoSpaceDN/>
              <w:adjustRightInd/>
              <w:rPr>
                <w:rFonts w:cstheme="minorBidi"/>
                <w:szCs w:val="22"/>
              </w:rPr>
            </w:pPr>
            <w:r>
              <w:rPr>
                <w:rFonts w:cstheme="minorBidi"/>
                <w:szCs w:val="22"/>
              </w:rPr>
              <w:t>Aggregations in Markets Operated by Regional</w:t>
            </w:r>
          </w:p>
          <w:p w:rsidR="00A054BC" w:rsidP="002468EF" w:rsidRDefault="00A054BC" w14:paraId="6EA856AD" w14:textId="77777777">
            <w:pPr>
              <w:widowControl/>
              <w:autoSpaceDE/>
              <w:autoSpaceDN/>
              <w:adjustRightInd/>
              <w:rPr>
                <w:rFonts w:cstheme="minorBidi"/>
                <w:szCs w:val="22"/>
              </w:rPr>
            </w:pPr>
            <w:r>
              <w:rPr>
                <w:rFonts w:cstheme="minorBidi"/>
                <w:szCs w:val="22"/>
              </w:rPr>
              <w:t>Transmission Organizations and Independent System</w:t>
            </w:r>
          </w:p>
          <w:p w:rsidRPr="00395600" w:rsidR="00A054BC" w:rsidP="002468EF" w:rsidRDefault="00A054BC" w14:paraId="4B121073" w14:textId="77777777">
            <w:pPr>
              <w:widowControl/>
              <w:autoSpaceDE/>
              <w:autoSpaceDN/>
              <w:adjustRightInd/>
              <w:rPr>
                <w:rFonts w:cstheme="minorBidi"/>
                <w:szCs w:val="22"/>
              </w:rPr>
            </w:pPr>
            <w:r>
              <w:rPr>
                <w:rFonts w:cstheme="minorBidi"/>
                <w:szCs w:val="22"/>
              </w:rPr>
              <w:t>Operators</w:t>
            </w:r>
          </w:p>
        </w:tc>
        <w:tc>
          <w:tcPr>
            <w:tcW w:w="1812" w:type="dxa"/>
            <w:shd w:val="clear" w:color="auto" w:fill="auto"/>
          </w:tcPr>
          <w:p w:rsidRPr="00395600" w:rsidR="00A054BC" w:rsidP="00E417B1" w:rsidRDefault="00E417B1" w14:paraId="0F0DF14F" w14:textId="49BE8F73">
            <w:pPr>
              <w:widowControl/>
              <w:autoSpaceDE/>
              <w:autoSpaceDN/>
              <w:adjustRightInd/>
              <w:ind w:right="-105"/>
              <w:rPr>
                <w:rFonts w:cstheme="minorBidi"/>
                <w:szCs w:val="22"/>
              </w:rPr>
            </w:pPr>
            <w:r>
              <w:rPr>
                <w:rFonts w:cstheme="minorBidi"/>
                <w:szCs w:val="22"/>
              </w:rPr>
              <w:t xml:space="preserve">       </w:t>
            </w:r>
            <w:r w:rsidR="00A054BC">
              <w:rPr>
                <w:rFonts w:cstheme="minorBidi"/>
                <w:szCs w:val="22"/>
              </w:rPr>
              <w:t>Docket No.</w:t>
            </w:r>
          </w:p>
        </w:tc>
        <w:tc>
          <w:tcPr>
            <w:tcW w:w="1620" w:type="dxa"/>
            <w:shd w:val="clear" w:color="auto" w:fill="auto"/>
          </w:tcPr>
          <w:p w:rsidRPr="00395600" w:rsidR="00A054BC" w:rsidP="002468EF" w:rsidRDefault="00A054BC" w14:paraId="24EF1BE6" w14:textId="77777777">
            <w:pPr>
              <w:widowControl/>
              <w:autoSpaceDE/>
              <w:autoSpaceDN/>
              <w:adjustRightInd/>
              <w:rPr>
                <w:rFonts w:cstheme="minorBidi"/>
                <w:szCs w:val="22"/>
              </w:rPr>
            </w:pPr>
            <w:r>
              <w:rPr>
                <w:rFonts w:cstheme="minorBidi"/>
                <w:szCs w:val="22"/>
              </w:rPr>
              <w:t>RM18-9-000</w:t>
            </w:r>
          </w:p>
        </w:tc>
      </w:tr>
    </w:tbl>
    <w:p w:rsidRPr="00395600" w:rsidR="00A054BC" w:rsidP="002468EF" w:rsidRDefault="00A054BC" w14:paraId="5ED29440" w14:textId="77777777"/>
    <w:p w:rsidR="00A054BC" w:rsidP="002468EF" w:rsidRDefault="00A054BC" w14:paraId="4F8E55AF" w14:textId="15520CFD">
      <w:pPr>
        <w:jc w:val="center"/>
      </w:pPr>
      <w:r w:rsidRPr="00395600">
        <w:t>ORDER NO.</w:t>
      </w:r>
      <w:r>
        <w:t xml:space="preserve"> </w:t>
      </w:r>
      <w:r w:rsidR="005C523C">
        <w:t>2222</w:t>
      </w:r>
      <w:r>
        <w:t xml:space="preserve"> </w:t>
      </w:r>
    </w:p>
    <w:p w:rsidR="00A054BC" w:rsidP="002468EF" w:rsidRDefault="00A054BC" w14:paraId="2279ECC6" w14:textId="77777777">
      <w:pPr>
        <w:jc w:val="center"/>
      </w:pPr>
    </w:p>
    <w:p w:rsidR="00A054BC" w:rsidP="002468EF" w:rsidRDefault="00A054BC" w14:paraId="3A7D255F" w14:textId="77777777">
      <w:pPr>
        <w:jc w:val="center"/>
      </w:pPr>
      <w:r w:rsidRPr="00395600">
        <w:t>FINAL RULE</w:t>
      </w:r>
    </w:p>
    <w:p w:rsidR="00A054BC" w:rsidP="002468EF" w:rsidRDefault="00A054BC" w14:paraId="6E0F8540" w14:textId="77777777">
      <w:pPr>
        <w:jc w:val="center"/>
      </w:pPr>
    </w:p>
    <w:p w:rsidR="00A054BC" w:rsidP="00FA595F" w:rsidRDefault="00FA595F" w14:paraId="6477DCFD" w14:textId="1AB7D9D5">
      <w:pPr>
        <w:widowControl/>
        <w:jc w:val="center"/>
      </w:pPr>
      <w:r w:rsidRPr="00FA595F">
        <w:t>(Issued September 17, 2020)</w:t>
      </w:r>
    </w:p>
    <w:p w:rsidRPr="00FA595F" w:rsidR="00FA595F" w:rsidP="00FA595F" w:rsidRDefault="00FA595F" w14:paraId="1A2C7162" w14:textId="77777777">
      <w:pPr>
        <w:widowControl/>
      </w:pPr>
    </w:p>
    <w:p w:rsidR="00A054BC" w:rsidP="002468EF" w:rsidRDefault="00A054BC" w14:paraId="6565AFBF" w14:textId="77777777">
      <w:pPr>
        <w:jc w:val="center"/>
      </w:pPr>
    </w:p>
    <w:p w:rsidR="00A054BC" w:rsidP="002468EF" w:rsidRDefault="00A054BC" w14:paraId="09142A6D" w14:textId="77777777">
      <w:pPr>
        <w:jc w:val="center"/>
      </w:pPr>
      <w:r>
        <w:t>TABLE OF CONTENTS</w:t>
      </w:r>
    </w:p>
    <w:p w:rsidR="00A054BC" w:rsidP="002468EF" w:rsidRDefault="00A054BC" w14:paraId="65AC4A9F" w14:textId="77777777"/>
    <w:p w:rsidR="00A054BC" w:rsidP="002468EF" w:rsidRDefault="00A054BC" w14:paraId="1DB7AA5A" w14:textId="77777777">
      <w:pPr>
        <w:tabs>
          <w:tab w:val="right" w:pos="9360"/>
        </w:tabs>
      </w:pPr>
      <w:r>
        <w:tab/>
      </w:r>
      <w:r>
        <w:rPr>
          <w:u w:val="single"/>
        </w:rPr>
        <w:t>Paragraph Numbers</w:t>
      </w:r>
    </w:p>
    <w:p w:rsidR="00A054BC" w:rsidP="002468EF" w:rsidRDefault="00A054BC" w14:paraId="2A0F0A73" w14:textId="7F0BB39E">
      <w:pPr>
        <w:tabs>
          <w:tab w:val="right" w:pos="9360"/>
        </w:tabs>
      </w:pPr>
      <w:bookmarkStart w:name="_Start_TOC" w:id="1"/>
      <w:bookmarkEnd w:id="1"/>
    </w:p>
    <w:p w:rsidR="003A4678" w:rsidP="003A4678" w:rsidRDefault="003A4678" w14:paraId="7EF6A097" w14:textId="1C327EA2">
      <w:pPr>
        <w:pStyle w:val="myTOC1"/>
      </w:pPr>
      <w:r>
        <w:t>I. Introduction</w:t>
      </w:r>
      <w:r>
        <w:tab/>
      </w:r>
      <w:hyperlink w:history="1" w:anchor="_bmk1">
        <w:r>
          <w:rPr>
            <w:rStyle w:val="Hyperlink"/>
            <w:rFonts w:eastAsiaTheme="minorHAnsi"/>
            <w:szCs w:val="22"/>
          </w:rPr>
          <w:t>1.</w:t>
        </w:r>
      </w:hyperlink>
    </w:p>
    <w:p w:rsidR="003A4678" w:rsidP="003A4678" w:rsidRDefault="003A4678" w14:paraId="5830C86B" w14:textId="18C80B24">
      <w:pPr>
        <w:pStyle w:val="myTOC1"/>
      </w:pPr>
      <w:r>
        <w:t>II. Procedural History</w:t>
      </w:r>
      <w:r>
        <w:tab/>
      </w:r>
      <w:hyperlink w:history="1" w:anchor="_bmk2">
        <w:r>
          <w:rPr>
            <w:rStyle w:val="Hyperlink"/>
            <w:rFonts w:eastAsiaTheme="minorHAnsi"/>
            <w:szCs w:val="22"/>
          </w:rPr>
          <w:t>10.</w:t>
        </w:r>
      </w:hyperlink>
    </w:p>
    <w:p w:rsidR="003A4678" w:rsidP="003A4678" w:rsidRDefault="003A4678" w14:paraId="4D602BDC" w14:textId="54DFE695">
      <w:pPr>
        <w:pStyle w:val="myTOC1"/>
      </w:pPr>
      <w:r>
        <w:t>III. Need for Reform</w:t>
      </w:r>
      <w:r>
        <w:tab/>
      </w:r>
      <w:hyperlink w:history="1" w:anchor="_bmk3">
        <w:r>
          <w:rPr>
            <w:rStyle w:val="Hyperlink"/>
            <w:rFonts w:eastAsiaTheme="minorHAnsi"/>
            <w:szCs w:val="22"/>
          </w:rPr>
          <w:t>16.</w:t>
        </w:r>
      </w:hyperlink>
    </w:p>
    <w:p w:rsidR="003A4678" w:rsidP="003A4678" w:rsidRDefault="003A4678" w14:paraId="2C9DC1D0" w14:textId="4D892FE5">
      <w:pPr>
        <w:pStyle w:val="myTOC2"/>
      </w:pPr>
      <w:r>
        <w:t>A. Comments</w:t>
      </w:r>
      <w:r>
        <w:tab/>
      </w:r>
      <w:hyperlink w:history="1" w:anchor="_bmk4">
        <w:r>
          <w:rPr>
            <w:rStyle w:val="Hyperlink"/>
            <w:rFonts w:eastAsiaTheme="minorHAnsi"/>
            <w:szCs w:val="22"/>
          </w:rPr>
          <w:t>19.</w:t>
        </w:r>
      </w:hyperlink>
    </w:p>
    <w:p w:rsidR="003A4678" w:rsidP="003A4678" w:rsidRDefault="003A4678" w14:paraId="22FF356B" w14:textId="320B3468">
      <w:pPr>
        <w:pStyle w:val="myTOC2"/>
      </w:pPr>
      <w:r>
        <w:t>B. Commission Determination</w:t>
      </w:r>
      <w:r>
        <w:tab/>
      </w:r>
      <w:hyperlink w:history="1" w:anchor="_bmk5">
        <w:r>
          <w:rPr>
            <w:rStyle w:val="Hyperlink"/>
            <w:rFonts w:eastAsiaTheme="minorHAnsi"/>
            <w:szCs w:val="22"/>
          </w:rPr>
          <w:t>26.</w:t>
        </w:r>
      </w:hyperlink>
    </w:p>
    <w:p w:rsidR="003A4678" w:rsidP="003A4678" w:rsidRDefault="003A4678" w14:paraId="72E64BC0" w14:textId="40D20510">
      <w:pPr>
        <w:pStyle w:val="myTOC1"/>
      </w:pPr>
      <w:r>
        <w:t>IV. Discussion</w:t>
      </w:r>
      <w:r>
        <w:tab/>
      </w:r>
      <w:hyperlink w:history="1" w:anchor="_bmk6">
        <w:r>
          <w:rPr>
            <w:rStyle w:val="Hyperlink"/>
            <w:rFonts w:eastAsiaTheme="minorHAnsi"/>
            <w:szCs w:val="22"/>
          </w:rPr>
          <w:t>31.</w:t>
        </w:r>
      </w:hyperlink>
    </w:p>
    <w:p w:rsidR="003A4678" w:rsidP="003A4678" w:rsidRDefault="003A4678" w14:paraId="54192089" w14:textId="5FB7505B">
      <w:pPr>
        <w:pStyle w:val="myTOC2"/>
      </w:pPr>
      <w:r>
        <w:t>A. Commission Jurisdiction</w:t>
      </w:r>
      <w:r>
        <w:tab/>
      </w:r>
      <w:hyperlink w:history="1" w:anchor="_bmk7">
        <w:r>
          <w:rPr>
            <w:rStyle w:val="Hyperlink"/>
            <w:rFonts w:eastAsiaTheme="minorHAnsi"/>
            <w:szCs w:val="22"/>
          </w:rPr>
          <w:t>31.</w:t>
        </w:r>
      </w:hyperlink>
    </w:p>
    <w:p w:rsidR="003A4678" w:rsidP="003A4678" w:rsidRDefault="003A4678" w14:paraId="1692A7E0" w14:textId="538C03AF">
      <w:pPr>
        <w:pStyle w:val="myTOC3"/>
      </w:pPr>
      <w:r>
        <w:t>1. Scope of Final Rule</w:t>
      </w:r>
      <w:r>
        <w:tab/>
      </w:r>
      <w:hyperlink w:history="1" w:anchor="_bmk8">
        <w:r>
          <w:rPr>
            <w:rStyle w:val="Hyperlink"/>
            <w:rFonts w:eastAsiaTheme="minorHAnsi"/>
            <w:szCs w:val="22"/>
          </w:rPr>
          <w:t>31.</w:t>
        </w:r>
      </w:hyperlink>
    </w:p>
    <w:p w:rsidR="003A4678" w:rsidP="003A4678" w:rsidRDefault="003A4678" w14:paraId="3D7638F3" w14:textId="67527A01">
      <w:pPr>
        <w:pStyle w:val="myTOC4"/>
      </w:pPr>
      <w:r>
        <w:t>a. Comments</w:t>
      </w:r>
      <w:r>
        <w:tab/>
      </w:r>
      <w:hyperlink w:history="1" w:anchor="_bmk9">
        <w:r>
          <w:rPr>
            <w:rStyle w:val="Hyperlink"/>
            <w:rFonts w:eastAsiaTheme="minorHAnsi"/>
            <w:szCs w:val="22"/>
          </w:rPr>
          <w:t>32.</w:t>
        </w:r>
      </w:hyperlink>
    </w:p>
    <w:p w:rsidR="003A4678" w:rsidP="003A4678" w:rsidRDefault="003A4678" w14:paraId="621F580C" w14:textId="09CD5F0B">
      <w:pPr>
        <w:pStyle w:val="myTOC4"/>
      </w:pPr>
      <w:r>
        <w:t>b. Commission Determination</w:t>
      </w:r>
      <w:r>
        <w:tab/>
      </w:r>
      <w:hyperlink w:history="1" w:anchor="_bmk10">
        <w:r>
          <w:rPr>
            <w:rStyle w:val="Hyperlink"/>
            <w:rFonts w:eastAsiaTheme="minorHAnsi"/>
            <w:szCs w:val="22"/>
          </w:rPr>
          <w:t>38.</w:t>
        </w:r>
      </w:hyperlink>
    </w:p>
    <w:p w:rsidR="003A4678" w:rsidP="003A4678" w:rsidRDefault="003A4678" w14:paraId="26C3D176" w14:textId="4937B31A">
      <w:pPr>
        <w:pStyle w:val="myTOC3"/>
      </w:pPr>
      <w:r>
        <w:t>2. Opt-Out</w:t>
      </w:r>
      <w:r>
        <w:tab/>
      </w:r>
      <w:hyperlink w:history="1" w:anchor="_bmk11">
        <w:r>
          <w:rPr>
            <w:rStyle w:val="Hyperlink"/>
            <w:rFonts w:eastAsiaTheme="minorHAnsi"/>
            <w:szCs w:val="22"/>
          </w:rPr>
          <w:t>45.</w:t>
        </w:r>
      </w:hyperlink>
    </w:p>
    <w:p w:rsidR="003A4678" w:rsidP="003A4678" w:rsidRDefault="003A4678" w14:paraId="78DEB965" w14:textId="43C2D509">
      <w:pPr>
        <w:pStyle w:val="myTOC4"/>
      </w:pPr>
      <w:r>
        <w:t>a. Comments</w:t>
      </w:r>
      <w:r>
        <w:tab/>
      </w:r>
      <w:hyperlink w:history="1" w:anchor="_bmk12">
        <w:r>
          <w:rPr>
            <w:rStyle w:val="Hyperlink"/>
            <w:rFonts w:eastAsiaTheme="minorHAnsi"/>
            <w:szCs w:val="22"/>
          </w:rPr>
          <w:t>47.</w:t>
        </w:r>
      </w:hyperlink>
    </w:p>
    <w:p w:rsidR="003A4678" w:rsidP="003A4678" w:rsidRDefault="003A4678" w14:paraId="247388CC" w14:textId="39053E9E">
      <w:pPr>
        <w:pStyle w:val="myTOC4"/>
      </w:pPr>
      <w:r>
        <w:t>b. Commission Determination</w:t>
      </w:r>
      <w:r>
        <w:tab/>
      </w:r>
      <w:hyperlink w:history="1" w:anchor="_bmk13">
        <w:r>
          <w:rPr>
            <w:rStyle w:val="Hyperlink"/>
            <w:rFonts w:eastAsiaTheme="minorHAnsi"/>
            <w:szCs w:val="22"/>
          </w:rPr>
          <w:t>56.</w:t>
        </w:r>
      </w:hyperlink>
    </w:p>
    <w:p w:rsidR="003A4678" w:rsidP="003A4678" w:rsidRDefault="003A4678" w14:paraId="194012C9" w14:textId="746FC50A">
      <w:pPr>
        <w:pStyle w:val="myTOC3"/>
      </w:pPr>
      <w:r>
        <w:t>3. Interconnection</w:t>
      </w:r>
      <w:r>
        <w:tab/>
      </w:r>
      <w:hyperlink w:history="1" w:anchor="_bmk14">
        <w:r>
          <w:rPr>
            <w:rStyle w:val="Hyperlink"/>
            <w:rFonts w:eastAsiaTheme="minorHAnsi"/>
            <w:szCs w:val="22"/>
          </w:rPr>
          <w:t>68.</w:t>
        </w:r>
      </w:hyperlink>
    </w:p>
    <w:p w:rsidR="003A4678" w:rsidP="003A4678" w:rsidRDefault="003A4678" w14:paraId="7EE6F974" w14:textId="3789768D">
      <w:pPr>
        <w:pStyle w:val="myTOC4"/>
      </w:pPr>
      <w:r>
        <w:t>a. Comments and Data Request Responses</w:t>
      </w:r>
      <w:r>
        <w:tab/>
      </w:r>
      <w:hyperlink w:history="1" w:anchor="_bmk15">
        <w:r>
          <w:rPr>
            <w:rStyle w:val="Hyperlink"/>
            <w:rFonts w:eastAsiaTheme="minorHAnsi"/>
            <w:szCs w:val="22"/>
          </w:rPr>
          <w:t>70.</w:t>
        </w:r>
      </w:hyperlink>
    </w:p>
    <w:p w:rsidR="003A4678" w:rsidP="003A4678" w:rsidRDefault="003A4678" w14:paraId="2F95C38F" w14:textId="6A9FE2D1">
      <w:pPr>
        <w:pStyle w:val="myTOC4"/>
      </w:pPr>
      <w:r>
        <w:t>b. Commission Determination</w:t>
      </w:r>
      <w:r>
        <w:tab/>
      </w:r>
      <w:hyperlink w:history="1" w:anchor="_bmk16">
        <w:r>
          <w:rPr>
            <w:rStyle w:val="Hyperlink"/>
            <w:rFonts w:eastAsiaTheme="minorHAnsi"/>
            <w:szCs w:val="22"/>
          </w:rPr>
          <w:t>90.</w:t>
        </w:r>
      </w:hyperlink>
    </w:p>
    <w:p w:rsidR="003A4678" w:rsidP="003A4678" w:rsidRDefault="003A4678" w14:paraId="12CD5F8B" w14:textId="626839F4">
      <w:pPr>
        <w:pStyle w:val="myTOC2"/>
      </w:pPr>
      <w:r>
        <w:t>B. Definitions of Distributed Energy Resource and Distributed Energy Resource Aggregator</w:t>
      </w:r>
      <w:r>
        <w:tab/>
      </w:r>
      <w:hyperlink w:history="1" w:anchor="_bmk17">
        <w:r>
          <w:rPr>
            <w:rStyle w:val="Hyperlink"/>
            <w:rFonts w:eastAsiaTheme="minorHAnsi"/>
            <w:szCs w:val="22"/>
          </w:rPr>
          <w:t>105.</w:t>
        </w:r>
      </w:hyperlink>
    </w:p>
    <w:p w:rsidR="003A4678" w:rsidP="003A4678" w:rsidRDefault="003A4678" w14:paraId="5384259F" w14:textId="4D099312">
      <w:pPr>
        <w:pStyle w:val="myTOC3"/>
      </w:pPr>
      <w:r>
        <w:t>1. NOPR Proposal</w:t>
      </w:r>
      <w:r>
        <w:tab/>
      </w:r>
      <w:hyperlink w:history="1" w:anchor="_bmk18">
        <w:r>
          <w:rPr>
            <w:rStyle w:val="Hyperlink"/>
            <w:rFonts w:eastAsiaTheme="minorHAnsi"/>
            <w:szCs w:val="22"/>
          </w:rPr>
          <w:t>105.</w:t>
        </w:r>
      </w:hyperlink>
    </w:p>
    <w:p w:rsidR="003A4678" w:rsidP="003A4678" w:rsidRDefault="003A4678" w14:paraId="035C09EF" w14:textId="20824BEE">
      <w:pPr>
        <w:pStyle w:val="myTOC3"/>
      </w:pPr>
      <w:r>
        <w:t>2. Comments</w:t>
      </w:r>
      <w:r>
        <w:tab/>
      </w:r>
      <w:hyperlink w:history="1" w:anchor="_bmk19">
        <w:r>
          <w:rPr>
            <w:rStyle w:val="Hyperlink"/>
            <w:rFonts w:eastAsiaTheme="minorHAnsi"/>
            <w:szCs w:val="22"/>
          </w:rPr>
          <w:t>106.</w:t>
        </w:r>
      </w:hyperlink>
    </w:p>
    <w:p w:rsidR="003A4678" w:rsidP="003A4678" w:rsidRDefault="003A4678" w14:paraId="41A7A0D5" w14:textId="2D703F95">
      <w:pPr>
        <w:pStyle w:val="myTOC3"/>
      </w:pPr>
      <w:r>
        <w:t>3. Commission Determination</w:t>
      </w:r>
      <w:r>
        <w:tab/>
      </w:r>
      <w:hyperlink w:history="1" w:anchor="_bmk20">
        <w:r>
          <w:rPr>
            <w:rStyle w:val="Hyperlink"/>
            <w:rFonts w:eastAsiaTheme="minorHAnsi"/>
            <w:szCs w:val="22"/>
          </w:rPr>
          <w:t>114.</w:t>
        </w:r>
      </w:hyperlink>
    </w:p>
    <w:p w:rsidR="003A4678" w:rsidP="003A4678" w:rsidRDefault="003A4678" w14:paraId="4643F3E5" w14:textId="74327AB8">
      <w:pPr>
        <w:pStyle w:val="myTOC2"/>
      </w:pPr>
      <w:r>
        <w:t>C. Eligibility to Participate in RTO/ISO Markets through a Distributed Energy Resource Aggregator</w:t>
      </w:r>
      <w:r>
        <w:tab/>
      </w:r>
      <w:hyperlink w:history="1" w:anchor="_bmk21">
        <w:r>
          <w:rPr>
            <w:rStyle w:val="Hyperlink"/>
            <w:rFonts w:eastAsiaTheme="minorHAnsi"/>
            <w:szCs w:val="22"/>
          </w:rPr>
          <w:t>119.</w:t>
        </w:r>
      </w:hyperlink>
    </w:p>
    <w:p w:rsidR="003A4678" w:rsidP="003A4678" w:rsidRDefault="003A4678" w14:paraId="4F9AD190" w14:textId="1C1F031F">
      <w:pPr>
        <w:pStyle w:val="myTOC3"/>
      </w:pPr>
      <w:r>
        <w:t>1. Participation Model</w:t>
      </w:r>
      <w:r>
        <w:tab/>
      </w:r>
      <w:hyperlink w:history="1" w:anchor="_bmk22">
        <w:r>
          <w:rPr>
            <w:rStyle w:val="Hyperlink"/>
            <w:rFonts w:eastAsiaTheme="minorHAnsi"/>
            <w:szCs w:val="22"/>
          </w:rPr>
          <w:t>119.</w:t>
        </w:r>
      </w:hyperlink>
    </w:p>
    <w:p w:rsidR="003A4678" w:rsidP="003A4678" w:rsidRDefault="003A4678" w14:paraId="6CC789F6" w14:textId="17DF6B09">
      <w:pPr>
        <w:pStyle w:val="myTOC4"/>
      </w:pPr>
      <w:r>
        <w:t>a. NOPR Proposal</w:t>
      </w:r>
      <w:r>
        <w:tab/>
      </w:r>
      <w:hyperlink w:history="1" w:anchor="_bmk23">
        <w:r>
          <w:rPr>
            <w:rStyle w:val="Hyperlink"/>
            <w:rFonts w:eastAsiaTheme="minorHAnsi"/>
            <w:szCs w:val="22"/>
          </w:rPr>
          <w:t>119.</w:t>
        </w:r>
      </w:hyperlink>
    </w:p>
    <w:p w:rsidR="003A4678" w:rsidP="003A4678" w:rsidRDefault="003A4678" w14:paraId="7119FEA0" w14:textId="44EBBE65">
      <w:pPr>
        <w:pStyle w:val="myTOC4"/>
      </w:pPr>
      <w:r>
        <w:t>b. Comments</w:t>
      </w:r>
      <w:r>
        <w:tab/>
      </w:r>
      <w:hyperlink w:history="1" w:anchor="_bmk24">
        <w:r>
          <w:rPr>
            <w:rStyle w:val="Hyperlink"/>
            <w:rFonts w:eastAsiaTheme="minorHAnsi"/>
            <w:szCs w:val="22"/>
          </w:rPr>
          <w:t>120.</w:t>
        </w:r>
      </w:hyperlink>
    </w:p>
    <w:p w:rsidR="003A4678" w:rsidP="003A4678" w:rsidRDefault="003A4678" w14:paraId="22F40EA2" w14:textId="5B98D5E2">
      <w:pPr>
        <w:pStyle w:val="myTOC4"/>
      </w:pPr>
      <w:r>
        <w:t>c. Commission Determination</w:t>
      </w:r>
      <w:r>
        <w:tab/>
      </w:r>
      <w:hyperlink w:history="1" w:anchor="_bmk25">
        <w:r>
          <w:rPr>
            <w:rStyle w:val="Hyperlink"/>
            <w:rFonts w:eastAsiaTheme="minorHAnsi"/>
            <w:szCs w:val="22"/>
          </w:rPr>
          <w:t>129.</w:t>
        </w:r>
      </w:hyperlink>
    </w:p>
    <w:p w:rsidR="003A4678" w:rsidP="003A4678" w:rsidRDefault="003A4678" w14:paraId="11522CE0" w14:textId="7645F0BF">
      <w:pPr>
        <w:pStyle w:val="myTOC3"/>
      </w:pPr>
      <w:r>
        <w:t>2. Types of Technologies</w:t>
      </w:r>
      <w:r>
        <w:tab/>
      </w:r>
      <w:hyperlink w:history="1" w:anchor="_bmk26">
        <w:r>
          <w:rPr>
            <w:rStyle w:val="Hyperlink"/>
            <w:rFonts w:eastAsiaTheme="minorHAnsi"/>
            <w:szCs w:val="22"/>
          </w:rPr>
          <w:t>133.</w:t>
        </w:r>
      </w:hyperlink>
    </w:p>
    <w:p w:rsidR="003A4678" w:rsidP="003A4678" w:rsidRDefault="003A4678" w14:paraId="7431D5A8" w14:textId="775878F6">
      <w:pPr>
        <w:pStyle w:val="myTOC4"/>
      </w:pPr>
      <w:r>
        <w:t>a. NOPR Proposal</w:t>
      </w:r>
      <w:r>
        <w:tab/>
      </w:r>
      <w:hyperlink w:history="1" w:anchor="_bmk27">
        <w:r>
          <w:rPr>
            <w:rStyle w:val="Hyperlink"/>
            <w:rFonts w:eastAsiaTheme="minorHAnsi"/>
            <w:szCs w:val="22"/>
          </w:rPr>
          <w:t>133.</w:t>
        </w:r>
      </w:hyperlink>
    </w:p>
    <w:p w:rsidR="003A4678" w:rsidP="003A4678" w:rsidRDefault="003A4678" w14:paraId="18255EDE" w14:textId="2822C88A">
      <w:pPr>
        <w:pStyle w:val="myTOC4"/>
      </w:pPr>
      <w:r>
        <w:t>b. Comments</w:t>
      </w:r>
      <w:r>
        <w:tab/>
      </w:r>
      <w:hyperlink w:history="1" w:anchor="_bmk28">
        <w:r>
          <w:rPr>
            <w:rStyle w:val="Hyperlink"/>
            <w:rFonts w:eastAsiaTheme="minorHAnsi"/>
            <w:szCs w:val="22"/>
          </w:rPr>
          <w:t>135.</w:t>
        </w:r>
      </w:hyperlink>
    </w:p>
    <w:p w:rsidR="003A4678" w:rsidP="003A4678" w:rsidRDefault="003A4678" w14:paraId="59743118" w14:textId="47ED3865">
      <w:pPr>
        <w:pStyle w:val="myTOC4"/>
      </w:pPr>
      <w:r>
        <w:t>c. Commission Determination</w:t>
      </w:r>
      <w:r>
        <w:tab/>
      </w:r>
      <w:hyperlink w:history="1" w:anchor="_bmk29">
        <w:r>
          <w:rPr>
            <w:rStyle w:val="Hyperlink"/>
            <w:rFonts w:eastAsiaTheme="minorHAnsi"/>
            <w:szCs w:val="22"/>
          </w:rPr>
          <w:t>141.</w:t>
        </w:r>
      </w:hyperlink>
    </w:p>
    <w:p w:rsidR="003A4678" w:rsidP="003A4678" w:rsidRDefault="003A4678" w14:paraId="72996191" w14:textId="03625B3D">
      <w:pPr>
        <w:pStyle w:val="myTOC3"/>
      </w:pPr>
      <w:r>
        <w:t>3. Double Counting of Services</w:t>
      </w:r>
      <w:r>
        <w:tab/>
      </w:r>
      <w:hyperlink w:history="1" w:anchor="_bmk30">
        <w:r>
          <w:rPr>
            <w:rStyle w:val="Hyperlink"/>
            <w:rFonts w:eastAsiaTheme="minorHAnsi"/>
            <w:szCs w:val="22"/>
          </w:rPr>
          <w:t>147.</w:t>
        </w:r>
      </w:hyperlink>
    </w:p>
    <w:p w:rsidR="003A4678" w:rsidP="003A4678" w:rsidRDefault="003A4678" w14:paraId="6F52EECD" w14:textId="29FE97DA">
      <w:pPr>
        <w:pStyle w:val="myTOC4"/>
      </w:pPr>
      <w:r>
        <w:t>a. NOPR Proposal</w:t>
      </w:r>
      <w:r>
        <w:tab/>
      </w:r>
      <w:hyperlink w:history="1" w:anchor="_bmk31">
        <w:r>
          <w:rPr>
            <w:rStyle w:val="Hyperlink"/>
            <w:rFonts w:eastAsiaTheme="minorHAnsi"/>
            <w:szCs w:val="22"/>
          </w:rPr>
          <w:t>147.</w:t>
        </w:r>
      </w:hyperlink>
    </w:p>
    <w:p w:rsidR="003A4678" w:rsidP="003A4678" w:rsidRDefault="003A4678" w14:paraId="2714467C" w14:textId="0EB5FB06">
      <w:pPr>
        <w:pStyle w:val="myTOC4"/>
      </w:pPr>
      <w:r>
        <w:t>b. Comments</w:t>
      </w:r>
      <w:r>
        <w:tab/>
      </w:r>
      <w:hyperlink w:history="1" w:anchor="_bmk32">
        <w:r>
          <w:rPr>
            <w:rStyle w:val="Hyperlink"/>
            <w:rFonts w:eastAsiaTheme="minorHAnsi"/>
            <w:szCs w:val="22"/>
          </w:rPr>
          <w:t>148.</w:t>
        </w:r>
      </w:hyperlink>
    </w:p>
    <w:p w:rsidR="003A4678" w:rsidP="003A4678" w:rsidRDefault="003A4678" w14:paraId="766BCB5A" w14:textId="71674B76">
      <w:pPr>
        <w:pStyle w:val="myTOC4"/>
      </w:pPr>
      <w:r>
        <w:t>c. Commission Determination</w:t>
      </w:r>
      <w:r>
        <w:tab/>
      </w:r>
      <w:hyperlink w:history="1" w:anchor="_bmk33">
        <w:r>
          <w:rPr>
            <w:rStyle w:val="Hyperlink"/>
            <w:rFonts w:eastAsiaTheme="minorHAnsi"/>
            <w:szCs w:val="22"/>
          </w:rPr>
          <w:t>159.</w:t>
        </w:r>
      </w:hyperlink>
    </w:p>
    <w:p w:rsidR="003A4678" w:rsidP="003A4678" w:rsidRDefault="003A4678" w14:paraId="22C6D1C0" w14:textId="1E23870F">
      <w:pPr>
        <w:pStyle w:val="myTOC3"/>
      </w:pPr>
      <w:r>
        <w:t>4. Minimum and Maximum Size of Aggregation</w:t>
      </w:r>
      <w:r>
        <w:tab/>
      </w:r>
      <w:hyperlink w:history="1" w:anchor="_bmk34">
        <w:r>
          <w:rPr>
            <w:rStyle w:val="Hyperlink"/>
            <w:rFonts w:eastAsiaTheme="minorHAnsi"/>
            <w:szCs w:val="22"/>
          </w:rPr>
          <w:t>165.</w:t>
        </w:r>
      </w:hyperlink>
    </w:p>
    <w:p w:rsidR="003A4678" w:rsidP="003A4678" w:rsidRDefault="003A4678" w14:paraId="54010737" w14:textId="311E3B37">
      <w:pPr>
        <w:pStyle w:val="myTOC4"/>
      </w:pPr>
      <w:r>
        <w:t>a. NOPR Proposal</w:t>
      </w:r>
      <w:r>
        <w:tab/>
      </w:r>
      <w:hyperlink w:history="1" w:anchor="_bmk35">
        <w:r>
          <w:rPr>
            <w:rStyle w:val="Hyperlink"/>
            <w:rFonts w:eastAsiaTheme="minorHAnsi"/>
            <w:szCs w:val="22"/>
          </w:rPr>
          <w:t>165.</w:t>
        </w:r>
      </w:hyperlink>
    </w:p>
    <w:p w:rsidR="003A4678" w:rsidP="003A4678" w:rsidRDefault="003A4678" w14:paraId="6FD27FB3" w14:textId="49ECDC97">
      <w:pPr>
        <w:pStyle w:val="myTOC4"/>
      </w:pPr>
      <w:r>
        <w:t>b. Comments</w:t>
      </w:r>
      <w:r>
        <w:tab/>
      </w:r>
      <w:hyperlink w:history="1" w:anchor="_bmk36">
        <w:r>
          <w:rPr>
            <w:rStyle w:val="Hyperlink"/>
            <w:rFonts w:eastAsiaTheme="minorHAnsi"/>
            <w:szCs w:val="22"/>
          </w:rPr>
          <w:t>167.</w:t>
        </w:r>
      </w:hyperlink>
    </w:p>
    <w:p w:rsidR="003A4678" w:rsidP="003A4678" w:rsidRDefault="003A4678" w14:paraId="1ED76B91" w14:textId="446D312A">
      <w:pPr>
        <w:pStyle w:val="myTOC4"/>
      </w:pPr>
      <w:r>
        <w:t>c. Commission Determination</w:t>
      </w:r>
      <w:r>
        <w:tab/>
      </w:r>
      <w:hyperlink w:history="1" w:anchor="_bmk37">
        <w:r>
          <w:rPr>
            <w:rStyle w:val="Hyperlink"/>
            <w:rFonts w:eastAsiaTheme="minorHAnsi"/>
            <w:szCs w:val="22"/>
          </w:rPr>
          <w:t>171.</w:t>
        </w:r>
      </w:hyperlink>
    </w:p>
    <w:p w:rsidR="003A4678" w:rsidP="003A4678" w:rsidRDefault="003A4678" w14:paraId="2C03ED01" w14:textId="624728A5">
      <w:pPr>
        <w:pStyle w:val="myTOC3"/>
      </w:pPr>
      <w:r>
        <w:t>5. Minimum and Maximum Capacity Requirements for Distributed Energy Resources Participating in an Aggregation</w:t>
      </w:r>
      <w:r>
        <w:tab/>
      </w:r>
      <w:hyperlink w:history="1" w:anchor="_bmk38">
        <w:r>
          <w:rPr>
            <w:rStyle w:val="Hyperlink"/>
            <w:rFonts w:eastAsiaTheme="minorHAnsi"/>
            <w:szCs w:val="22"/>
          </w:rPr>
          <w:t>175.</w:t>
        </w:r>
      </w:hyperlink>
    </w:p>
    <w:p w:rsidR="003A4678" w:rsidP="003A4678" w:rsidRDefault="003A4678" w14:paraId="5EEF3CF9" w14:textId="7DEB33FF">
      <w:pPr>
        <w:pStyle w:val="myTOC4"/>
      </w:pPr>
      <w:r>
        <w:t>a. NOPR Proposal</w:t>
      </w:r>
      <w:r>
        <w:tab/>
      </w:r>
      <w:hyperlink w:history="1" w:anchor="_bmk39">
        <w:r>
          <w:rPr>
            <w:rStyle w:val="Hyperlink"/>
            <w:rFonts w:eastAsiaTheme="minorHAnsi"/>
            <w:szCs w:val="22"/>
          </w:rPr>
          <w:t>175.</w:t>
        </w:r>
      </w:hyperlink>
    </w:p>
    <w:p w:rsidR="003A4678" w:rsidP="003A4678" w:rsidRDefault="003A4678" w14:paraId="4336C1BC" w14:textId="4F6B17B7">
      <w:pPr>
        <w:pStyle w:val="myTOC4"/>
      </w:pPr>
      <w:r>
        <w:t>b. Comments</w:t>
      </w:r>
      <w:r>
        <w:tab/>
      </w:r>
      <w:hyperlink w:history="1" w:anchor="_bmk40">
        <w:r>
          <w:rPr>
            <w:rStyle w:val="Hyperlink"/>
            <w:rFonts w:eastAsiaTheme="minorHAnsi"/>
            <w:szCs w:val="22"/>
          </w:rPr>
          <w:t>176.</w:t>
        </w:r>
      </w:hyperlink>
    </w:p>
    <w:p w:rsidR="003A4678" w:rsidP="003A4678" w:rsidRDefault="003A4678" w14:paraId="5A79A909" w14:textId="4C6355DA">
      <w:pPr>
        <w:pStyle w:val="myTOC4"/>
      </w:pPr>
      <w:r>
        <w:t>c. Commission Determination</w:t>
      </w:r>
      <w:r>
        <w:tab/>
      </w:r>
      <w:hyperlink w:history="1" w:anchor="_bmk41">
        <w:r>
          <w:rPr>
            <w:rStyle w:val="Hyperlink"/>
            <w:rFonts w:eastAsiaTheme="minorHAnsi"/>
            <w:szCs w:val="22"/>
          </w:rPr>
          <w:t>179.</w:t>
        </w:r>
      </w:hyperlink>
    </w:p>
    <w:p w:rsidR="003A4678" w:rsidP="003A4678" w:rsidRDefault="003A4678" w14:paraId="19E17579" w14:textId="75A5BCC1">
      <w:pPr>
        <w:pStyle w:val="myTOC3"/>
      </w:pPr>
      <w:r>
        <w:t>6. Single Resource Aggregation</w:t>
      </w:r>
      <w:r>
        <w:tab/>
      </w:r>
      <w:hyperlink w:history="1" w:anchor="_bmk42">
        <w:r>
          <w:rPr>
            <w:rStyle w:val="Hyperlink"/>
            <w:rFonts w:eastAsiaTheme="minorHAnsi"/>
            <w:szCs w:val="22"/>
          </w:rPr>
          <w:t>182.</w:t>
        </w:r>
      </w:hyperlink>
    </w:p>
    <w:p w:rsidR="003A4678" w:rsidP="003A4678" w:rsidRDefault="003A4678" w14:paraId="72471CD0" w14:textId="2A27C124">
      <w:pPr>
        <w:pStyle w:val="myTOC4"/>
      </w:pPr>
      <w:r>
        <w:t>a. NOPR Proposal</w:t>
      </w:r>
      <w:r>
        <w:tab/>
      </w:r>
      <w:hyperlink w:history="1" w:anchor="_bmk43">
        <w:r>
          <w:rPr>
            <w:rStyle w:val="Hyperlink"/>
            <w:rFonts w:eastAsiaTheme="minorHAnsi"/>
            <w:szCs w:val="22"/>
          </w:rPr>
          <w:t>182.</w:t>
        </w:r>
      </w:hyperlink>
    </w:p>
    <w:p w:rsidR="003A4678" w:rsidP="003A4678" w:rsidRDefault="003A4678" w14:paraId="5229582C" w14:textId="71BE94AE">
      <w:pPr>
        <w:pStyle w:val="myTOC4"/>
      </w:pPr>
      <w:r>
        <w:t>b. Comments</w:t>
      </w:r>
      <w:r>
        <w:tab/>
      </w:r>
      <w:hyperlink w:history="1" w:anchor="_bmk44">
        <w:r>
          <w:rPr>
            <w:rStyle w:val="Hyperlink"/>
            <w:rFonts w:eastAsiaTheme="minorHAnsi"/>
            <w:szCs w:val="22"/>
          </w:rPr>
          <w:t>183.</w:t>
        </w:r>
      </w:hyperlink>
    </w:p>
    <w:p w:rsidR="003A4678" w:rsidP="003A4678" w:rsidRDefault="003A4678" w14:paraId="375AD7F0" w14:textId="727E74DF">
      <w:pPr>
        <w:pStyle w:val="myTOC4"/>
      </w:pPr>
      <w:r>
        <w:t>c. Commission Determination</w:t>
      </w:r>
      <w:r>
        <w:tab/>
      </w:r>
      <w:hyperlink w:history="1" w:anchor="_bmk45">
        <w:r>
          <w:rPr>
            <w:rStyle w:val="Hyperlink"/>
            <w:rFonts w:eastAsiaTheme="minorHAnsi"/>
            <w:szCs w:val="22"/>
          </w:rPr>
          <w:t>185.</w:t>
        </w:r>
      </w:hyperlink>
    </w:p>
    <w:p w:rsidR="003A4678" w:rsidP="003A4678" w:rsidRDefault="003A4678" w14:paraId="785672F7" w14:textId="57ECB2EC">
      <w:pPr>
        <w:pStyle w:val="myTOC2"/>
      </w:pPr>
      <w:r>
        <w:t>D. Locational Requirements</w:t>
      </w:r>
      <w:r>
        <w:tab/>
      </w:r>
      <w:hyperlink w:history="1" w:anchor="_bmk46">
        <w:r>
          <w:rPr>
            <w:rStyle w:val="Hyperlink"/>
            <w:rFonts w:eastAsiaTheme="minorHAnsi"/>
            <w:szCs w:val="22"/>
          </w:rPr>
          <w:t>187.</w:t>
        </w:r>
      </w:hyperlink>
    </w:p>
    <w:p w:rsidR="003A4678" w:rsidP="003A4678" w:rsidRDefault="003A4678" w14:paraId="2E98DE21" w14:textId="3799815C">
      <w:pPr>
        <w:pStyle w:val="myTOC4"/>
      </w:pPr>
      <w:r>
        <w:t>a. NOPR Proposal</w:t>
      </w:r>
      <w:r>
        <w:tab/>
      </w:r>
      <w:hyperlink w:history="1" w:anchor="_bmk47">
        <w:r>
          <w:rPr>
            <w:rStyle w:val="Hyperlink"/>
            <w:rFonts w:eastAsiaTheme="minorHAnsi"/>
            <w:szCs w:val="22"/>
          </w:rPr>
          <w:t>187.</w:t>
        </w:r>
      </w:hyperlink>
    </w:p>
    <w:p w:rsidR="003A4678" w:rsidP="003A4678" w:rsidRDefault="003A4678" w14:paraId="17047C98" w14:textId="6EF2E215">
      <w:pPr>
        <w:pStyle w:val="myTOC4"/>
      </w:pPr>
      <w:r>
        <w:t>b. Comments</w:t>
      </w:r>
      <w:r>
        <w:tab/>
      </w:r>
      <w:hyperlink w:history="1" w:anchor="_bmk48">
        <w:r>
          <w:rPr>
            <w:rStyle w:val="Hyperlink"/>
            <w:rFonts w:eastAsiaTheme="minorHAnsi"/>
            <w:szCs w:val="22"/>
          </w:rPr>
          <w:t>191.</w:t>
        </w:r>
      </w:hyperlink>
    </w:p>
    <w:p w:rsidR="003A4678" w:rsidP="003A4678" w:rsidRDefault="003A4678" w14:paraId="76D83EC7" w14:textId="76BC291F">
      <w:pPr>
        <w:pStyle w:val="myTOC4"/>
      </w:pPr>
      <w:r>
        <w:t>c. Commission Determination</w:t>
      </w:r>
      <w:r>
        <w:tab/>
      </w:r>
      <w:hyperlink w:history="1" w:anchor="_bmk49">
        <w:r>
          <w:rPr>
            <w:rStyle w:val="Hyperlink"/>
            <w:rFonts w:eastAsiaTheme="minorHAnsi"/>
            <w:szCs w:val="22"/>
          </w:rPr>
          <w:t>204.</w:t>
        </w:r>
      </w:hyperlink>
    </w:p>
    <w:p w:rsidR="003A4678" w:rsidP="003A4678" w:rsidRDefault="003A4678" w14:paraId="2B829016" w14:textId="482221E1">
      <w:pPr>
        <w:pStyle w:val="myTOC2"/>
      </w:pPr>
      <w:r>
        <w:t>E. Distribution Factors and Bidding Parameters</w:t>
      </w:r>
      <w:r>
        <w:tab/>
      </w:r>
      <w:hyperlink w:history="1" w:anchor="_bmk50">
        <w:r>
          <w:rPr>
            <w:rStyle w:val="Hyperlink"/>
            <w:rFonts w:eastAsiaTheme="minorHAnsi"/>
            <w:szCs w:val="22"/>
          </w:rPr>
          <w:t>208.</w:t>
        </w:r>
      </w:hyperlink>
    </w:p>
    <w:p w:rsidR="003A4678" w:rsidP="003A4678" w:rsidRDefault="003A4678" w14:paraId="607A813D" w14:textId="5018C6BE">
      <w:pPr>
        <w:pStyle w:val="myTOC4"/>
      </w:pPr>
      <w:r>
        <w:t>a. NOPR Proposal</w:t>
      </w:r>
      <w:r>
        <w:tab/>
      </w:r>
      <w:hyperlink w:history="1" w:anchor="_bmk51">
        <w:r>
          <w:rPr>
            <w:rStyle w:val="Hyperlink"/>
            <w:rFonts w:eastAsiaTheme="minorHAnsi"/>
            <w:szCs w:val="22"/>
          </w:rPr>
          <w:t>208.</w:t>
        </w:r>
      </w:hyperlink>
    </w:p>
    <w:p w:rsidR="003A4678" w:rsidP="003A4678" w:rsidRDefault="003A4678" w14:paraId="618D486E" w14:textId="3D3FBB9F">
      <w:pPr>
        <w:pStyle w:val="myTOC4"/>
      </w:pPr>
      <w:r>
        <w:t>b. Comments</w:t>
      </w:r>
      <w:r>
        <w:tab/>
      </w:r>
      <w:hyperlink w:history="1" w:anchor="_bmk52">
        <w:r>
          <w:rPr>
            <w:rStyle w:val="Hyperlink"/>
            <w:rFonts w:eastAsiaTheme="minorHAnsi"/>
            <w:szCs w:val="22"/>
          </w:rPr>
          <w:t>210.</w:t>
        </w:r>
      </w:hyperlink>
    </w:p>
    <w:p w:rsidR="003A4678" w:rsidP="003A4678" w:rsidRDefault="003A4678" w14:paraId="510D95A2" w14:textId="37467CF1">
      <w:pPr>
        <w:pStyle w:val="myTOC4"/>
      </w:pPr>
      <w:r>
        <w:t>c. Commission Determination</w:t>
      </w:r>
      <w:r>
        <w:tab/>
      </w:r>
      <w:hyperlink w:history="1" w:anchor="_bmk53">
        <w:r>
          <w:rPr>
            <w:rStyle w:val="Hyperlink"/>
            <w:rFonts w:eastAsiaTheme="minorHAnsi"/>
            <w:szCs w:val="22"/>
          </w:rPr>
          <w:t>225.</w:t>
        </w:r>
      </w:hyperlink>
    </w:p>
    <w:p w:rsidR="003A4678" w:rsidP="003A4678" w:rsidRDefault="003A4678" w14:paraId="26340484" w14:textId="7E05806F">
      <w:pPr>
        <w:pStyle w:val="myTOC2"/>
      </w:pPr>
      <w:r>
        <w:t>F. Information and Data Requirements</w:t>
      </w:r>
      <w:r>
        <w:tab/>
      </w:r>
      <w:hyperlink w:history="1" w:anchor="_bmk54">
        <w:r>
          <w:rPr>
            <w:rStyle w:val="Hyperlink"/>
            <w:rFonts w:eastAsiaTheme="minorHAnsi"/>
            <w:szCs w:val="22"/>
          </w:rPr>
          <w:t>230.</w:t>
        </w:r>
      </w:hyperlink>
    </w:p>
    <w:p w:rsidR="003A4678" w:rsidP="003A4678" w:rsidRDefault="003A4678" w14:paraId="341D1F15" w14:textId="0A82C272">
      <w:pPr>
        <w:pStyle w:val="myTOC4"/>
      </w:pPr>
      <w:r>
        <w:t>a. NOPR Proposal</w:t>
      </w:r>
      <w:r>
        <w:tab/>
      </w:r>
      <w:hyperlink w:history="1" w:anchor="_bmk55">
        <w:r>
          <w:rPr>
            <w:rStyle w:val="Hyperlink"/>
            <w:rFonts w:eastAsiaTheme="minorHAnsi"/>
            <w:szCs w:val="22"/>
          </w:rPr>
          <w:t>230.</w:t>
        </w:r>
      </w:hyperlink>
    </w:p>
    <w:p w:rsidR="003A4678" w:rsidP="003A4678" w:rsidRDefault="003A4678" w14:paraId="556A3EEB" w14:textId="7BBA41B9">
      <w:pPr>
        <w:pStyle w:val="myTOC4"/>
      </w:pPr>
      <w:r>
        <w:t>b. Comments</w:t>
      </w:r>
      <w:r>
        <w:tab/>
      </w:r>
      <w:hyperlink w:history="1" w:anchor="_bmk56">
        <w:r>
          <w:rPr>
            <w:rStyle w:val="Hyperlink"/>
            <w:rFonts w:eastAsiaTheme="minorHAnsi"/>
            <w:szCs w:val="22"/>
          </w:rPr>
          <w:t>231.</w:t>
        </w:r>
      </w:hyperlink>
    </w:p>
    <w:p w:rsidR="003A4678" w:rsidP="003A4678" w:rsidRDefault="003A4678" w14:paraId="33783D89" w14:textId="10EB7783">
      <w:pPr>
        <w:pStyle w:val="myTOC4"/>
      </w:pPr>
      <w:r>
        <w:t>c. Commission Determination</w:t>
      </w:r>
      <w:r>
        <w:tab/>
      </w:r>
      <w:hyperlink w:history="1" w:anchor="_bmk57">
        <w:r>
          <w:rPr>
            <w:rStyle w:val="Hyperlink"/>
            <w:rFonts w:eastAsiaTheme="minorHAnsi"/>
            <w:szCs w:val="22"/>
          </w:rPr>
          <w:t>236.</w:t>
        </w:r>
      </w:hyperlink>
    </w:p>
    <w:p w:rsidR="003A4678" w:rsidP="003A4678" w:rsidRDefault="003A4678" w14:paraId="34549D2E" w14:textId="2E8E39B7">
      <w:pPr>
        <w:pStyle w:val="myTOC2"/>
      </w:pPr>
      <w:r>
        <w:t>G. Metering and Telemetry System Requirements</w:t>
      </w:r>
      <w:r>
        <w:tab/>
      </w:r>
      <w:hyperlink w:history="1" w:anchor="_bmk58">
        <w:r>
          <w:rPr>
            <w:rStyle w:val="Hyperlink"/>
            <w:rFonts w:eastAsiaTheme="minorHAnsi"/>
            <w:szCs w:val="22"/>
          </w:rPr>
          <w:t>241.</w:t>
        </w:r>
      </w:hyperlink>
    </w:p>
    <w:p w:rsidR="003A4678" w:rsidP="003A4678" w:rsidRDefault="003A4678" w14:paraId="2148E691" w14:textId="3AF4885E">
      <w:pPr>
        <w:pStyle w:val="myTOC4"/>
      </w:pPr>
      <w:r>
        <w:t>a. NOPR Proposal</w:t>
      </w:r>
      <w:r>
        <w:tab/>
      </w:r>
      <w:hyperlink w:history="1" w:anchor="_bmk59">
        <w:r>
          <w:rPr>
            <w:rStyle w:val="Hyperlink"/>
            <w:rFonts w:eastAsiaTheme="minorHAnsi"/>
            <w:szCs w:val="22"/>
          </w:rPr>
          <w:t>241.</w:t>
        </w:r>
      </w:hyperlink>
    </w:p>
    <w:p w:rsidR="003A4678" w:rsidP="003A4678" w:rsidRDefault="003A4678" w14:paraId="52205AAF" w14:textId="117C8D24">
      <w:pPr>
        <w:pStyle w:val="myTOC4"/>
      </w:pPr>
      <w:r>
        <w:t>b. Comments</w:t>
      </w:r>
      <w:r>
        <w:tab/>
      </w:r>
      <w:hyperlink w:history="1" w:anchor="_bmk60">
        <w:r>
          <w:rPr>
            <w:rStyle w:val="Hyperlink"/>
            <w:rFonts w:eastAsiaTheme="minorHAnsi"/>
            <w:szCs w:val="22"/>
          </w:rPr>
          <w:t>246.</w:t>
        </w:r>
      </w:hyperlink>
    </w:p>
    <w:p w:rsidR="003A4678" w:rsidP="003A4678" w:rsidRDefault="003A4678" w14:paraId="723F4FD4" w14:textId="47DDB30B">
      <w:pPr>
        <w:pStyle w:val="myTOC4"/>
      </w:pPr>
      <w:r>
        <w:t>c. Commission Determination</w:t>
      </w:r>
      <w:r>
        <w:tab/>
      </w:r>
      <w:hyperlink w:history="1" w:anchor="_bmk61">
        <w:r>
          <w:rPr>
            <w:rStyle w:val="Hyperlink"/>
            <w:rFonts w:eastAsiaTheme="minorHAnsi"/>
            <w:szCs w:val="22"/>
          </w:rPr>
          <w:t>262.</w:t>
        </w:r>
      </w:hyperlink>
    </w:p>
    <w:p w:rsidR="003A4678" w:rsidP="003A4678" w:rsidRDefault="003A4678" w14:paraId="1F2A93CD" w14:textId="1CFFF242">
      <w:pPr>
        <w:pStyle w:val="myTOC2"/>
      </w:pPr>
      <w:r>
        <w:t>H. Coordination between the RTO/ISO, Aggregator, and Distribution Utility</w:t>
      </w:r>
      <w:r>
        <w:tab/>
      </w:r>
      <w:hyperlink w:history="1" w:anchor="_bmk62">
        <w:r>
          <w:rPr>
            <w:rStyle w:val="Hyperlink"/>
            <w:rFonts w:eastAsiaTheme="minorHAnsi"/>
            <w:szCs w:val="22"/>
          </w:rPr>
          <w:t>272.</w:t>
        </w:r>
      </w:hyperlink>
    </w:p>
    <w:p w:rsidR="003A4678" w:rsidP="003A4678" w:rsidRDefault="003A4678" w14:paraId="21FD8E9B" w14:textId="67C05341">
      <w:pPr>
        <w:pStyle w:val="myTOC3"/>
      </w:pPr>
      <w:r>
        <w:t>1. Market Rules on Coordination</w:t>
      </w:r>
      <w:r>
        <w:tab/>
      </w:r>
      <w:hyperlink w:history="1" w:anchor="_bmk63">
        <w:r>
          <w:rPr>
            <w:rStyle w:val="Hyperlink"/>
            <w:rFonts w:eastAsiaTheme="minorHAnsi"/>
            <w:szCs w:val="22"/>
          </w:rPr>
          <w:t>272.</w:t>
        </w:r>
      </w:hyperlink>
    </w:p>
    <w:p w:rsidR="003A4678" w:rsidP="003A4678" w:rsidRDefault="003A4678" w14:paraId="5846C2A6" w14:textId="60DB6AAF">
      <w:pPr>
        <w:pStyle w:val="myTOC4"/>
      </w:pPr>
      <w:r>
        <w:t>a. NOPR Proposal</w:t>
      </w:r>
      <w:r>
        <w:tab/>
      </w:r>
      <w:hyperlink w:history="1" w:anchor="_bmk64">
        <w:r>
          <w:rPr>
            <w:rStyle w:val="Hyperlink"/>
            <w:rFonts w:eastAsiaTheme="minorHAnsi"/>
            <w:szCs w:val="22"/>
          </w:rPr>
          <w:t>272.</w:t>
        </w:r>
      </w:hyperlink>
    </w:p>
    <w:p w:rsidR="003A4678" w:rsidP="003A4678" w:rsidRDefault="003A4678" w14:paraId="5C98AC91" w14:textId="1B165FFC">
      <w:pPr>
        <w:pStyle w:val="myTOC4"/>
      </w:pPr>
      <w:r>
        <w:t>b. Comments</w:t>
      </w:r>
      <w:r>
        <w:tab/>
      </w:r>
      <w:hyperlink w:history="1" w:anchor="_bmk65">
        <w:r>
          <w:rPr>
            <w:rStyle w:val="Hyperlink"/>
            <w:rFonts w:eastAsiaTheme="minorHAnsi"/>
            <w:szCs w:val="22"/>
          </w:rPr>
          <w:t>274.</w:t>
        </w:r>
      </w:hyperlink>
    </w:p>
    <w:p w:rsidR="003A4678" w:rsidP="003A4678" w:rsidRDefault="003A4678" w14:paraId="446D0CE8" w14:textId="707DD729">
      <w:pPr>
        <w:pStyle w:val="myTOC4"/>
      </w:pPr>
      <w:r>
        <w:t>c. Commission Determination</w:t>
      </w:r>
      <w:r>
        <w:tab/>
      </w:r>
      <w:hyperlink w:history="1" w:anchor="_bmk66">
        <w:r>
          <w:rPr>
            <w:rStyle w:val="Hyperlink"/>
            <w:rFonts w:eastAsiaTheme="minorHAnsi"/>
            <w:szCs w:val="22"/>
          </w:rPr>
          <w:t>278.</w:t>
        </w:r>
      </w:hyperlink>
    </w:p>
    <w:p w:rsidR="003A4678" w:rsidP="003A4678" w:rsidRDefault="003A4678" w14:paraId="26B43BC1" w14:textId="4CAA4D5B">
      <w:pPr>
        <w:pStyle w:val="myTOC3"/>
      </w:pPr>
      <w:r>
        <w:t>2. Role of Distribution Utilities</w:t>
      </w:r>
      <w:r>
        <w:tab/>
      </w:r>
      <w:hyperlink w:history="1" w:anchor="_bmk67">
        <w:r>
          <w:rPr>
            <w:rStyle w:val="Hyperlink"/>
            <w:rFonts w:eastAsiaTheme="minorHAnsi"/>
            <w:szCs w:val="22"/>
          </w:rPr>
          <w:t>281.</w:t>
        </w:r>
      </w:hyperlink>
    </w:p>
    <w:p w:rsidR="003A4678" w:rsidP="003A4678" w:rsidRDefault="003A4678" w14:paraId="3C667CCB" w14:textId="64AD4354">
      <w:pPr>
        <w:pStyle w:val="myTOC4"/>
      </w:pPr>
      <w:r>
        <w:t>a. NOPR Proposal</w:t>
      </w:r>
      <w:r>
        <w:tab/>
      </w:r>
      <w:hyperlink w:history="1" w:anchor="_bmk68">
        <w:r>
          <w:rPr>
            <w:rStyle w:val="Hyperlink"/>
            <w:rFonts w:eastAsiaTheme="minorHAnsi"/>
            <w:szCs w:val="22"/>
          </w:rPr>
          <w:t>281.</w:t>
        </w:r>
      </w:hyperlink>
    </w:p>
    <w:p w:rsidR="003A4678" w:rsidP="003A4678" w:rsidRDefault="003A4678" w14:paraId="65FCC8DA" w14:textId="3F3F3BDF">
      <w:pPr>
        <w:pStyle w:val="myTOC4"/>
      </w:pPr>
      <w:r>
        <w:t>b. Comments</w:t>
      </w:r>
      <w:r>
        <w:tab/>
      </w:r>
      <w:hyperlink w:history="1" w:anchor="_bmk69">
        <w:r>
          <w:rPr>
            <w:rStyle w:val="Hyperlink"/>
            <w:rFonts w:eastAsiaTheme="minorHAnsi"/>
            <w:szCs w:val="22"/>
          </w:rPr>
          <w:t>282.</w:t>
        </w:r>
      </w:hyperlink>
    </w:p>
    <w:p w:rsidR="003A4678" w:rsidP="003A4678" w:rsidRDefault="003A4678" w14:paraId="77E8AC21" w14:textId="36C95EC0">
      <w:pPr>
        <w:pStyle w:val="myTOC4"/>
      </w:pPr>
      <w:r>
        <w:t>c. Commission Determination</w:t>
      </w:r>
      <w:r>
        <w:tab/>
      </w:r>
      <w:hyperlink w:history="1" w:anchor="_bmk70">
        <w:r>
          <w:rPr>
            <w:rStyle w:val="Hyperlink"/>
            <w:rFonts w:eastAsiaTheme="minorHAnsi"/>
            <w:szCs w:val="22"/>
          </w:rPr>
          <w:t>292.</w:t>
        </w:r>
      </w:hyperlink>
    </w:p>
    <w:p w:rsidR="003A4678" w:rsidP="003A4678" w:rsidRDefault="003A4678" w14:paraId="6644B2A1" w14:textId="4088212D">
      <w:pPr>
        <w:pStyle w:val="myTOC3"/>
      </w:pPr>
      <w:r>
        <w:t>3. Ongoing Operational Coordination</w:t>
      </w:r>
      <w:r>
        <w:tab/>
      </w:r>
      <w:hyperlink w:history="1" w:anchor="_bmk71">
        <w:r>
          <w:rPr>
            <w:rStyle w:val="Hyperlink"/>
            <w:rFonts w:eastAsiaTheme="minorHAnsi"/>
            <w:szCs w:val="22"/>
          </w:rPr>
          <w:t>300.</w:t>
        </w:r>
      </w:hyperlink>
    </w:p>
    <w:p w:rsidR="003A4678" w:rsidP="003A4678" w:rsidRDefault="003A4678" w14:paraId="416D957D" w14:textId="6A4D0424">
      <w:pPr>
        <w:pStyle w:val="myTOC4"/>
      </w:pPr>
      <w:r>
        <w:t>a. NOPR Proposal</w:t>
      </w:r>
      <w:r>
        <w:tab/>
      </w:r>
      <w:hyperlink w:history="1" w:anchor="_bmk72">
        <w:r>
          <w:rPr>
            <w:rStyle w:val="Hyperlink"/>
            <w:rFonts w:eastAsiaTheme="minorHAnsi"/>
            <w:szCs w:val="22"/>
          </w:rPr>
          <w:t>300.</w:t>
        </w:r>
      </w:hyperlink>
    </w:p>
    <w:p w:rsidR="003A4678" w:rsidP="003A4678" w:rsidRDefault="003A4678" w14:paraId="27A4BFBB" w14:textId="7EECF4E1">
      <w:pPr>
        <w:pStyle w:val="myTOC4"/>
      </w:pPr>
      <w:r>
        <w:t>b. Comments</w:t>
      </w:r>
      <w:r>
        <w:tab/>
      </w:r>
      <w:hyperlink w:history="1" w:anchor="_bmk73">
        <w:r>
          <w:rPr>
            <w:rStyle w:val="Hyperlink"/>
            <w:rFonts w:eastAsiaTheme="minorHAnsi"/>
            <w:szCs w:val="22"/>
          </w:rPr>
          <w:t>302.</w:t>
        </w:r>
      </w:hyperlink>
    </w:p>
    <w:p w:rsidR="003A4678" w:rsidP="003A4678" w:rsidRDefault="003A4678" w14:paraId="637B4563" w14:textId="02F383EA">
      <w:pPr>
        <w:pStyle w:val="myTOC4"/>
      </w:pPr>
      <w:r>
        <w:t>c. Commission Determination</w:t>
      </w:r>
      <w:r>
        <w:tab/>
      </w:r>
      <w:hyperlink w:history="1" w:anchor="_bmk74">
        <w:r>
          <w:rPr>
            <w:rStyle w:val="Hyperlink"/>
            <w:rFonts w:eastAsiaTheme="minorHAnsi"/>
            <w:szCs w:val="22"/>
          </w:rPr>
          <w:t>310.</w:t>
        </w:r>
      </w:hyperlink>
    </w:p>
    <w:p w:rsidR="003A4678" w:rsidP="003A4678" w:rsidRDefault="003A4678" w14:paraId="53185C32" w14:textId="1FC94D1C">
      <w:pPr>
        <w:pStyle w:val="myTOC3"/>
      </w:pPr>
      <w:r>
        <w:t>4. Role of Relevant Electric Retail Regulatory Authorities</w:t>
      </w:r>
      <w:r>
        <w:tab/>
      </w:r>
      <w:hyperlink w:history="1" w:anchor="_bmk75">
        <w:r>
          <w:rPr>
            <w:rStyle w:val="Hyperlink"/>
            <w:rFonts w:eastAsiaTheme="minorHAnsi"/>
            <w:szCs w:val="22"/>
          </w:rPr>
          <w:t>314.</w:t>
        </w:r>
      </w:hyperlink>
    </w:p>
    <w:p w:rsidR="003A4678" w:rsidP="003A4678" w:rsidRDefault="003A4678" w14:paraId="089FE698" w14:textId="4F62B729">
      <w:pPr>
        <w:pStyle w:val="myTOC4"/>
      </w:pPr>
      <w:r>
        <w:t>a. NOPR Proposal</w:t>
      </w:r>
      <w:r>
        <w:tab/>
      </w:r>
      <w:hyperlink w:history="1" w:anchor="_bmk76">
        <w:r>
          <w:rPr>
            <w:rStyle w:val="Hyperlink"/>
            <w:rFonts w:eastAsiaTheme="minorHAnsi"/>
            <w:szCs w:val="22"/>
          </w:rPr>
          <w:t>314.</w:t>
        </w:r>
      </w:hyperlink>
    </w:p>
    <w:p w:rsidR="003A4678" w:rsidP="003A4678" w:rsidRDefault="003A4678" w14:paraId="191991F0" w14:textId="51426589">
      <w:pPr>
        <w:pStyle w:val="myTOC4"/>
      </w:pPr>
      <w:r>
        <w:t>b. Comments</w:t>
      </w:r>
      <w:r>
        <w:tab/>
      </w:r>
      <w:hyperlink w:history="1" w:anchor="_bmk77">
        <w:r>
          <w:rPr>
            <w:rStyle w:val="Hyperlink"/>
            <w:rFonts w:eastAsiaTheme="minorHAnsi"/>
            <w:szCs w:val="22"/>
          </w:rPr>
          <w:t>315.</w:t>
        </w:r>
      </w:hyperlink>
    </w:p>
    <w:p w:rsidR="003A4678" w:rsidP="003A4678" w:rsidRDefault="003A4678" w14:paraId="7B3E1993" w14:textId="6F466B15">
      <w:pPr>
        <w:pStyle w:val="myTOC4"/>
      </w:pPr>
      <w:r>
        <w:t>c. Commission Determination</w:t>
      </w:r>
      <w:r>
        <w:tab/>
      </w:r>
      <w:hyperlink w:history="1" w:anchor="_bmk78">
        <w:r>
          <w:rPr>
            <w:rStyle w:val="Hyperlink"/>
            <w:rFonts w:eastAsiaTheme="minorHAnsi"/>
            <w:szCs w:val="22"/>
          </w:rPr>
          <w:t>322.</w:t>
        </w:r>
      </w:hyperlink>
    </w:p>
    <w:p w:rsidR="003A4678" w:rsidP="003A4678" w:rsidRDefault="003A4678" w14:paraId="7B86EFFF" w14:textId="4A3D8A12">
      <w:pPr>
        <w:pStyle w:val="myTOC3"/>
      </w:pPr>
      <w:r>
        <w:t>5. Coordination Frameworks</w:t>
      </w:r>
      <w:r>
        <w:tab/>
      </w:r>
      <w:hyperlink w:history="1" w:anchor="_bmk79">
        <w:r>
          <w:rPr>
            <w:rStyle w:val="Hyperlink"/>
            <w:rFonts w:eastAsiaTheme="minorHAnsi"/>
            <w:szCs w:val="22"/>
          </w:rPr>
          <w:t>325.</w:t>
        </w:r>
      </w:hyperlink>
    </w:p>
    <w:p w:rsidR="003A4678" w:rsidP="003A4678" w:rsidRDefault="003A4678" w14:paraId="35E6A025" w14:textId="1F5DA7A2">
      <w:pPr>
        <w:pStyle w:val="myTOC4"/>
      </w:pPr>
      <w:r>
        <w:t>a. NOPR Proposal</w:t>
      </w:r>
      <w:r>
        <w:tab/>
      </w:r>
      <w:hyperlink w:history="1" w:anchor="_bmk80">
        <w:r>
          <w:rPr>
            <w:rStyle w:val="Hyperlink"/>
            <w:rFonts w:eastAsiaTheme="minorHAnsi"/>
            <w:szCs w:val="22"/>
          </w:rPr>
          <w:t>325.</w:t>
        </w:r>
      </w:hyperlink>
    </w:p>
    <w:p w:rsidR="003A4678" w:rsidP="003A4678" w:rsidRDefault="003A4678" w14:paraId="66F4A493" w14:textId="11A9E74A">
      <w:pPr>
        <w:pStyle w:val="myTOC4"/>
      </w:pPr>
      <w:r>
        <w:t>b. Comments</w:t>
      </w:r>
      <w:r>
        <w:tab/>
      </w:r>
      <w:hyperlink w:history="1" w:anchor="_bmk81">
        <w:r>
          <w:rPr>
            <w:rStyle w:val="Hyperlink"/>
            <w:rFonts w:eastAsiaTheme="minorHAnsi"/>
            <w:szCs w:val="22"/>
          </w:rPr>
          <w:t>326.</w:t>
        </w:r>
      </w:hyperlink>
    </w:p>
    <w:p w:rsidR="003A4678" w:rsidP="003A4678" w:rsidRDefault="003A4678" w14:paraId="3E1ABE93" w14:textId="4C78DAD1">
      <w:pPr>
        <w:pStyle w:val="myTOC4"/>
      </w:pPr>
      <w:r>
        <w:t>c. Commission Determination</w:t>
      </w:r>
      <w:r>
        <w:tab/>
      </w:r>
      <w:hyperlink w:history="1" w:anchor="_bmk82">
        <w:r>
          <w:rPr>
            <w:rStyle w:val="Hyperlink"/>
            <w:rFonts w:eastAsiaTheme="minorHAnsi"/>
            <w:szCs w:val="22"/>
          </w:rPr>
          <w:t>330.</w:t>
        </w:r>
      </w:hyperlink>
    </w:p>
    <w:p w:rsidR="003A4678" w:rsidP="003A4678" w:rsidRDefault="003A4678" w14:paraId="536F5AD7" w14:textId="196AF60B">
      <w:pPr>
        <w:pStyle w:val="myTOC2"/>
      </w:pPr>
      <w:r>
        <w:t>I. Modifications to List of Resources in Aggregation</w:t>
      </w:r>
      <w:r>
        <w:tab/>
      </w:r>
      <w:hyperlink w:history="1" w:anchor="_bmk83">
        <w:r>
          <w:rPr>
            <w:rStyle w:val="Hyperlink"/>
            <w:rFonts w:eastAsiaTheme="minorHAnsi"/>
            <w:szCs w:val="22"/>
          </w:rPr>
          <w:t>332.</w:t>
        </w:r>
      </w:hyperlink>
    </w:p>
    <w:p w:rsidR="003A4678" w:rsidP="003A4678" w:rsidRDefault="003A4678" w14:paraId="376DB5F9" w14:textId="1EDFE2AD">
      <w:pPr>
        <w:pStyle w:val="myTOC4"/>
      </w:pPr>
      <w:r>
        <w:t>a. NOPR Proposal</w:t>
      </w:r>
      <w:r>
        <w:tab/>
      </w:r>
      <w:hyperlink w:history="1" w:anchor="_bmk84">
        <w:r>
          <w:rPr>
            <w:rStyle w:val="Hyperlink"/>
            <w:rFonts w:eastAsiaTheme="minorHAnsi"/>
            <w:szCs w:val="22"/>
          </w:rPr>
          <w:t>332.</w:t>
        </w:r>
      </w:hyperlink>
    </w:p>
    <w:p w:rsidR="003A4678" w:rsidP="003A4678" w:rsidRDefault="003A4678" w14:paraId="0E07BFDF" w14:textId="31E90BE4">
      <w:pPr>
        <w:pStyle w:val="myTOC4"/>
      </w:pPr>
      <w:r>
        <w:t>b. Comments</w:t>
      </w:r>
      <w:r>
        <w:tab/>
      </w:r>
      <w:hyperlink w:history="1" w:anchor="_bmk85">
        <w:r>
          <w:rPr>
            <w:rStyle w:val="Hyperlink"/>
            <w:rFonts w:eastAsiaTheme="minorHAnsi"/>
            <w:szCs w:val="22"/>
          </w:rPr>
          <w:t>333.</w:t>
        </w:r>
      </w:hyperlink>
    </w:p>
    <w:p w:rsidR="003A4678" w:rsidP="003A4678" w:rsidRDefault="003A4678" w14:paraId="547A0697" w14:textId="624B3188">
      <w:pPr>
        <w:pStyle w:val="myTOC4"/>
      </w:pPr>
      <w:r>
        <w:t>c. Commission Determination</w:t>
      </w:r>
      <w:r>
        <w:tab/>
      </w:r>
      <w:hyperlink w:history="1" w:anchor="_bmk86">
        <w:r>
          <w:rPr>
            <w:rStyle w:val="Hyperlink"/>
            <w:rFonts w:eastAsiaTheme="minorHAnsi"/>
            <w:szCs w:val="22"/>
          </w:rPr>
          <w:t>335.</w:t>
        </w:r>
      </w:hyperlink>
    </w:p>
    <w:p w:rsidR="003A4678" w:rsidP="003A4678" w:rsidRDefault="003A4678" w14:paraId="79B81D26" w14:textId="373BC67A">
      <w:pPr>
        <w:pStyle w:val="myTOC2"/>
      </w:pPr>
      <w:r>
        <w:t>J. Market Participation Agreements</w:t>
      </w:r>
      <w:r>
        <w:tab/>
      </w:r>
      <w:hyperlink w:history="1" w:anchor="_bmk87">
        <w:r>
          <w:rPr>
            <w:rStyle w:val="Hyperlink"/>
            <w:rFonts w:eastAsiaTheme="minorHAnsi"/>
            <w:szCs w:val="22"/>
          </w:rPr>
          <w:t>339.</w:t>
        </w:r>
      </w:hyperlink>
    </w:p>
    <w:p w:rsidR="003A4678" w:rsidP="003A4678" w:rsidRDefault="003A4678" w14:paraId="0B3A0539" w14:textId="14EF2CD1">
      <w:pPr>
        <w:pStyle w:val="myTOC3"/>
      </w:pPr>
      <w:r>
        <w:t>1. NOPR Proposal</w:t>
      </w:r>
      <w:r>
        <w:tab/>
      </w:r>
      <w:hyperlink w:history="1" w:anchor="_bmk88">
        <w:r>
          <w:rPr>
            <w:rStyle w:val="Hyperlink"/>
            <w:rFonts w:eastAsiaTheme="minorHAnsi"/>
            <w:szCs w:val="22"/>
          </w:rPr>
          <w:t>339.</w:t>
        </w:r>
      </w:hyperlink>
    </w:p>
    <w:p w:rsidR="003A4678" w:rsidP="003A4678" w:rsidRDefault="003A4678" w14:paraId="3696FC02" w14:textId="22FCC91D">
      <w:pPr>
        <w:pStyle w:val="myTOC3"/>
      </w:pPr>
      <w:r>
        <w:t>2. Comments</w:t>
      </w:r>
      <w:r>
        <w:tab/>
      </w:r>
      <w:hyperlink w:history="1" w:anchor="_bmk89">
        <w:r>
          <w:rPr>
            <w:rStyle w:val="Hyperlink"/>
            <w:rFonts w:eastAsiaTheme="minorHAnsi"/>
            <w:szCs w:val="22"/>
          </w:rPr>
          <w:t>342.</w:t>
        </w:r>
      </w:hyperlink>
    </w:p>
    <w:p w:rsidR="003A4678" w:rsidP="003A4678" w:rsidRDefault="003A4678" w14:paraId="56BC3174" w14:textId="1E59EC37">
      <w:pPr>
        <w:pStyle w:val="myTOC3"/>
      </w:pPr>
      <w:r>
        <w:t>3. Commission Determination</w:t>
      </w:r>
      <w:r>
        <w:tab/>
      </w:r>
      <w:hyperlink w:history="1" w:anchor="_bmk90">
        <w:r>
          <w:rPr>
            <w:rStyle w:val="Hyperlink"/>
            <w:rFonts w:eastAsiaTheme="minorHAnsi"/>
            <w:szCs w:val="22"/>
          </w:rPr>
          <w:t>352.</w:t>
        </w:r>
      </w:hyperlink>
    </w:p>
    <w:p w:rsidR="003A4678" w:rsidP="003A4678" w:rsidRDefault="003A4678" w14:paraId="7AC7AEE0" w14:textId="0BF41A6E">
      <w:pPr>
        <w:pStyle w:val="myTOC2"/>
      </w:pPr>
      <w:r>
        <w:t>K. Compliance</w:t>
      </w:r>
      <w:r>
        <w:tab/>
      </w:r>
      <w:hyperlink w:history="1" w:anchor="_bmk91">
        <w:r>
          <w:rPr>
            <w:rStyle w:val="Hyperlink"/>
            <w:rFonts w:eastAsiaTheme="minorHAnsi"/>
            <w:szCs w:val="22"/>
          </w:rPr>
          <w:t>357.</w:t>
        </w:r>
      </w:hyperlink>
    </w:p>
    <w:p w:rsidR="003A4678" w:rsidP="003A4678" w:rsidRDefault="003A4678" w14:paraId="2EA6B30C" w14:textId="08FB10B9">
      <w:pPr>
        <w:pStyle w:val="myTOC3"/>
      </w:pPr>
      <w:r>
        <w:t>1. Comments</w:t>
      </w:r>
      <w:r>
        <w:tab/>
      </w:r>
      <w:hyperlink w:history="1" w:anchor="_bmk92">
        <w:r>
          <w:rPr>
            <w:rStyle w:val="Hyperlink"/>
            <w:rFonts w:eastAsiaTheme="minorHAnsi"/>
            <w:szCs w:val="22"/>
          </w:rPr>
          <w:t>358.</w:t>
        </w:r>
      </w:hyperlink>
    </w:p>
    <w:p w:rsidR="003A4678" w:rsidP="003A4678" w:rsidRDefault="003A4678" w14:paraId="22BD33FE" w14:textId="7CE4B0BA">
      <w:pPr>
        <w:pStyle w:val="myTOC3"/>
      </w:pPr>
      <w:r>
        <w:t>2. Commission Determination</w:t>
      </w:r>
      <w:r>
        <w:tab/>
      </w:r>
      <w:hyperlink w:history="1" w:anchor="_bmk93">
        <w:r>
          <w:rPr>
            <w:rStyle w:val="Hyperlink"/>
            <w:rFonts w:eastAsiaTheme="minorHAnsi"/>
            <w:szCs w:val="22"/>
          </w:rPr>
          <w:t>360.</w:t>
        </w:r>
      </w:hyperlink>
    </w:p>
    <w:p w:rsidR="003A4678" w:rsidP="003A4678" w:rsidRDefault="003A4678" w14:paraId="6C5CD876" w14:textId="0B1ADC51">
      <w:pPr>
        <w:pStyle w:val="myTOC2"/>
      </w:pPr>
      <w:r>
        <w:t>L. Issues Beyond the Scope of this Rulemaking</w:t>
      </w:r>
      <w:r>
        <w:tab/>
      </w:r>
      <w:hyperlink w:history="1" w:anchor="_bmk94">
        <w:r>
          <w:rPr>
            <w:rStyle w:val="Hyperlink"/>
            <w:rFonts w:eastAsiaTheme="minorHAnsi"/>
            <w:szCs w:val="22"/>
          </w:rPr>
          <w:t>362.</w:t>
        </w:r>
      </w:hyperlink>
    </w:p>
    <w:p w:rsidR="003A4678" w:rsidP="003A4678" w:rsidRDefault="003A4678" w14:paraId="2082CF31" w14:textId="7B81C108">
      <w:pPr>
        <w:pStyle w:val="myTOC3"/>
      </w:pPr>
      <w:r>
        <w:t>1. Comments</w:t>
      </w:r>
      <w:r>
        <w:tab/>
      </w:r>
      <w:hyperlink w:history="1" w:anchor="_bmk95">
        <w:r>
          <w:rPr>
            <w:rStyle w:val="Hyperlink"/>
            <w:rFonts w:eastAsiaTheme="minorHAnsi"/>
            <w:szCs w:val="22"/>
          </w:rPr>
          <w:t>362.</w:t>
        </w:r>
      </w:hyperlink>
    </w:p>
    <w:p w:rsidR="003A4678" w:rsidP="003A4678" w:rsidRDefault="003A4678" w14:paraId="3BD73C07" w14:textId="62DF67C7">
      <w:pPr>
        <w:pStyle w:val="myTOC3"/>
      </w:pPr>
      <w:r>
        <w:t>2. Commission Determination</w:t>
      </w:r>
      <w:r>
        <w:tab/>
      </w:r>
      <w:hyperlink w:history="1" w:anchor="_bmk96">
        <w:r>
          <w:rPr>
            <w:rStyle w:val="Hyperlink"/>
            <w:rFonts w:eastAsiaTheme="minorHAnsi"/>
            <w:szCs w:val="22"/>
          </w:rPr>
          <w:t>363.</w:t>
        </w:r>
      </w:hyperlink>
    </w:p>
    <w:p w:rsidR="003A4678" w:rsidP="003A4678" w:rsidRDefault="003A4678" w14:paraId="2F9D1ABB" w14:textId="390BC65B">
      <w:pPr>
        <w:pStyle w:val="myTOC1"/>
      </w:pPr>
      <w:r>
        <w:t>V. Information Collection Statement</w:t>
      </w:r>
      <w:r>
        <w:tab/>
      </w:r>
      <w:hyperlink w:history="1" w:anchor="_bmk97">
        <w:r>
          <w:rPr>
            <w:rStyle w:val="Hyperlink"/>
            <w:rFonts w:eastAsiaTheme="minorHAnsi"/>
            <w:szCs w:val="22"/>
          </w:rPr>
          <w:t>364.</w:t>
        </w:r>
      </w:hyperlink>
    </w:p>
    <w:p w:rsidR="003A4678" w:rsidP="003A4678" w:rsidRDefault="003A4678" w14:paraId="13C557A5" w14:textId="57296812">
      <w:pPr>
        <w:pStyle w:val="myTOC2"/>
      </w:pPr>
      <w:r>
        <w:t>A. Summary of this IC</w:t>
      </w:r>
      <w:r>
        <w:tab/>
      </w:r>
    </w:p>
    <w:p w:rsidR="003A4678" w:rsidP="003A4678" w:rsidRDefault="003A4678" w14:paraId="5511FA8D" w14:textId="39F39DB2">
      <w:pPr>
        <w:pStyle w:val="myTOC2"/>
      </w:pPr>
      <w:r>
        <w:t>B. Discussion</w:t>
      </w:r>
      <w:r>
        <w:tab/>
      </w:r>
      <w:hyperlink w:history="1" w:anchor="_bmk99">
        <w:r>
          <w:rPr>
            <w:rStyle w:val="Hyperlink"/>
            <w:rFonts w:eastAsiaTheme="minorHAnsi"/>
            <w:szCs w:val="22"/>
          </w:rPr>
          <w:t>366.</w:t>
        </w:r>
      </w:hyperlink>
    </w:p>
    <w:p w:rsidR="003A4678" w:rsidP="003A4678" w:rsidRDefault="003A4678" w14:paraId="51F5823D" w14:textId="616D8CDE">
      <w:pPr>
        <w:pStyle w:val="myTOC1"/>
      </w:pPr>
      <w:r>
        <w:t>VI. Environmental Analysis</w:t>
      </w:r>
      <w:r>
        <w:tab/>
      </w:r>
      <w:hyperlink w:history="1" w:anchor="_bmk100">
        <w:r>
          <w:rPr>
            <w:rStyle w:val="Hyperlink"/>
            <w:rFonts w:eastAsiaTheme="minorHAnsi"/>
            <w:szCs w:val="22"/>
          </w:rPr>
          <w:t>369.</w:t>
        </w:r>
      </w:hyperlink>
    </w:p>
    <w:p w:rsidR="003A4678" w:rsidP="003A4678" w:rsidRDefault="003A4678" w14:paraId="42C21A08" w14:textId="2B03D23A">
      <w:pPr>
        <w:pStyle w:val="myTOC1"/>
      </w:pPr>
      <w:r>
        <w:t>VII. Regulatory Flexibility Act Certification</w:t>
      </w:r>
      <w:r>
        <w:tab/>
      </w:r>
      <w:hyperlink w:history="1" w:anchor="_bmk101">
        <w:r>
          <w:rPr>
            <w:rStyle w:val="Hyperlink"/>
            <w:rFonts w:eastAsiaTheme="minorHAnsi"/>
            <w:szCs w:val="22"/>
          </w:rPr>
          <w:t>370.</w:t>
        </w:r>
      </w:hyperlink>
    </w:p>
    <w:p w:rsidR="003A4678" w:rsidP="003A4678" w:rsidRDefault="003A4678" w14:paraId="4CA4BF1B" w14:textId="5DA848D0">
      <w:pPr>
        <w:pStyle w:val="myTOC1"/>
      </w:pPr>
      <w:r>
        <w:t>VIII. Document Availability</w:t>
      </w:r>
      <w:r>
        <w:tab/>
      </w:r>
      <w:hyperlink w:history="1" w:anchor="_bmk102">
        <w:r>
          <w:rPr>
            <w:rStyle w:val="Hyperlink"/>
            <w:rFonts w:eastAsiaTheme="minorHAnsi"/>
            <w:szCs w:val="22"/>
          </w:rPr>
          <w:t>375.</w:t>
        </w:r>
      </w:hyperlink>
    </w:p>
    <w:p w:rsidR="003A4678" w:rsidP="003A4678" w:rsidRDefault="003A4678" w14:paraId="1BFE301A" w14:textId="15DB4E98">
      <w:pPr>
        <w:pStyle w:val="myTOC1"/>
      </w:pPr>
      <w:r>
        <w:t>IX. Effective Date and Congressional Notification</w:t>
      </w:r>
      <w:r>
        <w:tab/>
      </w:r>
      <w:hyperlink w:history="1" w:anchor="_bmk103">
        <w:r>
          <w:rPr>
            <w:rStyle w:val="Hyperlink"/>
            <w:rFonts w:eastAsiaTheme="minorHAnsi"/>
            <w:szCs w:val="22"/>
          </w:rPr>
          <w:t>378.</w:t>
        </w:r>
      </w:hyperlink>
    </w:p>
    <w:p w:rsidRPr="003A4678" w:rsidR="003A4678" w:rsidP="003A4678" w:rsidRDefault="003A4678" w14:paraId="1962C8C1" w14:textId="6A8A65AF">
      <w:pPr>
        <w:pStyle w:val="myTOC1"/>
      </w:pPr>
      <w:r>
        <w:t>Appendix A: Abbreviated Names of Commenters</w:t>
      </w:r>
      <w:r>
        <w:tab/>
      </w:r>
    </w:p>
    <w:p w:rsidRPr="00395600" w:rsidR="00A054BC" w:rsidP="002468EF" w:rsidRDefault="00A054BC" w14:paraId="1E10A9C2" w14:textId="77777777"/>
    <w:p w:rsidR="00767729" w:rsidP="00A054BC" w:rsidRDefault="00767729" w14:paraId="004D3200" w14:textId="77777777">
      <w:pPr>
        <w:pStyle w:val="Heading1"/>
      </w:pPr>
      <w:bookmarkStart w:name="_bmk1" w:id="2"/>
      <w:r>
        <w:t>I</w:t>
      </w:r>
      <w:bookmarkEnd w:id="2"/>
      <w:r>
        <w:t>ntroduction</w:t>
      </w:r>
    </w:p>
    <w:p w:rsidRPr="00767729" w:rsidR="00767729" w:rsidP="00767729" w:rsidRDefault="00767729" w14:paraId="2C83D828" w14:textId="229590C2">
      <w:pPr>
        <w:pStyle w:val="FERCparanumber"/>
      </w:pPr>
      <w:r w:rsidRPr="00767729">
        <w:t xml:space="preserve">In this </w:t>
      </w:r>
      <w:r w:rsidR="00D51270">
        <w:t>f</w:t>
      </w:r>
      <w:r w:rsidRPr="00767729">
        <w:t xml:space="preserve">inal </w:t>
      </w:r>
      <w:r w:rsidR="00D51270">
        <w:t>r</w:t>
      </w:r>
      <w:r w:rsidRPr="00767729">
        <w:t>ule, the Federal Energy Regulatory Commission (Commission) is adopting reforms to remove barriers to the participation of distributed energy resource</w:t>
      </w:r>
      <w:r w:rsidRPr="00767729">
        <w:rPr>
          <w:b/>
          <w:vertAlign w:val="superscript"/>
        </w:rPr>
        <w:footnoteReference w:id="2"/>
      </w:r>
      <w:r w:rsidRPr="00767729">
        <w:t xml:space="preserve"> aggregations in the Regional Transmission Organization</w:t>
      </w:r>
      <w:r w:rsidR="004E6C9D">
        <w:t xml:space="preserve"> (RTO)</w:t>
      </w:r>
      <w:r w:rsidRPr="00767729">
        <w:t xml:space="preserve"> and Independent System Operator</w:t>
      </w:r>
      <w:r w:rsidR="004E6C9D">
        <w:t xml:space="preserve"> (ISO)</w:t>
      </w:r>
      <w:r w:rsidRPr="00767729">
        <w:t xml:space="preserve"> markets (RTO/ISO markets).</w:t>
      </w:r>
      <w:r w:rsidRPr="00767729">
        <w:rPr>
          <w:b/>
          <w:vertAlign w:val="superscript"/>
        </w:rPr>
        <w:footnoteReference w:id="3"/>
      </w:r>
      <w:r w:rsidRPr="00767729">
        <w:t xml:space="preserve">  For the reasons discussed below, we find that existing RTO/ISO market rules are unjust and unreasonable in light of barriers that they present to the participation of distributed energy resource aggregations in the RTO/ISO markets</w:t>
      </w:r>
      <w:r w:rsidR="00D03BB5">
        <w:t>,</w:t>
      </w:r>
      <w:r w:rsidR="00D77C80">
        <w:t xml:space="preserve"> which </w:t>
      </w:r>
      <w:r w:rsidRPr="00767729">
        <w:t>reduc</w:t>
      </w:r>
      <w:r w:rsidR="00D77C80">
        <w:t>e</w:t>
      </w:r>
      <w:r w:rsidRPr="00767729">
        <w:t xml:space="preserve"> competition and fai</w:t>
      </w:r>
      <w:r w:rsidR="00D77C80">
        <w:t>l</w:t>
      </w:r>
      <w:r w:rsidRPr="00767729">
        <w:t xml:space="preserve"> to ensure just and reasonable rates.</w:t>
      </w:r>
      <w:r w:rsidR="008C248A">
        <w:t xml:space="preserve"> </w:t>
      </w:r>
      <w:r w:rsidRPr="00767729">
        <w:t xml:space="preserve"> </w:t>
      </w:r>
      <w:r w:rsidR="00D77C80">
        <w:t>Therefore</w:t>
      </w:r>
      <w:r w:rsidRPr="00767729">
        <w:t>, pursuant to the Commission’s authority under Federal Power Act (FPA) section 206,</w:t>
      </w:r>
      <w:r w:rsidRPr="00767729">
        <w:rPr>
          <w:b/>
          <w:vertAlign w:val="superscript"/>
        </w:rPr>
        <w:footnoteReference w:id="4"/>
      </w:r>
      <w:r w:rsidRPr="00767729">
        <w:t xml:space="preserve"> the Commission modifies </w:t>
      </w:r>
      <w:r w:rsidR="00740434">
        <w:t>§</w:t>
      </w:r>
      <w:r w:rsidRPr="00767729">
        <w:t xml:space="preserve"> </w:t>
      </w:r>
      <w:r w:rsidRPr="00E06823">
        <w:t>35.28</w:t>
      </w:r>
      <w:r w:rsidRPr="00767729">
        <w:rPr>
          <w:b/>
          <w:vertAlign w:val="superscript"/>
        </w:rPr>
        <w:footnoteReference w:id="5"/>
      </w:r>
      <w:r w:rsidRPr="00767729">
        <w:t xml:space="preserve"> of its regulations to require each RTO/ISO to revise its tariff to ensure that its market rules facilitate the participation of distributed energy resource aggregations, as discussed further below.</w:t>
      </w:r>
    </w:p>
    <w:p w:rsidRPr="00767729" w:rsidR="00767729" w:rsidP="00767729" w:rsidRDefault="00767729" w14:paraId="59084C2D" w14:textId="63F699B9">
      <w:pPr>
        <w:pStyle w:val="FERCparanumber"/>
      </w:pPr>
      <w:r w:rsidRPr="00767729">
        <w:t>As the Commission explained in the NOPR, barriers to the participation of new technologies, such as many types of distributed energy resources, in the RTO/ISO markets can emerge when the rules governing participation in those markets are designed for traditional resources and in effect limit the services that emerging technologies can provide.</w:t>
      </w:r>
      <w:r w:rsidRPr="00767729">
        <w:rPr>
          <w:b/>
          <w:vertAlign w:val="superscript"/>
        </w:rPr>
        <w:footnoteReference w:id="6"/>
      </w:r>
      <w:r w:rsidRPr="00767729">
        <w:t xml:space="preserve">  For example, the Commission noted in the NOPR that, as a general matter, distributed energy resources tend to be too small to meet the minimum size requirements to participate in the RTO/ISO markets on a stand-alone basis, and may be unable to meet </w:t>
      </w:r>
      <w:r w:rsidR="0042385B">
        <w:t xml:space="preserve">certain </w:t>
      </w:r>
      <w:r w:rsidR="00521584">
        <w:t xml:space="preserve">qualification and </w:t>
      </w:r>
      <w:r w:rsidRPr="00767729">
        <w:t>performance requirements because of the operational constraints they may have as small resources.</w:t>
      </w:r>
      <w:r w:rsidRPr="00767729">
        <w:rPr>
          <w:b/>
          <w:vertAlign w:val="superscript"/>
        </w:rPr>
        <w:footnoteReference w:id="7"/>
      </w:r>
      <w:r w:rsidRPr="00767729">
        <w:t xml:space="preserve">  The Commission further stated that existing participation models</w:t>
      </w:r>
      <w:r w:rsidRPr="00767729">
        <w:rPr>
          <w:b/>
          <w:vertAlign w:val="superscript"/>
        </w:rPr>
        <w:footnoteReference w:id="8"/>
      </w:r>
      <w:r w:rsidRPr="00767729">
        <w:t xml:space="preserve"> for aggregated resources, including distributed energy resources, often require those resources to participate in the RTO/ISO markets as demand response, which limits their operations and the services that they are eligible to provide.</w:t>
      </w:r>
      <w:r w:rsidRPr="00767729">
        <w:rPr>
          <w:b/>
          <w:vertAlign w:val="superscript"/>
        </w:rPr>
        <w:footnoteReference w:id="9"/>
      </w:r>
      <w:r w:rsidRPr="00767729">
        <w:t xml:space="preserve">  </w:t>
      </w:r>
    </w:p>
    <w:p w:rsidRPr="00767729" w:rsidR="00767729" w:rsidP="00767729" w:rsidRDefault="00767729" w14:paraId="2E5F33D0" w14:textId="3A266365">
      <w:pPr>
        <w:pStyle w:val="FERCparanumber"/>
      </w:pPr>
      <w:r w:rsidRPr="00767729">
        <w:t xml:space="preserve">Where such barriers exist, resources that are technically capable of providing </w:t>
      </w:r>
      <w:r w:rsidR="009A2AB0">
        <w:t xml:space="preserve">some </w:t>
      </w:r>
      <w:r w:rsidRPr="00767729">
        <w:t xml:space="preserve">services </w:t>
      </w:r>
      <w:r w:rsidR="0006050A">
        <w:t>on their own or through aggregation</w:t>
      </w:r>
      <w:r w:rsidRPr="00767729">
        <w:t xml:space="preserve"> are precluded from competing with resources that are already participating in the RTO/ISO markets.</w:t>
      </w:r>
      <w:r w:rsidR="00F967F5">
        <w:rPr>
          <w:rStyle w:val="FootnoteReference"/>
        </w:rPr>
        <w:footnoteReference w:id="10"/>
      </w:r>
      <w:r w:rsidRPr="00767729">
        <w:t xml:space="preserve"> </w:t>
      </w:r>
      <w:r w:rsidR="00D52A6F">
        <w:t xml:space="preserve"> </w:t>
      </w:r>
      <w:r w:rsidRPr="00767729">
        <w:t xml:space="preserve">These restrictions on competition can reduce the efficiency of the RTO/ISO markets, potentially leading an RTO/ISO to dispatch more expensive resources to meet its system needs.  By removing barriers to the participation of distributed energy resource aggregations in the RTO/ISO markets, this </w:t>
      </w:r>
      <w:r w:rsidR="00D51270">
        <w:t>f</w:t>
      </w:r>
      <w:r w:rsidRPr="00767729">
        <w:t xml:space="preserve">inal </w:t>
      </w:r>
      <w:r w:rsidR="00D51270">
        <w:t>r</w:t>
      </w:r>
      <w:r w:rsidRPr="00767729">
        <w:t xml:space="preserve">ule will enhance competition and, in turn, help to ensure that the RTO/ISO markets produce just and reasonable rates.  </w:t>
      </w:r>
    </w:p>
    <w:p w:rsidRPr="00767729" w:rsidR="00767729" w:rsidP="00767729" w:rsidRDefault="00767729" w14:paraId="155387C2" w14:textId="20E3428F">
      <w:pPr>
        <w:pStyle w:val="FERCparanumber"/>
      </w:pPr>
      <w:r w:rsidRPr="00767729">
        <w:t xml:space="preserve">Facilitating distributed energy resource participation in RTO/ISO markets will provide a variety of benefits to those markets.  Integrating these resources’ capabilities </w:t>
      </w:r>
      <w:r w:rsidRPr="00767729" w:rsidDel="00823C31">
        <w:t xml:space="preserve">into </w:t>
      </w:r>
      <w:r w:rsidR="006A54B8">
        <w:t xml:space="preserve">RTO/ISO planning and operations </w:t>
      </w:r>
      <w:r w:rsidRPr="00767729">
        <w:t>will help the RTOs/ISOs account for the impacts of these resources on installed capacity requirements and day-ahead energy demand, thereby reducing uncertainty in load forecasts and reducing the risk of over procurement of resources and the associated costs.</w:t>
      </w:r>
      <w:r w:rsidRPr="00767729">
        <w:rPr>
          <w:b/>
          <w:vertAlign w:val="superscript"/>
        </w:rPr>
        <w:footnoteReference w:id="11"/>
      </w:r>
      <w:r w:rsidRPr="00767729">
        <w:t xml:space="preserve">  These resources </w:t>
      </w:r>
      <w:r w:rsidR="00823C31">
        <w:t>are able to</w:t>
      </w:r>
      <w:r w:rsidRPr="00767729">
        <w:t xml:space="preserve"> locate where price signals indicate that new capacity is most needed, potentially helping to alleviate congestion and congestion costs during peak load conditions and to reduce </w:t>
      </w:r>
      <w:r w:rsidR="00E06823">
        <w:t>costs related to</w:t>
      </w:r>
      <w:r w:rsidRPr="00767729">
        <w:t xml:space="preserve"> transmitting energy into persistently high-priced load pockets.</w:t>
      </w:r>
      <w:r w:rsidRPr="00767729">
        <w:rPr>
          <w:b/>
          <w:vertAlign w:val="superscript"/>
        </w:rPr>
        <w:footnoteReference w:id="12"/>
      </w:r>
      <w:r w:rsidRPr="00767729">
        <w:t xml:space="preserve">  </w:t>
      </w:r>
      <w:bookmarkStart w:name="_Hlk29471310" w:id="4"/>
      <w:r w:rsidRPr="00767729">
        <w:t xml:space="preserve">Indeed, </w:t>
      </w:r>
      <w:r w:rsidR="00CD7C65">
        <w:t xml:space="preserve">in the NOPR, </w:t>
      </w:r>
      <w:r w:rsidRPr="00767729">
        <w:t>the Commission noted certain valuable characteristics that distributed energy resources can offer, including their ability to co-locate with load and provide associated benefits</w:t>
      </w:r>
      <w:r w:rsidR="00823C31">
        <w:t>.</w:t>
      </w:r>
      <w:r w:rsidRPr="00767729">
        <w:t xml:space="preserve"> </w:t>
      </w:r>
      <w:r w:rsidR="00872ADD">
        <w:t xml:space="preserve"> </w:t>
      </w:r>
      <w:r w:rsidR="00823C31">
        <w:t>Additionally, t</w:t>
      </w:r>
      <w:r w:rsidRPr="00767729">
        <w:t xml:space="preserve">heir relatively short development lead time allows </w:t>
      </w:r>
      <w:r w:rsidR="00CD7FB6">
        <w:t>distributed energy resources</w:t>
      </w:r>
      <w:r w:rsidRPr="00767729">
        <w:t xml:space="preserve"> to respond </w:t>
      </w:r>
      <w:r w:rsidR="002229E6">
        <w:t xml:space="preserve">rapidly </w:t>
      </w:r>
      <w:r w:rsidRPr="00767729">
        <w:t>to near-term generation or transmission reliability-related requirements, further improving their ability to enhance reliability and reduce system costs.</w:t>
      </w:r>
      <w:r w:rsidRPr="00767729" w:rsidDel="00294704" w:rsidR="00294704">
        <w:rPr>
          <w:b/>
          <w:vertAlign w:val="superscript"/>
        </w:rPr>
        <w:t xml:space="preserve"> </w:t>
      </w:r>
      <w:bookmarkEnd w:id="4"/>
    </w:p>
    <w:p w:rsidRPr="00767729" w:rsidR="00767729" w:rsidP="00767729" w:rsidRDefault="00767729" w14:paraId="408BE51C" w14:textId="3738F019">
      <w:pPr>
        <w:pStyle w:val="FERCparanumber"/>
      </w:pPr>
      <w:r w:rsidRPr="00767729">
        <w:t xml:space="preserve">The rules </w:t>
      </w:r>
      <w:r w:rsidR="00CE153B">
        <w:t xml:space="preserve">that </w:t>
      </w:r>
      <w:r w:rsidRPr="00767729">
        <w:t>we adopt</w:t>
      </w:r>
      <w:r w:rsidR="00CE153B">
        <w:t xml:space="preserve"> in this </w:t>
      </w:r>
      <w:r w:rsidR="00D51270">
        <w:t>f</w:t>
      </w:r>
      <w:r w:rsidR="00CE153B">
        <w:t xml:space="preserve">inal </w:t>
      </w:r>
      <w:r w:rsidR="00D51270">
        <w:t>r</w:t>
      </w:r>
      <w:r w:rsidR="00CE153B">
        <w:t>ule</w:t>
      </w:r>
      <w:r w:rsidRPr="00767729">
        <w:t xml:space="preserve"> will help </w:t>
      </w:r>
      <w:r w:rsidR="00CD7C65">
        <w:t xml:space="preserve">enable the participation of </w:t>
      </w:r>
      <w:r w:rsidRPr="00767729">
        <w:t xml:space="preserve">distributed energy resources in the RTO/ISO markets by providing a means for these resources to, in the aggregate, satisfy minimum size and performance requirements that they </w:t>
      </w:r>
      <w:r w:rsidR="00F42919">
        <w:t>may</w:t>
      </w:r>
      <w:r w:rsidRPr="00767729">
        <w:t xml:space="preserve"> not meet on a stand-alone basis.</w:t>
      </w:r>
      <w:r w:rsidRPr="00767729">
        <w:rPr>
          <w:b/>
          <w:vertAlign w:val="superscript"/>
        </w:rPr>
        <w:footnoteReference w:id="13"/>
      </w:r>
      <w:r w:rsidRPr="00767729">
        <w:t xml:space="preserve">  The Commission in the NOPR</w:t>
      </w:r>
      <w:r w:rsidRPr="00767729" w:rsidDel="00823C31">
        <w:t xml:space="preserve"> </w:t>
      </w:r>
      <w:r w:rsidRPr="00767729">
        <w:t>noted that distributed energy resource aggregations can</w:t>
      </w:r>
      <w:r w:rsidRPr="00767729" w:rsidDel="00823C31">
        <w:t xml:space="preserve"> </w:t>
      </w:r>
      <w:r w:rsidRPr="00767729">
        <w:t>help to address the commercial and transactional barriers to distributed energy resource participation in the RTO/ISO markets, such as sharing the significant costs of participating in those markets, including the costs of the necessary metering, telemetry</w:t>
      </w:r>
      <w:r w:rsidR="00CD7FB6">
        <w:t>,</w:t>
      </w:r>
      <w:r w:rsidRPr="00767729">
        <w:t xml:space="preserve"> and communication equipment.</w:t>
      </w:r>
      <w:r w:rsidRPr="00767729">
        <w:rPr>
          <w:b/>
          <w:vertAlign w:val="superscript"/>
        </w:rPr>
        <w:footnoteReference w:id="14"/>
      </w:r>
      <w:r w:rsidRPr="00767729">
        <w:t xml:space="preserve">  </w:t>
      </w:r>
    </w:p>
    <w:p w:rsidRPr="00767729" w:rsidR="00767729" w:rsidP="00767729" w:rsidRDefault="00767729" w14:paraId="51E12F86" w14:textId="3DDA51D9">
      <w:pPr>
        <w:pStyle w:val="FERCparanumber"/>
      </w:pPr>
      <w:r w:rsidRPr="00767729">
        <w:t>To address barriers to the participation of distributed energy resource aggregations in the RTO/ISO markets</w:t>
      </w:r>
      <w:r w:rsidR="008C563B">
        <w:t>,</w:t>
      </w:r>
      <w:r w:rsidR="00823C31">
        <w:t xml:space="preserve"> </w:t>
      </w:r>
      <w:r w:rsidRPr="00767729">
        <w:t xml:space="preserve">we require each RTO/ISO to revise its tariff to establish distributed energy resource aggregators as a type of market participant that can register distributed energy resource aggregations under </w:t>
      </w:r>
      <w:r w:rsidR="00D8218E">
        <w:t>one or more</w:t>
      </w:r>
      <w:r w:rsidRPr="00767729">
        <w:t xml:space="preserve"> participation model</w:t>
      </w:r>
      <w:r w:rsidR="00D8218E">
        <w:t>s</w:t>
      </w:r>
      <w:r w:rsidRPr="00767729">
        <w:t xml:space="preserve"> in the RTO/ISO tariff that accommodate the physical and operational characteristics of each distributed energy resource aggregation. </w:t>
      </w:r>
    </w:p>
    <w:p w:rsidRPr="00767729" w:rsidR="00767729" w:rsidP="00767729" w:rsidRDefault="00767729" w14:paraId="46E9050A" w14:textId="5E6D8AEF">
      <w:pPr>
        <w:pStyle w:val="FERCparanumber"/>
      </w:pPr>
      <w:r w:rsidRPr="00767729">
        <w:t xml:space="preserve">Generally, </w:t>
      </w:r>
      <w:r w:rsidR="00650D54">
        <w:t>we are adopting</w:t>
      </w:r>
      <w:r w:rsidRPr="00767729">
        <w:t xml:space="preserve"> the specific reforms proposed in the NOPR</w:t>
      </w:r>
      <w:r w:rsidR="00650D54">
        <w:t>,</w:t>
      </w:r>
      <w:r w:rsidRPr="00767729">
        <w:t xml:space="preserve"> </w:t>
      </w:r>
      <w:r w:rsidR="0081157F">
        <w:t xml:space="preserve">but </w:t>
      </w:r>
      <w:r w:rsidRPr="00767729">
        <w:t xml:space="preserve">with certain revisions </w:t>
      </w:r>
      <w:r w:rsidR="009414D8">
        <w:t>based on</w:t>
      </w:r>
      <w:r w:rsidRPr="00767729">
        <w:t xml:space="preserve"> </w:t>
      </w:r>
      <w:r w:rsidR="00617968">
        <w:t>the record</w:t>
      </w:r>
      <w:r w:rsidR="00EB7764">
        <w:t xml:space="preserve"> </w:t>
      </w:r>
      <w:r w:rsidRPr="00767729">
        <w:t xml:space="preserve">in this proceeding, including input from </w:t>
      </w:r>
      <w:r w:rsidR="000016FB">
        <w:t xml:space="preserve">the </w:t>
      </w:r>
      <w:r w:rsidRPr="00767729">
        <w:t>Commission technical conference</w:t>
      </w:r>
      <w:r w:rsidR="000016FB">
        <w:t xml:space="preserve"> convened April 10-11, 2018</w:t>
      </w:r>
      <w:r w:rsidRPr="00767729">
        <w:t xml:space="preserve">, </w:t>
      </w:r>
      <w:r w:rsidR="00BB648E">
        <w:t xml:space="preserve">responses to a post-technical conference notice, </w:t>
      </w:r>
      <w:r w:rsidR="009C0231">
        <w:t xml:space="preserve">and </w:t>
      </w:r>
      <w:r w:rsidRPr="00767729">
        <w:t>responses to the Commission’s September 5, 2019 Data Requests to RTOs</w:t>
      </w:r>
      <w:r w:rsidR="005A31C5">
        <w:t>/ISOs</w:t>
      </w:r>
      <w:r w:rsidRPr="00767729">
        <w:t xml:space="preserve"> on policies and procedures that affect the interconnection of </w:t>
      </w:r>
      <w:r w:rsidR="002C723B">
        <w:t>distributed energy resource</w:t>
      </w:r>
      <w:r w:rsidRPr="00767729">
        <w:t xml:space="preserve">s.  In particular, certain </w:t>
      </w:r>
      <w:r w:rsidR="00845035">
        <w:t>proposals in</w:t>
      </w:r>
      <w:r w:rsidR="002031FC">
        <w:t xml:space="preserve"> the NOPR</w:t>
      </w:r>
      <w:r w:rsidRPr="00767729">
        <w:t xml:space="preserve"> have been altered </w:t>
      </w:r>
      <w:r w:rsidR="00AE60DF">
        <w:t xml:space="preserve">in this </w:t>
      </w:r>
      <w:r w:rsidR="00D51270">
        <w:t>f</w:t>
      </w:r>
      <w:r w:rsidR="00AE60DF">
        <w:t xml:space="preserve">inal </w:t>
      </w:r>
      <w:r w:rsidR="00D51270">
        <w:t>r</w:t>
      </w:r>
      <w:r w:rsidR="00AE60DF">
        <w:t xml:space="preserve">ule </w:t>
      </w:r>
      <w:r w:rsidRPr="00767729">
        <w:t xml:space="preserve">to better address the needs of different stakeholders, </w:t>
      </w:r>
      <w:r w:rsidR="00AF0299">
        <w:t>facilitate</w:t>
      </w:r>
      <w:r w:rsidRPr="00767729">
        <w:t xml:space="preserve"> solutions to </w:t>
      </w:r>
      <w:r w:rsidR="00271EE8">
        <w:t>potential</w:t>
      </w:r>
      <w:r w:rsidRPr="00767729" w:rsidR="00271EE8">
        <w:t xml:space="preserve"> </w:t>
      </w:r>
      <w:r w:rsidRPr="00767729">
        <w:t>technical challenges</w:t>
      </w:r>
      <w:r w:rsidR="00F76FB2">
        <w:t xml:space="preserve">, </w:t>
      </w:r>
      <w:r w:rsidRPr="00767729" w:rsidR="00F76FB2">
        <w:t>and to reflect the substantial efforts that have already been undertaken by some RTOs/ISOs to incorporate distributed energy resources into their markets</w:t>
      </w:r>
      <w:r w:rsidR="003E0BD0">
        <w:t>,</w:t>
      </w:r>
      <w:r w:rsidRPr="00767729">
        <w:t xml:space="preserve"> by providing for greater regional flexibility with respect to a number of proposed requirements. </w:t>
      </w:r>
    </w:p>
    <w:p w:rsidRPr="00767729" w:rsidR="00767729" w:rsidP="00767729" w:rsidRDefault="00767729" w14:paraId="747336E8" w14:textId="440964C8">
      <w:pPr>
        <w:pStyle w:val="FERCparanumber"/>
      </w:pPr>
      <w:r w:rsidRPr="00767729">
        <w:t xml:space="preserve">For each RTO/ISO, the tariff provisions </w:t>
      </w:r>
      <w:r w:rsidR="00CB5F5D">
        <w:t>addressing</w:t>
      </w:r>
      <w:r w:rsidRPr="00767729" w:rsidR="00CB5F5D">
        <w:t xml:space="preserve"> </w:t>
      </w:r>
      <w:r w:rsidRPr="00767729">
        <w:t xml:space="preserve">distributed energy resource aggregations must (1) </w:t>
      </w:r>
      <w:r w:rsidRPr="00A27EC6" w:rsidR="00A27EC6">
        <w:t>allow distributed energy resource aggregations to participate directly in RTO/ISO markets and establish distributed energy resource aggregators as a type of market participant; (2) allow distributed energy resource aggregators to register</w:t>
      </w:r>
      <w:r w:rsidRPr="00767729">
        <w:t xml:space="preserve"> distributed energy resource aggregations </w:t>
      </w:r>
      <w:r w:rsidRPr="00A27EC6" w:rsidR="00A27EC6">
        <w:t>under one or more</w:t>
      </w:r>
      <w:r w:rsidRPr="00767729">
        <w:t xml:space="preserve"> participation models </w:t>
      </w:r>
      <w:r w:rsidR="00A27EC6">
        <w:t>that</w:t>
      </w:r>
      <w:r w:rsidRPr="00A27EC6" w:rsidR="00A27EC6">
        <w:t xml:space="preserve"> accommodate the physical and operational characteristics</w:t>
      </w:r>
      <w:r w:rsidRPr="00767729">
        <w:t xml:space="preserve"> of </w:t>
      </w:r>
      <w:r w:rsidR="00A27EC6">
        <w:t xml:space="preserve">the </w:t>
      </w:r>
      <w:r w:rsidRPr="00767729">
        <w:t>distributed energy resource aggregations</w:t>
      </w:r>
      <w:r w:rsidR="00EA1AD4">
        <w:t>;</w:t>
      </w:r>
      <w:r w:rsidRPr="00767729">
        <w:t xml:space="preserve"> (3) </w:t>
      </w:r>
      <w:r w:rsidRPr="00185DC2" w:rsidR="00185DC2">
        <w:t>establish a minimum size requirement for distributed energy resource aggregations that does not exceed 100 kW</w:t>
      </w:r>
      <w:r w:rsidR="00216FA4">
        <w:t>;</w:t>
      </w:r>
      <w:r w:rsidRPr="00767729">
        <w:t xml:space="preserve"> (</w:t>
      </w:r>
      <w:r w:rsidR="00A27EC6">
        <w:t>4</w:t>
      </w:r>
      <w:r w:rsidRPr="00767729">
        <w:t xml:space="preserve">) </w:t>
      </w:r>
      <w:r w:rsidR="00A27EC6">
        <w:t xml:space="preserve">address </w:t>
      </w:r>
      <w:r w:rsidRPr="00767729">
        <w:t>locational requirements for distributed energy resource aggregations</w:t>
      </w:r>
      <w:r w:rsidR="005D0CB3">
        <w:t>;</w:t>
      </w:r>
      <w:r w:rsidRPr="00767729">
        <w:t xml:space="preserve"> (</w:t>
      </w:r>
      <w:r w:rsidR="00A27EC6">
        <w:t>5</w:t>
      </w:r>
      <w:r w:rsidRPr="00767729">
        <w:t>) address distribution factor</w:t>
      </w:r>
      <w:r w:rsidR="00A27EC6">
        <w:t>s</w:t>
      </w:r>
      <w:r w:rsidRPr="00767729">
        <w:t xml:space="preserve"> and bidding parameter</w:t>
      </w:r>
      <w:r w:rsidR="00724223">
        <w:t>s</w:t>
      </w:r>
      <w:r w:rsidRPr="00767729">
        <w:t xml:space="preserve"> for distributed energy resource aggregat</w:t>
      </w:r>
      <w:r w:rsidR="00185DC2">
        <w:t>ion</w:t>
      </w:r>
      <w:r w:rsidRPr="00767729">
        <w:t>s</w:t>
      </w:r>
      <w:r w:rsidR="00216FA4">
        <w:t>;</w:t>
      </w:r>
      <w:r w:rsidRPr="00767729">
        <w:t xml:space="preserve"> (</w:t>
      </w:r>
      <w:r w:rsidR="00A27EC6">
        <w:t>6</w:t>
      </w:r>
      <w:r w:rsidRPr="00767729">
        <w:t xml:space="preserve">) </w:t>
      </w:r>
      <w:r w:rsidR="00724223">
        <w:t xml:space="preserve">address </w:t>
      </w:r>
      <w:r w:rsidRPr="00767729">
        <w:t>information and data requirements for distributed energy resource aggregations</w:t>
      </w:r>
      <w:r w:rsidR="00216FA4">
        <w:t>;</w:t>
      </w:r>
      <w:r w:rsidRPr="00767729">
        <w:t xml:space="preserve"> (</w:t>
      </w:r>
      <w:r w:rsidR="00A27EC6">
        <w:t>7</w:t>
      </w:r>
      <w:r w:rsidRPr="00767729">
        <w:t xml:space="preserve">) </w:t>
      </w:r>
      <w:r w:rsidR="00724223">
        <w:t xml:space="preserve">address </w:t>
      </w:r>
      <w:r w:rsidRPr="00767729">
        <w:t xml:space="preserve">metering and telemetry </w:t>
      </w:r>
      <w:r w:rsidR="00724223">
        <w:t xml:space="preserve">requirements </w:t>
      </w:r>
      <w:r w:rsidRPr="00767729">
        <w:t>for distributed energy resource aggregation</w:t>
      </w:r>
      <w:r w:rsidR="0025603B">
        <w:t>s</w:t>
      </w:r>
      <w:r w:rsidR="000C17AB">
        <w:t>;</w:t>
      </w:r>
      <w:r w:rsidRPr="00767729">
        <w:t xml:space="preserve"> (</w:t>
      </w:r>
      <w:r w:rsidR="00A27EC6">
        <w:t>8</w:t>
      </w:r>
      <w:r w:rsidRPr="00767729">
        <w:t xml:space="preserve">) </w:t>
      </w:r>
      <w:r w:rsidR="00724223">
        <w:t>address coordination between the RTO/ISO, the distributed energy resource aggregator, the distribution utility, and the relevant electric retail regulatory authorities</w:t>
      </w:r>
      <w:r w:rsidR="001C1E8C">
        <w:t>;</w:t>
      </w:r>
      <w:r w:rsidRPr="00767729">
        <w:t xml:space="preserve"> </w:t>
      </w:r>
      <w:r w:rsidR="00185DC2">
        <w:t xml:space="preserve">(9) </w:t>
      </w:r>
      <w:r w:rsidRPr="00185DC2" w:rsidR="00185DC2">
        <w:t>address modification</w:t>
      </w:r>
      <w:r w:rsidR="005D0CB3">
        <w:t>s</w:t>
      </w:r>
      <w:r w:rsidRPr="00185DC2" w:rsidR="00185DC2">
        <w:t xml:space="preserve"> to the list of resources in a distributed energy resource aggregation</w:t>
      </w:r>
      <w:r w:rsidR="00185DC2">
        <w:t xml:space="preserve">; </w:t>
      </w:r>
      <w:r w:rsidRPr="00767729">
        <w:t xml:space="preserve">and (10) </w:t>
      </w:r>
      <w:r w:rsidRPr="00A27EC6" w:rsidR="00A27EC6">
        <w:t>address market participation agreements for distributed energy resource aggregators</w:t>
      </w:r>
      <w:r w:rsidR="005D0CB3">
        <w:t xml:space="preserve">. </w:t>
      </w:r>
      <w:r w:rsidR="00A27EC6">
        <w:t xml:space="preserve">  </w:t>
      </w:r>
      <w:r w:rsidRPr="00A27EC6" w:rsidR="00A27EC6">
        <w:t xml:space="preserve">  Additionally, each RTO/ISO must accept bids from a distributed energy resource aggregator if its aggregation includes distributed energy resources that are customers of utilities that distributed more than 4 million megawatt-hours in the previous fiscal year.  A</w:t>
      </w:r>
      <w:r w:rsidR="00350E4F">
        <w:t>n RTO</w:t>
      </w:r>
      <w:r w:rsidR="00F75F95">
        <w:t>/</w:t>
      </w:r>
      <w:r w:rsidR="00350E4F">
        <w:t>ISO</w:t>
      </w:r>
      <w:r w:rsidRPr="00A27EC6" w:rsidR="00A27EC6">
        <w:t xml:space="preserve"> must not accept bids from a distributed energy resource aggregator if its aggregation includes distributed energy resources that are customers of utilities that distributed 4 million megawatt-hours or less in the previous fiscal year, unless the relevant electric retail regulatory authority permits such customers to be bid into RTO/ISO markets by a distributed energy resource aggregator.</w:t>
      </w:r>
      <w:r w:rsidRPr="00767729">
        <w:t xml:space="preserve"> </w:t>
      </w:r>
    </w:p>
    <w:p w:rsidRPr="00767729" w:rsidR="00767729" w:rsidP="00767729" w:rsidRDefault="00767729" w14:paraId="030E602A" w14:textId="007C15DA">
      <w:pPr>
        <w:pStyle w:val="FERCparanumber"/>
      </w:pPr>
      <w:r w:rsidRPr="00767729">
        <w:t>As discussed further below</w:t>
      </w:r>
      <w:r w:rsidR="00DB030E">
        <w:t xml:space="preserve"> in </w:t>
      </w:r>
      <w:r w:rsidRPr="00471518" w:rsidR="00CA7678">
        <w:t xml:space="preserve">Section </w:t>
      </w:r>
      <w:r w:rsidRPr="00471518" w:rsidR="00DB030E">
        <w:t xml:space="preserve">IV.K </w:t>
      </w:r>
      <w:r w:rsidRPr="00471518" w:rsidR="00471518">
        <w:t>(</w:t>
      </w:r>
      <w:r w:rsidRPr="00471518" w:rsidR="00DB030E">
        <w:t>Compliance</w:t>
      </w:r>
      <w:r w:rsidRPr="00471518" w:rsidR="00471518">
        <w:t>)</w:t>
      </w:r>
      <w:r w:rsidRPr="00471518">
        <w:t>,</w:t>
      </w:r>
      <w:r w:rsidRPr="00767729">
        <w:t xml:space="preserve"> each RTO/ISO must file the tariff changes needed to implement the requirements of this </w:t>
      </w:r>
      <w:r w:rsidR="00D51270">
        <w:t>f</w:t>
      </w:r>
      <w:r w:rsidRPr="00767729">
        <w:t xml:space="preserve">inal </w:t>
      </w:r>
      <w:r w:rsidR="00D51270">
        <w:t>r</w:t>
      </w:r>
      <w:r w:rsidRPr="00767729">
        <w:t xml:space="preserve">ule within 270 days of the publication date of this </w:t>
      </w:r>
      <w:r w:rsidRPr="00D51270" w:rsidR="00D51270">
        <w:t>final rule</w:t>
      </w:r>
      <w:r w:rsidR="00D51270">
        <w:t xml:space="preserve"> </w:t>
      </w:r>
      <w:r w:rsidRPr="00767729">
        <w:t xml:space="preserve">in the </w:t>
      </w:r>
      <w:r w:rsidRPr="00D63C15">
        <w:rPr>
          <w:i/>
        </w:rPr>
        <w:t>Federal Register</w:t>
      </w:r>
      <w:r w:rsidRPr="00767729">
        <w:t xml:space="preserve">. </w:t>
      </w:r>
    </w:p>
    <w:p w:rsidRPr="00395600" w:rsidR="00A054BC" w:rsidP="00A054BC" w:rsidRDefault="00B671A4" w14:paraId="385C68BD" w14:textId="13ECFCCC">
      <w:pPr>
        <w:pStyle w:val="Heading1"/>
      </w:pPr>
      <w:bookmarkStart w:name="_bmk2" w:id="5"/>
      <w:r>
        <w:t>P</w:t>
      </w:r>
      <w:bookmarkEnd w:id="5"/>
      <w:r>
        <w:t>rocedural History</w:t>
      </w:r>
    </w:p>
    <w:p w:rsidRPr="001A3256" w:rsidR="00B671A4" w:rsidP="00B671A4" w:rsidRDefault="00B671A4" w14:paraId="180CD1D6" w14:textId="17A4210F">
      <w:pPr>
        <w:pStyle w:val="FERCparanumber"/>
      </w:pPr>
      <w:r>
        <w:t xml:space="preserve">This </w:t>
      </w:r>
      <w:r w:rsidRPr="00D51270" w:rsidR="00D51270">
        <w:t>final rule</w:t>
      </w:r>
      <w:r w:rsidR="00D51270">
        <w:t xml:space="preserve"> </w:t>
      </w:r>
      <w:r>
        <w:t>arise</w:t>
      </w:r>
      <w:r w:rsidR="00BF4A84">
        <w:t>s</w:t>
      </w:r>
      <w:r>
        <w:t xml:space="preserve"> out of the same Commission inquiry that led to Order No. 841,</w:t>
      </w:r>
      <w:r>
        <w:rPr>
          <w:rStyle w:val="FootnoteReference"/>
          <w:szCs w:val="26"/>
        </w:rPr>
        <w:footnoteReference w:id="15"/>
      </w:r>
      <w:r>
        <w:t xml:space="preserve"> in which the Commission amended </w:t>
      </w:r>
      <w:r w:rsidRPr="00282851">
        <w:t xml:space="preserve">its regulations under the </w:t>
      </w:r>
      <w:r>
        <w:t>FPA</w:t>
      </w:r>
      <w:r w:rsidRPr="00282851">
        <w:t xml:space="preserve"> to remove barriers to the participation</w:t>
      </w:r>
      <w:r>
        <w:t xml:space="preserve"> </w:t>
      </w:r>
      <w:r w:rsidRPr="00282851">
        <w:t>of</w:t>
      </w:r>
      <w:r>
        <w:t xml:space="preserve"> </w:t>
      </w:r>
      <w:r w:rsidRPr="00282851">
        <w:t xml:space="preserve">electric storage resources in </w:t>
      </w:r>
      <w:r>
        <w:t>RTO/ISO markets</w:t>
      </w:r>
      <w:r w:rsidRPr="00282851">
        <w:t>.</w:t>
      </w:r>
      <w:r>
        <w:t xml:space="preserve">  The </w:t>
      </w:r>
      <w:r w:rsidRPr="00AC18B7">
        <w:t xml:space="preserve">Commission </w:t>
      </w:r>
      <w:r>
        <w:t>commenced that inquiry by hosting</w:t>
      </w:r>
      <w:r w:rsidRPr="00AC18B7">
        <w:t xml:space="preserve"> a panel to</w:t>
      </w:r>
      <w:r>
        <w:t xml:space="preserve"> </w:t>
      </w:r>
      <w:r w:rsidRPr="00AC18B7">
        <w:t>discuss electric storage resources at its November 19, 2015</w:t>
      </w:r>
      <w:r w:rsidR="005D0CB3">
        <w:t>,</w:t>
      </w:r>
      <w:r w:rsidRPr="00AC18B7">
        <w:t xml:space="preserve"> open meeting</w:t>
      </w:r>
      <w:r>
        <w:t xml:space="preserve">.  Subsequently, </w:t>
      </w:r>
      <w:r w:rsidRPr="00AC18B7">
        <w:t>on April 11, 2016, Commission staff issued data requests to each of the six RTOs/ISOs</w:t>
      </w:r>
      <w:r>
        <w:t xml:space="preserve"> </w:t>
      </w:r>
      <w:r w:rsidRPr="00AC18B7">
        <w:t>seeking information about the rules in the RTO/ISO markets that affect the participation</w:t>
      </w:r>
      <w:r>
        <w:t xml:space="preserve"> </w:t>
      </w:r>
      <w:r w:rsidRPr="00AC18B7">
        <w:t>of electric storage resources.</w:t>
      </w:r>
      <w:r>
        <w:t xml:space="preserve">  </w:t>
      </w:r>
      <w:r w:rsidRPr="003F0D78">
        <w:t>Concurrently, Commission staff issued a request for</w:t>
      </w:r>
      <w:r>
        <w:t xml:space="preserve"> </w:t>
      </w:r>
      <w:r w:rsidRPr="003F0D78">
        <w:t>comments, seeking information from interested persons o</w:t>
      </w:r>
      <w:r>
        <w:t xml:space="preserve">n whether barriers exist to the </w:t>
      </w:r>
      <w:r w:rsidRPr="003F0D78">
        <w:t>participation of electric storage resources in the RTO/I</w:t>
      </w:r>
      <w:r>
        <w:t xml:space="preserve">SO markets that may potentially </w:t>
      </w:r>
      <w:r w:rsidRPr="003F0D78">
        <w:t xml:space="preserve">lead to unjust and unreasonable wholesale rates. </w:t>
      </w:r>
      <w:r>
        <w:t xml:space="preserve"> </w:t>
      </w:r>
      <w:r w:rsidRPr="003F0D78">
        <w:t>In addition to the responses fro</w:t>
      </w:r>
      <w:r>
        <w:t xml:space="preserve">m the </w:t>
      </w:r>
      <w:r w:rsidRPr="003F0D78">
        <w:t>RTOs/ISOs, Commis</w:t>
      </w:r>
      <w:r>
        <w:t>sion staff received 44 comments.  Many of the responses and comments discussed types of distributed energy resources and general market participation issues beyond concerns specific to electric storage resources.</w:t>
      </w:r>
      <w:r>
        <w:rPr>
          <w:rStyle w:val="FootnoteReference"/>
          <w:szCs w:val="26"/>
        </w:rPr>
        <w:footnoteReference w:id="16"/>
      </w:r>
      <w:r>
        <w:t xml:space="preserve"> </w:t>
      </w:r>
    </w:p>
    <w:p w:rsidRPr="00BF23A9" w:rsidR="00B671A4" w:rsidP="00B671A4" w:rsidRDefault="00B671A4" w14:paraId="3EDAB2BE" w14:textId="77777777">
      <w:pPr>
        <w:pStyle w:val="FERCparanumber"/>
      </w:pPr>
      <w:r w:rsidRPr="00BF23A9">
        <w:t>On November 17, 2016, the Commission issued the NOPR i</w:t>
      </w:r>
      <w:r>
        <w:t>n that proceeding.</w:t>
      </w:r>
    </w:p>
    <w:p w:rsidR="00B671A4" w:rsidP="00B671A4" w:rsidRDefault="00B671A4" w14:paraId="6707FF1C" w14:textId="7FCB553A">
      <w:pPr>
        <w:spacing w:line="480" w:lineRule="auto"/>
        <w:rPr>
          <w:szCs w:val="26"/>
        </w:rPr>
      </w:pPr>
      <w:r>
        <w:rPr>
          <w:szCs w:val="26"/>
        </w:rPr>
        <w:t xml:space="preserve">In addition to its proposed reforms to facilitate the participation of electric storage resources in RTO/ISO markets, the Commission proposed to </w:t>
      </w:r>
      <w:r w:rsidRPr="00BF23A9">
        <w:rPr>
          <w:szCs w:val="26"/>
        </w:rPr>
        <w:t xml:space="preserve">amend its regulations under the FPA to </w:t>
      </w:r>
      <w:r>
        <w:rPr>
          <w:szCs w:val="26"/>
        </w:rPr>
        <w:t>remove barriers</w:t>
      </w:r>
      <w:r w:rsidRPr="001D110E">
        <w:rPr>
          <w:szCs w:val="26"/>
        </w:rPr>
        <w:t xml:space="preserve"> in current RTO/ISO market</w:t>
      </w:r>
      <w:r>
        <w:rPr>
          <w:szCs w:val="26"/>
        </w:rPr>
        <w:t xml:space="preserve"> rules that may prevent </w:t>
      </w:r>
      <w:r w:rsidRPr="001D110E">
        <w:rPr>
          <w:szCs w:val="26"/>
        </w:rPr>
        <w:t xml:space="preserve">new, smaller distributed energy resources that are technically capable of participating in the </w:t>
      </w:r>
      <w:r>
        <w:rPr>
          <w:szCs w:val="26"/>
        </w:rPr>
        <w:t>RTO/ISO</w:t>
      </w:r>
      <w:r w:rsidRPr="001D110E">
        <w:rPr>
          <w:szCs w:val="26"/>
        </w:rPr>
        <w:t xml:space="preserve"> markets from doing so.</w:t>
      </w:r>
      <w:r w:rsidR="00E369B6">
        <w:rPr>
          <w:rStyle w:val="FootnoteReference"/>
          <w:szCs w:val="26"/>
        </w:rPr>
        <w:footnoteReference w:id="17"/>
      </w:r>
    </w:p>
    <w:p w:rsidRPr="001A3256" w:rsidR="00B671A4" w:rsidP="00B671A4" w:rsidRDefault="00B671A4" w14:paraId="38D2B814" w14:textId="40D66655">
      <w:pPr>
        <w:pStyle w:val="FERCparanumber"/>
      </w:pPr>
      <w:r w:rsidRPr="00BF23A9">
        <w:t>The Commission received</w:t>
      </w:r>
      <w:r>
        <w:t xml:space="preserve"> </w:t>
      </w:r>
      <w:r w:rsidRPr="00BF23A9">
        <w:t>109 comments on the NOPR from a diverse set of stakeholders.</w:t>
      </w:r>
      <w:r w:rsidRPr="00BF23A9">
        <w:rPr>
          <w:rStyle w:val="FootnoteReference"/>
          <w:szCs w:val="26"/>
        </w:rPr>
        <w:footnoteReference w:id="18"/>
      </w:r>
      <w:r>
        <w:t xml:space="preserve">  On February 15, 2018, the Commission issued Order No. 841.  In that </w:t>
      </w:r>
      <w:r w:rsidR="00A87DA7">
        <w:t xml:space="preserve">final </w:t>
      </w:r>
      <w:r>
        <w:t xml:space="preserve">rule, the Commission noted that more information was necessary to inform its consideration of its NOPR proposals regarding facilitating the participation of distributed energy resource aggregations in RTO/ISO markets and stated that it would </w:t>
      </w:r>
      <w:r w:rsidRPr="006E768C">
        <w:t>continue to explore the proposed distributed</w:t>
      </w:r>
      <w:r>
        <w:t xml:space="preserve"> </w:t>
      </w:r>
      <w:r w:rsidRPr="006E768C">
        <w:t>energy resource aggregation reforms under Docket No.</w:t>
      </w:r>
      <w:r w:rsidR="002343E6">
        <w:t> </w:t>
      </w:r>
      <w:r w:rsidRPr="006E768C">
        <w:t>RM18-9-000</w:t>
      </w:r>
      <w:r>
        <w:t>.</w:t>
      </w:r>
      <w:r>
        <w:rPr>
          <w:rStyle w:val="FootnoteReference"/>
          <w:szCs w:val="26"/>
        </w:rPr>
        <w:footnoteReference w:id="19"/>
      </w:r>
      <w:r>
        <w:t xml:space="preserve">  </w:t>
      </w:r>
    </w:p>
    <w:p w:rsidR="00B671A4" w:rsidP="00B671A4" w:rsidRDefault="00B671A4" w14:paraId="06ECA81E" w14:textId="14A691E4">
      <w:pPr>
        <w:pStyle w:val="FERCparanumber"/>
      </w:pPr>
      <w:r>
        <w:t xml:space="preserve">The Commission also announced </w:t>
      </w:r>
      <w:r w:rsidR="004F7706">
        <w:t xml:space="preserve">that </w:t>
      </w:r>
      <w:r>
        <w:t xml:space="preserve">it would hold a technical conference to gather </w:t>
      </w:r>
      <w:r w:rsidRPr="00BF23A9">
        <w:t>additional information</w:t>
      </w:r>
      <w:r>
        <w:t xml:space="preserve"> regarding some distributed energy resource aggregation issues.  T</w:t>
      </w:r>
      <w:r w:rsidRPr="00177CA8">
        <w:t>he technical conference</w:t>
      </w:r>
      <w:r>
        <w:t>, which was held on April 10</w:t>
      </w:r>
      <w:r w:rsidR="0089567A">
        <w:t>-</w:t>
      </w:r>
      <w:r>
        <w:t>11, 2018,</w:t>
      </w:r>
      <w:r w:rsidRPr="00177CA8">
        <w:t xml:space="preserve"> addressed five issues</w:t>
      </w:r>
      <w:r>
        <w:t xml:space="preserve"> related to this proceeding</w:t>
      </w:r>
      <w:r w:rsidRPr="00177CA8">
        <w:t xml:space="preserve">: </w:t>
      </w:r>
      <w:r>
        <w:t xml:space="preserve"> </w:t>
      </w:r>
      <w:r w:rsidRPr="00177CA8">
        <w:t xml:space="preserve">locational requirements, state and local regulator concerns, compensation for multiple services, coordination of </w:t>
      </w:r>
      <w:r>
        <w:t>distributed energy resource</w:t>
      </w:r>
      <w:r w:rsidRPr="00177CA8">
        <w:t xml:space="preserve"> aggregations, and ongoing operational coordination.</w:t>
      </w:r>
      <w:r w:rsidRPr="00BF23A9">
        <w:rPr>
          <w:b/>
          <w:vertAlign w:val="superscript"/>
        </w:rPr>
        <w:footnoteReference w:id="20"/>
      </w:r>
      <w:r w:rsidRPr="00177CA8">
        <w:t xml:space="preserve">  During the technical conference,</w:t>
      </w:r>
      <w:r w:rsidRPr="00177CA8" w:rsidDel="00147C20">
        <w:t xml:space="preserve"> </w:t>
      </w:r>
      <w:r>
        <w:t>more than</w:t>
      </w:r>
      <w:r w:rsidRPr="00177CA8">
        <w:t xml:space="preserve"> 50 individuals and entities offered a broad range of perspectives.  The Commission issued a notice </w:t>
      </w:r>
      <w:r w:rsidR="007D320A">
        <w:t>inviting</w:t>
      </w:r>
      <w:r w:rsidRPr="00177CA8">
        <w:t xml:space="preserve"> post-technical conference comments and request</w:t>
      </w:r>
      <w:r w:rsidR="00915BA0">
        <w:t>ing</w:t>
      </w:r>
      <w:r w:rsidRPr="00177CA8">
        <w:t xml:space="preserve"> comment</w:t>
      </w:r>
      <w:r w:rsidR="0093011C">
        <w:t>s</w:t>
      </w:r>
      <w:r w:rsidRPr="00177CA8">
        <w:t xml:space="preserve"> on a number of follow-up questions related to each panel.</w:t>
      </w:r>
      <w:r w:rsidRPr="00177CA8">
        <w:rPr>
          <w:b/>
          <w:vertAlign w:val="superscript"/>
        </w:rPr>
        <w:footnoteReference w:id="21"/>
      </w:r>
      <w:r w:rsidRPr="00177CA8">
        <w:t xml:space="preserve">  The Commission received 52 post-technical conference comments from a diverse set of stakeholders. </w:t>
      </w:r>
    </w:p>
    <w:p w:rsidRPr="00395600" w:rsidR="00A054BC" w:rsidP="00B671A4" w:rsidRDefault="00B671A4" w14:paraId="4C2AFDCA" w14:textId="5D327C79">
      <w:pPr>
        <w:pStyle w:val="FERCparanumber"/>
      </w:pPr>
      <w:r>
        <w:t xml:space="preserve">On September 5, 2019, </w:t>
      </w:r>
      <w:r w:rsidRPr="007D0FE8">
        <w:t xml:space="preserve">Commission staff </w:t>
      </w:r>
      <w:r>
        <w:t>issued data requests to each of the six</w:t>
      </w:r>
      <w:r w:rsidRPr="007D0FE8">
        <w:t xml:space="preserve"> RTOs/ISOs </w:t>
      </w:r>
      <w:r>
        <w:t xml:space="preserve">seeking information </w:t>
      </w:r>
      <w:r w:rsidRPr="007D0FE8">
        <w:t>regarding their policies and procedures</w:t>
      </w:r>
      <w:r>
        <w:t xml:space="preserve"> </w:t>
      </w:r>
      <w:r w:rsidRPr="007D0FE8">
        <w:t>that affect the interconnection of distributed energy resources.</w:t>
      </w:r>
      <w:r>
        <w:t xml:space="preserve">  </w:t>
      </w:r>
      <w:r w:rsidRPr="003F0D78">
        <w:t>In addition to the responses fro</w:t>
      </w:r>
      <w:r>
        <w:t xml:space="preserve">m the </w:t>
      </w:r>
      <w:r w:rsidRPr="003F0D78">
        <w:t>RTOs/ISOs, Commis</w:t>
      </w:r>
      <w:r>
        <w:t xml:space="preserve">sion staff received 11 reply comments.  </w:t>
      </w:r>
    </w:p>
    <w:p w:rsidRPr="00E4186D" w:rsidR="005977D6" w:rsidP="00E4186D" w:rsidRDefault="005977D6" w14:paraId="74DE0DDD" w14:textId="19D7039F">
      <w:pPr>
        <w:pStyle w:val="FERCparanumber"/>
        <w:rPr>
          <w:szCs w:val="26"/>
        </w:rPr>
      </w:pPr>
      <w:r>
        <w:t>Some RTOs/ISOs in recent years have taken steps to facilitate the participation of distributed energy resource aggregations in their markets, and the Commission has approved these proposals.  In June 2016 and January 2020</w:t>
      </w:r>
      <w:r w:rsidR="00DE4D10">
        <w:t>,</w:t>
      </w:r>
      <w:r>
        <w:t xml:space="preserve"> t</w:t>
      </w:r>
      <w:r w:rsidRPr="00BF23A9">
        <w:t xml:space="preserve">he Commission </w:t>
      </w:r>
      <w:r>
        <w:t>accepted proposals</w:t>
      </w:r>
      <w:r w:rsidRPr="00BF23A9">
        <w:t xml:space="preserve"> to allow </w:t>
      </w:r>
      <w:r>
        <w:t>distributed energy resource</w:t>
      </w:r>
      <w:r w:rsidRPr="00BF23A9">
        <w:t xml:space="preserve"> aggregations</w:t>
      </w:r>
      <w:r>
        <w:t xml:space="preserve"> to participate</w:t>
      </w:r>
      <w:r w:rsidRPr="00BF23A9">
        <w:t xml:space="preserve"> in </w:t>
      </w:r>
      <w:r>
        <w:t>certain RTO/ISO</w:t>
      </w:r>
      <w:r w:rsidRPr="00BF23A9">
        <w:t xml:space="preserve"> markets.</w:t>
      </w:r>
      <w:r>
        <w:rPr>
          <w:rStyle w:val="FootnoteReference"/>
          <w:szCs w:val="26"/>
        </w:rPr>
        <w:footnoteReference w:id="22"/>
      </w:r>
      <w:r w:rsidRPr="00BF23A9">
        <w:t xml:space="preserve"> </w:t>
      </w:r>
      <w:r>
        <w:t xml:space="preserve"> </w:t>
      </w:r>
      <w:r w:rsidRPr="00BF23A9">
        <w:t>In addition, RTOs</w:t>
      </w:r>
      <w:r>
        <w:t>/</w:t>
      </w:r>
      <w:r w:rsidRPr="00BF23A9">
        <w:t xml:space="preserve">ISOs have implemented some </w:t>
      </w:r>
      <w:r>
        <w:t xml:space="preserve">participation </w:t>
      </w:r>
      <w:r w:rsidRPr="00BF23A9">
        <w:t xml:space="preserve">models for </w:t>
      </w:r>
      <w:r>
        <w:t xml:space="preserve">distributed energy resource aggregations </w:t>
      </w:r>
      <w:r w:rsidRPr="00BF23A9">
        <w:t>to participate in their</w:t>
      </w:r>
      <w:r>
        <w:t xml:space="preserve"> markets, often as </w:t>
      </w:r>
      <w:r w:rsidRPr="00BF23A9">
        <w:t>demand response resources, with a few exceptions.</w:t>
      </w:r>
      <w:r>
        <w:rPr>
          <w:rStyle w:val="FootnoteReference"/>
        </w:rPr>
        <w:footnoteReference w:id="23"/>
      </w:r>
      <w:r w:rsidRPr="00BF23A9">
        <w:t xml:space="preserve">  </w:t>
      </w:r>
    </w:p>
    <w:p w:rsidR="00B671A4" w:rsidP="00A054BC" w:rsidRDefault="00B671A4" w14:paraId="04BB9EBB" w14:textId="3A11BACD">
      <w:pPr>
        <w:pStyle w:val="Heading1"/>
        <w:autoSpaceDE w:val="0"/>
        <w:autoSpaceDN w:val="0"/>
        <w:adjustRightInd w:val="0"/>
      </w:pPr>
      <w:bookmarkStart w:name="_bmk3" w:id="6"/>
      <w:r>
        <w:t>N</w:t>
      </w:r>
      <w:bookmarkEnd w:id="6"/>
      <w:r>
        <w:t>eed for Reform</w:t>
      </w:r>
    </w:p>
    <w:p w:rsidR="00B671A4" w:rsidP="00B671A4" w:rsidRDefault="00B671A4" w14:paraId="487E0A84" w14:textId="22D4A13B">
      <w:pPr>
        <w:pStyle w:val="FERCparanumber"/>
      </w:pPr>
      <w:r w:rsidRPr="0084566A">
        <w:t>In the NOPR, the Commission stated that its proposal is a continuation of efforts pursuant to its authority under the FPA to ensure that the RTO/ISO tariffs and market rules produce just and reasonable rates, terms</w:t>
      </w:r>
      <w:r w:rsidR="00BC6B3A">
        <w:t>,</w:t>
      </w:r>
      <w:r w:rsidRPr="0084566A">
        <w:t xml:space="preserve"> and conditions of service.</w:t>
      </w:r>
      <w:r>
        <w:rPr>
          <w:rStyle w:val="FootnoteReference"/>
        </w:rPr>
        <w:footnoteReference w:id="24"/>
      </w:r>
      <w:r>
        <w:t xml:space="preserve">  </w:t>
      </w:r>
      <w:r w:rsidRPr="00CD218C">
        <w:t>Specifically, the Commission noted that</w:t>
      </w:r>
      <w:r>
        <w:t xml:space="preserve"> </w:t>
      </w:r>
      <w:r w:rsidRPr="00E471E1">
        <w:t>it ha</w:t>
      </w:r>
      <w:r w:rsidR="0005612F">
        <w:t>d</w:t>
      </w:r>
      <w:r w:rsidRPr="00E471E1">
        <w:t xml:space="preserve"> observed that market rules designed for traditional resources can create barriers to entry for emerging technologies.</w:t>
      </w:r>
      <w:r>
        <w:t xml:space="preserve">  The Commission </w:t>
      </w:r>
      <w:r w:rsidR="00100C66">
        <w:t>expressed</w:t>
      </w:r>
      <w:r>
        <w:t xml:space="preserve"> its</w:t>
      </w:r>
      <w:r w:rsidRPr="007B5EF1">
        <w:t xml:space="preserve"> concern that existing RTO/ISO tariffs impede the participation of distributed energy resources in the </w:t>
      </w:r>
      <w:r>
        <w:t>RTO/ISO markets</w:t>
      </w:r>
      <w:r w:rsidRPr="007B5EF1">
        <w:t xml:space="preserve"> by providing limited opportunities for distributed energy resource aggregations.</w:t>
      </w:r>
      <w:r w:rsidR="0032140A">
        <w:rPr>
          <w:rStyle w:val="FootnoteReference"/>
        </w:rPr>
        <w:footnoteReference w:id="25"/>
      </w:r>
    </w:p>
    <w:p w:rsidR="00B671A4" w:rsidP="00B671A4" w:rsidRDefault="00B671A4" w14:paraId="2666582D" w14:textId="1F221972">
      <w:pPr>
        <w:pStyle w:val="FERCparanumber"/>
      </w:pPr>
      <w:r>
        <w:t xml:space="preserve">The Commission acknowledged in the NOPR that </w:t>
      </w:r>
      <w:r w:rsidRPr="007B5EF1">
        <w:t xml:space="preserve">distributed energy resources can at times effectively </w:t>
      </w:r>
      <w:r w:rsidR="00981A86">
        <w:t>provide</w:t>
      </w:r>
      <w:r w:rsidRPr="007B5EF1" w:rsidR="00981A86">
        <w:t xml:space="preserve"> </w:t>
      </w:r>
      <w:r w:rsidRPr="007B5EF1">
        <w:t xml:space="preserve">the capacity, energy, and ancillary services that are </w:t>
      </w:r>
      <w:r w:rsidR="00A66DBF">
        <w:t>purchased and sold</w:t>
      </w:r>
      <w:r w:rsidRPr="007B5EF1">
        <w:t xml:space="preserve"> in the </w:t>
      </w:r>
      <w:r>
        <w:t>RTO/ISO</w:t>
      </w:r>
      <w:r w:rsidRPr="007B5EF1">
        <w:t xml:space="preserve"> markets</w:t>
      </w:r>
      <w:r>
        <w:t>.</w:t>
      </w:r>
      <w:r>
        <w:rPr>
          <w:rStyle w:val="FootnoteReference"/>
        </w:rPr>
        <w:footnoteReference w:id="26"/>
      </w:r>
      <w:r>
        <w:t xml:space="preserve">  However, the Commission explained that </w:t>
      </w:r>
      <w:r w:rsidR="00CF1BFB">
        <w:t xml:space="preserve">sometimes </w:t>
      </w:r>
      <w:r w:rsidRPr="007B5EF1">
        <w:t>the</w:t>
      </w:r>
      <w:r w:rsidR="00C12D7A">
        <w:t>se resources</w:t>
      </w:r>
      <w:r w:rsidRPr="007B5EF1">
        <w:t xml:space="preserve"> can be too small to participate in these markets individually</w:t>
      </w:r>
      <w:r>
        <w:t xml:space="preserve">.  The Commission also noted that </w:t>
      </w:r>
      <w:r w:rsidRPr="007B5EF1">
        <w:t xml:space="preserve">current </w:t>
      </w:r>
      <w:r>
        <w:t>RTO/ISO market</w:t>
      </w:r>
      <w:r w:rsidRPr="007B5EF1">
        <w:t xml:space="preserve"> rules often limit the services </w:t>
      </w:r>
      <w:r w:rsidR="00100C66">
        <w:t xml:space="preserve">that </w:t>
      </w:r>
      <w:r w:rsidRPr="007B5EF1">
        <w:t>distributed energy resources are eligible to provide, in many cases only allowing these resources to be used as demand response or load-side resources when they are located behind a customer meter or by imposing prohibitively expensive or otherwise burdensome requirements.</w:t>
      </w:r>
      <w:r w:rsidR="00484B38">
        <w:t xml:space="preserve">  </w:t>
      </w:r>
    </w:p>
    <w:p w:rsidRPr="00B671A4" w:rsidR="00B671A4" w:rsidP="00B671A4" w:rsidRDefault="00050BA1" w14:paraId="55382B81" w14:textId="2E7E3FCD">
      <w:pPr>
        <w:pStyle w:val="FERCparanumber"/>
      </w:pPr>
      <w:r w:rsidRPr="00422142">
        <w:t>The</w:t>
      </w:r>
      <w:r w:rsidRPr="00422142" w:rsidR="00B671A4">
        <w:t xml:space="preserve"> Commission preliminarily found that</w:t>
      </w:r>
      <w:r w:rsidR="00B671A4">
        <w:t xml:space="preserve"> </w:t>
      </w:r>
      <w:r w:rsidRPr="00422142" w:rsidR="00B671A4">
        <w:t xml:space="preserve">the barriers to the participation of distributed energy resources through distributed energy resource aggregations in the </w:t>
      </w:r>
      <w:r w:rsidR="00B671A4">
        <w:t>RTO/ISO</w:t>
      </w:r>
      <w:r w:rsidRPr="00422142" w:rsidR="00B671A4">
        <w:t xml:space="preserve"> markets may, in some cases, unnecessarily restrict competition, which could lead to unjust and unreasonable rates.</w:t>
      </w:r>
      <w:r w:rsidR="00B671A4">
        <w:rPr>
          <w:rStyle w:val="FootnoteReference"/>
        </w:rPr>
        <w:footnoteReference w:id="27"/>
      </w:r>
      <w:r w:rsidR="00B671A4">
        <w:t xml:space="preserve">  The Commission stated that e</w:t>
      </w:r>
      <w:r w:rsidRPr="002244C4" w:rsidR="00B671A4">
        <w:t>ffective wholesale competition encourages entry and exit and promotes innovation, incents the efficient operation of resources, and allocates risk appropriately between consumers and producers.</w:t>
      </w:r>
      <w:r w:rsidR="00B671A4">
        <w:t xml:space="preserve">  </w:t>
      </w:r>
      <w:r>
        <w:t xml:space="preserve">Thus, the </w:t>
      </w:r>
      <w:r w:rsidR="00B671A4">
        <w:t>Commission stated that r</w:t>
      </w:r>
      <w:r w:rsidRPr="00C51057" w:rsidR="00B671A4">
        <w:t xml:space="preserve">emoving the barriers </w:t>
      </w:r>
      <w:r>
        <w:t xml:space="preserve">to </w:t>
      </w:r>
      <w:r w:rsidR="00BD728B">
        <w:t xml:space="preserve">participation </w:t>
      </w:r>
      <w:r>
        <w:t xml:space="preserve">by </w:t>
      </w:r>
      <w:r w:rsidRPr="00422142">
        <w:t xml:space="preserve">distributed energy resource aggregations </w:t>
      </w:r>
      <w:r w:rsidRPr="00C51057" w:rsidR="00B671A4">
        <w:t xml:space="preserve">will enhance the competitiveness, and in turn the efficiency, of </w:t>
      </w:r>
      <w:r w:rsidR="00B671A4">
        <w:t>RTO/ISO</w:t>
      </w:r>
      <w:r w:rsidRPr="00C51057" w:rsidR="00B671A4">
        <w:t xml:space="preserve"> markets and thereby help to ensure just and reasonable and not unduly discriminatory or preferential rates for wholesale electric services.</w:t>
      </w:r>
    </w:p>
    <w:p w:rsidR="00B671A4" w:rsidP="00B671A4" w:rsidRDefault="00B671A4" w14:paraId="787A03C8" w14:textId="24C5D051">
      <w:pPr>
        <w:pStyle w:val="Heading2"/>
      </w:pPr>
      <w:bookmarkStart w:name="_bmk4" w:id="7"/>
      <w:r>
        <w:t>C</w:t>
      </w:r>
      <w:bookmarkEnd w:id="7"/>
      <w:r>
        <w:t>omments</w:t>
      </w:r>
    </w:p>
    <w:p w:rsidRPr="00A11B21" w:rsidR="00B671A4" w:rsidP="00B671A4" w:rsidRDefault="00B671A4" w14:paraId="4D22E148" w14:textId="14C0B925">
      <w:pPr>
        <w:pStyle w:val="FERCparanumber"/>
      </w:pPr>
      <w:r w:rsidRPr="00A50DBE">
        <w:t xml:space="preserve">Most commenters, including state entities and RTOs/ISOs, support </w:t>
      </w:r>
      <w:r w:rsidR="00071704">
        <w:t xml:space="preserve">requiring RTOs/ISOs to </w:t>
      </w:r>
      <w:r w:rsidRPr="00071704" w:rsidR="00071704">
        <w:t xml:space="preserve">remove barriers to the participation of distributed energy resource aggregations in </w:t>
      </w:r>
      <w:r w:rsidR="001A7D69">
        <w:t>their</w:t>
      </w:r>
      <w:r w:rsidR="00071704">
        <w:t xml:space="preserve"> markets</w:t>
      </w:r>
      <w:r w:rsidRPr="00A50DBE">
        <w:t>, subject to the Commission</w:t>
      </w:r>
      <w:r w:rsidR="00D218C3">
        <w:t>’s</w:t>
      </w:r>
      <w:r w:rsidRPr="00A50DBE">
        <w:t xml:space="preserve"> adopting certain modifications </w:t>
      </w:r>
      <w:r w:rsidR="001A7D69">
        <w:t xml:space="preserve">to the </w:t>
      </w:r>
      <w:r w:rsidR="00BA29A2">
        <w:t xml:space="preserve">NOPR </w:t>
      </w:r>
      <w:r w:rsidR="001A7D69">
        <w:t>proposals</w:t>
      </w:r>
      <w:r w:rsidRPr="00A50DBE">
        <w:t xml:space="preserve"> and/or allowing for regional flexibility in implementing reforms in any eventual final rule.</w:t>
      </w:r>
      <w:r w:rsidRPr="007A657D">
        <w:rPr>
          <w:rStyle w:val="FootnoteReference"/>
        </w:rPr>
        <w:footnoteReference w:id="28"/>
      </w:r>
      <w:r w:rsidRPr="00A50DBE">
        <w:t xml:space="preserve">  Among other things, these commenters identify improved competition and reliability as benefits of the </w:t>
      </w:r>
      <w:r w:rsidR="00B311D2">
        <w:t>proposed reforms</w:t>
      </w:r>
      <w:r w:rsidRPr="00A50DBE">
        <w:t xml:space="preserve"> and note that </w:t>
      </w:r>
      <w:r w:rsidR="00B311D2">
        <w:t>they provide</w:t>
      </w:r>
      <w:r w:rsidRPr="00A50DBE">
        <w:t xml:space="preserve"> a better way to provide price signals to </w:t>
      </w:r>
      <w:r>
        <w:t>distributed energy resource</w:t>
      </w:r>
      <w:r w:rsidRPr="00A50DBE">
        <w:t>s than current retail programs,</w:t>
      </w:r>
      <w:r w:rsidRPr="007A657D">
        <w:rPr>
          <w:rStyle w:val="FootnoteReference"/>
        </w:rPr>
        <w:footnoteReference w:id="29"/>
      </w:r>
      <w:r w:rsidRPr="00A50DBE">
        <w:t xml:space="preserve"> which may </w:t>
      </w:r>
      <w:r w:rsidRPr="005C1832" w:rsidR="005C1832">
        <w:t>reduce the cost of meeting power system needs</w:t>
      </w:r>
      <w:r w:rsidRPr="00A50DBE">
        <w:t>.</w:t>
      </w:r>
      <w:r w:rsidRPr="00D9738A">
        <w:rPr>
          <w:rStyle w:val="FootnoteReference"/>
        </w:rPr>
        <w:footnoteReference w:id="30"/>
      </w:r>
      <w:r w:rsidRPr="00A50DBE">
        <w:t xml:space="preserve">  </w:t>
      </w:r>
      <w:r w:rsidR="004454EF">
        <w:t>AWEA</w:t>
      </w:r>
      <w:r w:rsidRPr="00A50DBE">
        <w:t xml:space="preserve"> note</w:t>
      </w:r>
      <w:r w:rsidR="004454EF">
        <w:t>s</w:t>
      </w:r>
      <w:r w:rsidRPr="00A50DBE">
        <w:t xml:space="preserve"> that participation in wholesale markets allows </w:t>
      </w:r>
      <w:r>
        <w:t>distributed energy resources</w:t>
      </w:r>
      <w:r w:rsidRPr="00A50DBE">
        <w:t xml:space="preserve"> to receive real-time information about system needs</w:t>
      </w:r>
      <w:r w:rsidR="00F92A7F">
        <w:t>.</w:t>
      </w:r>
      <w:r w:rsidRPr="00367C29">
        <w:rPr>
          <w:rStyle w:val="FootnoteReference"/>
        </w:rPr>
        <w:footnoteReference w:id="31"/>
      </w:r>
      <w:r w:rsidRPr="00A50DBE">
        <w:t xml:space="preserve"> </w:t>
      </w:r>
      <w:r w:rsidR="00904321">
        <w:t xml:space="preserve"> </w:t>
      </w:r>
      <w:r w:rsidRPr="00A50DBE">
        <w:t xml:space="preserve">Commenters also </w:t>
      </w:r>
      <w:r w:rsidR="00F03C32">
        <w:t>state</w:t>
      </w:r>
      <w:r w:rsidRPr="00A50DBE" w:rsidR="00F03C32">
        <w:t xml:space="preserve"> </w:t>
      </w:r>
      <w:r w:rsidRPr="00A50DBE">
        <w:t xml:space="preserve">that the removal of barriers </w:t>
      </w:r>
      <w:r w:rsidR="001C39FB">
        <w:t xml:space="preserve">to, </w:t>
      </w:r>
      <w:r w:rsidRPr="00A50DBE">
        <w:t>and integration of</w:t>
      </w:r>
      <w:r w:rsidR="001C39FB">
        <w:t>,</w:t>
      </w:r>
      <w:r w:rsidRPr="00A50DBE">
        <w:t xml:space="preserve"> </w:t>
      </w:r>
      <w:r>
        <w:t>distributed energy</w:t>
      </w:r>
      <w:r w:rsidRPr="00A50DBE">
        <w:t xml:space="preserve"> resource </w:t>
      </w:r>
      <w:r w:rsidR="001B58C3">
        <w:t>aggregations</w:t>
      </w:r>
      <w:r w:rsidRPr="00A50DBE">
        <w:t xml:space="preserve"> could spur innovation, and allow </w:t>
      </w:r>
      <w:r>
        <w:t>the</w:t>
      </w:r>
      <w:r w:rsidR="00A01473">
        <w:t>se aggregations</w:t>
      </w:r>
      <w:r w:rsidRPr="00A50DBE">
        <w:t xml:space="preserve"> to serve important roles on the grid.</w:t>
      </w:r>
      <w:r w:rsidRPr="00367C29">
        <w:rPr>
          <w:rStyle w:val="FootnoteReference"/>
        </w:rPr>
        <w:footnoteReference w:id="32"/>
      </w:r>
      <w:r w:rsidRPr="00A50DBE">
        <w:t xml:space="preserve"> </w:t>
      </w:r>
      <w:r>
        <w:t xml:space="preserve"> </w:t>
      </w:r>
      <w:r w:rsidRPr="00A50DBE">
        <w:t xml:space="preserve">Several commenters emphasize that </w:t>
      </w:r>
      <w:r>
        <w:t>a</w:t>
      </w:r>
      <w:r w:rsidRPr="00A50DBE">
        <w:t xml:space="preserve"> </w:t>
      </w:r>
      <w:r>
        <w:t>distributed energy resource</w:t>
      </w:r>
      <w:r w:rsidRPr="00A50DBE">
        <w:t xml:space="preserve"> </w:t>
      </w:r>
      <w:r w:rsidR="001B58C3">
        <w:t xml:space="preserve">aggregation </w:t>
      </w:r>
      <w:r w:rsidRPr="00A50DBE">
        <w:t xml:space="preserve">framework must ensure that aggregated </w:t>
      </w:r>
      <w:r>
        <w:t>distributed energy resource</w:t>
      </w:r>
      <w:r w:rsidRPr="00A50DBE">
        <w:t>s can provide all the services that they are capable of providing,</w:t>
      </w:r>
      <w:r>
        <w:rPr>
          <w:rStyle w:val="FootnoteReference"/>
        </w:rPr>
        <w:footnoteReference w:id="33"/>
      </w:r>
      <w:r w:rsidRPr="00A50DBE">
        <w:t xml:space="preserve"> while competing on a level and technology</w:t>
      </w:r>
      <w:r w:rsidR="00F03C32">
        <w:t>-</w:t>
      </w:r>
      <w:r w:rsidRPr="00A50DBE">
        <w:t>neutral playing field with other resources.</w:t>
      </w:r>
      <w:r w:rsidRPr="00367C29">
        <w:rPr>
          <w:rStyle w:val="FootnoteReference"/>
        </w:rPr>
        <w:footnoteReference w:id="34"/>
      </w:r>
      <w:r w:rsidRPr="00A50DBE">
        <w:t xml:space="preserve"> </w:t>
      </w:r>
      <w:r>
        <w:t xml:space="preserve"> </w:t>
      </w:r>
      <w:r w:rsidRPr="00A50DBE">
        <w:t xml:space="preserve">Some </w:t>
      </w:r>
      <w:r w:rsidR="00F03C32">
        <w:t>commenters</w:t>
      </w:r>
      <w:r w:rsidRPr="00A50DBE">
        <w:t xml:space="preserve"> note that </w:t>
      </w:r>
      <w:r>
        <w:t>distributed energy resources</w:t>
      </w:r>
      <w:r w:rsidRPr="00A50DBE">
        <w:t xml:space="preserve"> do not currently fit within existing paradigms, which were designed for, and favor, other resources.</w:t>
      </w:r>
      <w:r w:rsidRPr="00367C29">
        <w:rPr>
          <w:rStyle w:val="FootnoteReference"/>
        </w:rPr>
        <w:footnoteReference w:id="35"/>
      </w:r>
      <w:r w:rsidRPr="00A50DBE">
        <w:t xml:space="preserve">  Others </w:t>
      </w:r>
      <w:r w:rsidR="00F03C32">
        <w:t>state</w:t>
      </w:r>
      <w:r w:rsidRPr="00A50DBE" w:rsidR="00F03C32">
        <w:t xml:space="preserve"> </w:t>
      </w:r>
      <w:r w:rsidRPr="00A50DBE">
        <w:t xml:space="preserve">that for </w:t>
      </w:r>
      <w:r>
        <w:t>distributed energy resource</w:t>
      </w:r>
      <w:r w:rsidR="00A9337E">
        <w:t xml:space="preserve">s and distributed energy </w:t>
      </w:r>
      <w:r>
        <w:t>resource</w:t>
      </w:r>
      <w:r w:rsidR="00B6421E">
        <w:t xml:space="preserve"> aggregation</w:t>
      </w:r>
      <w:r>
        <w:t>s</w:t>
      </w:r>
      <w:r w:rsidRPr="00A50DBE">
        <w:t xml:space="preserve"> to fairly participate, </w:t>
      </w:r>
      <w:r>
        <w:t>they</w:t>
      </w:r>
      <w:r w:rsidRPr="00A50DBE">
        <w:t xml:space="preserve"> must meet the same technical and commercial requirements as other resources, and pay equally for ancillary services and use of the transmission system.</w:t>
      </w:r>
      <w:r w:rsidRPr="00367C29">
        <w:rPr>
          <w:rStyle w:val="FootnoteReference"/>
        </w:rPr>
        <w:footnoteReference w:id="36"/>
      </w:r>
    </w:p>
    <w:p w:rsidRPr="00A11B21" w:rsidR="00B32504" w:rsidP="00B671A4" w:rsidRDefault="00B32504" w14:paraId="655C5030" w14:textId="458846F9">
      <w:pPr>
        <w:pStyle w:val="FERCparanumber"/>
      </w:pPr>
      <w:r w:rsidRPr="00641833">
        <w:t xml:space="preserve">Several commenters assert that existing participation models discriminate against distributed energy resources.  </w:t>
      </w:r>
      <w:r>
        <w:t xml:space="preserve">For instance, Public Interest Organizations argue that distributed energy resources in PJM are often forced into participating as demand response, or interconnecting as generation, which </w:t>
      </w:r>
      <w:r w:rsidR="001C39FB">
        <w:t xml:space="preserve">are </w:t>
      </w:r>
      <w:r>
        <w:t>cost prohibitive.</w:t>
      </w:r>
      <w:r>
        <w:rPr>
          <w:rStyle w:val="FootnoteReference"/>
        </w:rPr>
        <w:footnoteReference w:id="37"/>
      </w:r>
      <w:r>
        <w:t xml:space="preserve">  </w:t>
      </w:r>
      <w:r w:rsidRPr="005E150A">
        <w:t xml:space="preserve">Stem </w:t>
      </w:r>
      <w:r>
        <w:t xml:space="preserve">asserts that </w:t>
      </w:r>
      <w:r w:rsidRPr="005E150A">
        <w:t>CAISO</w:t>
      </w:r>
      <w:r>
        <w:t>’s</w:t>
      </w:r>
      <w:r w:rsidRPr="005E150A">
        <w:t xml:space="preserve"> N</w:t>
      </w:r>
      <w:r>
        <w:t>on</w:t>
      </w:r>
      <w:r w:rsidR="00DD14B9">
        <w:t>-</w:t>
      </w:r>
      <w:r w:rsidRPr="005E150A">
        <w:t>G</w:t>
      </w:r>
      <w:r>
        <w:t xml:space="preserve">enerator </w:t>
      </w:r>
      <w:r w:rsidRPr="005E150A">
        <w:t>R</w:t>
      </w:r>
      <w:r>
        <w:t>esource</w:t>
      </w:r>
      <w:r w:rsidRPr="005E150A">
        <w:t xml:space="preserve"> </w:t>
      </w:r>
      <w:r>
        <w:t xml:space="preserve">and </w:t>
      </w:r>
      <w:r w:rsidRPr="005E150A">
        <w:t>D</w:t>
      </w:r>
      <w:r>
        <w:t>istributed Energy Resource Provider</w:t>
      </w:r>
      <w:r w:rsidRPr="005E150A">
        <w:t xml:space="preserve"> model</w:t>
      </w:r>
      <w:r>
        <w:t>s</w:t>
      </w:r>
      <w:r w:rsidRPr="005E150A">
        <w:t xml:space="preserve"> </w:t>
      </w:r>
      <w:r>
        <w:t>effectively</w:t>
      </w:r>
      <w:r w:rsidRPr="005E150A">
        <w:t xml:space="preserve"> prevent participation of behind-the-meter resources in </w:t>
      </w:r>
      <w:r>
        <w:t>CAISO</w:t>
      </w:r>
      <w:r w:rsidRPr="005E150A">
        <w:t>.</w:t>
      </w:r>
      <w:r>
        <w:rPr>
          <w:rStyle w:val="FootnoteReference"/>
        </w:rPr>
        <w:footnoteReference w:id="38"/>
      </w:r>
      <w:r>
        <w:t xml:space="preserve">  </w:t>
      </w:r>
      <w:r w:rsidRPr="00641833">
        <w:t>Advanced Energy Economy contends that, despite the benefits that aggregated distributed energy resources provide,</w:t>
      </w:r>
      <w:r w:rsidRPr="00C2545B">
        <w:rPr>
          <w:rStyle w:val="FootnoteReference"/>
        </w:rPr>
        <w:footnoteReference w:id="39"/>
      </w:r>
      <w:r w:rsidRPr="00641833">
        <w:t xml:space="preserve"> </w:t>
      </w:r>
      <w:r>
        <w:t xml:space="preserve">performance penalties for deviation from the characteristics of traditional generation </w:t>
      </w:r>
      <w:r w:rsidRPr="00641833">
        <w:t xml:space="preserve">effectively </w:t>
      </w:r>
      <w:r>
        <w:t>preclude participation in the capacity market</w:t>
      </w:r>
      <w:r w:rsidR="00587DC3">
        <w:t>.</w:t>
      </w:r>
      <w:r w:rsidRPr="00C2545B">
        <w:rPr>
          <w:rStyle w:val="FootnoteReference"/>
        </w:rPr>
        <w:footnoteReference w:id="40"/>
      </w:r>
    </w:p>
    <w:p w:rsidRPr="00A50DBE" w:rsidR="00B671A4" w:rsidP="00CF1BFB" w:rsidRDefault="00B671A4" w14:paraId="4E296B69" w14:textId="6955A599">
      <w:pPr>
        <w:pStyle w:val="FERCparanumber"/>
      </w:pPr>
      <w:r w:rsidRPr="00A50DBE">
        <w:t xml:space="preserve">Some </w:t>
      </w:r>
      <w:r>
        <w:t>c</w:t>
      </w:r>
      <w:r w:rsidRPr="00A50DBE">
        <w:t xml:space="preserve">ommenters </w:t>
      </w:r>
      <w:r w:rsidR="00D32950">
        <w:t>state</w:t>
      </w:r>
      <w:r w:rsidRPr="00A50DBE" w:rsidR="00D32950">
        <w:t xml:space="preserve"> </w:t>
      </w:r>
      <w:r w:rsidRPr="00A50DBE">
        <w:t xml:space="preserve">that </w:t>
      </w:r>
      <w:r>
        <w:t>distributed energy resource</w:t>
      </w:r>
      <w:r w:rsidRPr="00A50DBE">
        <w:t xml:space="preserve"> </w:t>
      </w:r>
      <w:r w:rsidR="007D287C">
        <w:t>aggregation</w:t>
      </w:r>
      <w:r w:rsidRPr="00A50DBE">
        <w:t xml:space="preserve"> integration can be accomplished in a reliable and cost-effective manner.</w:t>
      </w:r>
      <w:r w:rsidRPr="00D457DD">
        <w:rPr>
          <w:rStyle w:val="FootnoteReference"/>
        </w:rPr>
        <w:footnoteReference w:id="41"/>
      </w:r>
      <w:r w:rsidRPr="00D457DD">
        <w:rPr>
          <w:rStyle w:val="FootnoteReference"/>
        </w:rPr>
        <w:t xml:space="preserve"> </w:t>
      </w:r>
      <w:r>
        <w:t xml:space="preserve"> Other c</w:t>
      </w:r>
      <w:r w:rsidRPr="00A50DBE">
        <w:t xml:space="preserve">ommenters </w:t>
      </w:r>
      <w:r w:rsidR="00D32950">
        <w:t>argue</w:t>
      </w:r>
      <w:r w:rsidRPr="00A50DBE">
        <w:t xml:space="preserve"> that allowing </w:t>
      </w:r>
      <w:r>
        <w:t>distributed energy resource</w:t>
      </w:r>
      <w:r w:rsidR="007D287C">
        <w:t xml:space="preserve"> aggregation</w:t>
      </w:r>
      <w:r>
        <w:t>s</w:t>
      </w:r>
      <w:r w:rsidRPr="00A50DBE">
        <w:t xml:space="preserve"> to participate in wholesale markets will create new opportunities and enhance the reliability and resilience of the grid, leading to benefits such as savings and efficiency.</w:t>
      </w:r>
      <w:r w:rsidRPr="00D457DD">
        <w:rPr>
          <w:rStyle w:val="FootnoteReference"/>
        </w:rPr>
        <w:footnoteReference w:id="42"/>
      </w:r>
      <w:r w:rsidRPr="00A50DBE">
        <w:t xml:space="preserve">  </w:t>
      </w:r>
      <w:r w:rsidR="0008668B">
        <w:t xml:space="preserve">Advanced Energy Buyers </w:t>
      </w:r>
      <w:r w:rsidRPr="00A50DBE">
        <w:t xml:space="preserve">suggest </w:t>
      </w:r>
      <w:r w:rsidR="00E20A29">
        <w:t xml:space="preserve">that </w:t>
      </w:r>
      <w:r w:rsidR="00D32950">
        <w:t>allowing distributed energy resources to participate</w:t>
      </w:r>
      <w:r w:rsidRPr="00A50DBE" w:rsidR="00D32950">
        <w:t xml:space="preserve"> </w:t>
      </w:r>
      <w:r w:rsidR="00335E58">
        <w:t xml:space="preserve">in RTO/ISO markets </w:t>
      </w:r>
      <w:r w:rsidRPr="00A50DBE">
        <w:t xml:space="preserve">will also provide </w:t>
      </w:r>
      <w:r w:rsidR="006E2034">
        <w:t>such resources</w:t>
      </w:r>
      <w:r w:rsidR="00737350">
        <w:t xml:space="preserve"> with </w:t>
      </w:r>
      <w:r w:rsidRPr="00A50DBE">
        <w:t xml:space="preserve">additional revenue streams, making </w:t>
      </w:r>
      <w:r>
        <w:t>them</w:t>
      </w:r>
      <w:r w:rsidRPr="00A50DBE">
        <w:t xml:space="preserve"> more economic</w:t>
      </w:r>
      <w:r w:rsidR="0008668B">
        <w:t xml:space="preserve"> and candidates for greater investment</w:t>
      </w:r>
      <w:r w:rsidR="0067637B">
        <w:t>, and provide additional benefit to the grid as a result of increased market activity</w:t>
      </w:r>
      <w:r w:rsidRPr="00A50DBE">
        <w:t>.</w:t>
      </w:r>
      <w:r w:rsidRPr="00D457DD">
        <w:rPr>
          <w:rStyle w:val="FootnoteReference"/>
        </w:rPr>
        <w:footnoteReference w:id="43"/>
      </w:r>
      <w:r w:rsidRPr="00A50DBE">
        <w:t xml:space="preserve"> </w:t>
      </w:r>
      <w:r>
        <w:t xml:space="preserve"> </w:t>
      </w:r>
      <w:r w:rsidR="00737350">
        <w:t>Commenters</w:t>
      </w:r>
      <w:r w:rsidRPr="00A50DBE">
        <w:t xml:space="preserve"> also note</w:t>
      </w:r>
      <w:r>
        <w:t xml:space="preserve"> that</w:t>
      </w:r>
      <w:r w:rsidRPr="00A50DBE">
        <w:t xml:space="preserve"> the pairing of dispatchable </w:t>
      </w:r>
      <w:r>
        <w:t>resources</w:t>
      </w:r>
      <w:r w:rsidRPr="00A50DBE">
        <w:t xml:space="preserve"> with non-dispatchable resources in an aggregation could create a portfolio that overall could be dispatchable to the </w:t>
      </w:r>
      <w:r>
        <w:t>bulk power system</w:t>
      </w:r>
      <w:r w:rsidRPr="00A50DBE">
        <w:t>.</w:t>
      </w:r>
      <w:r w:rsidRPr="00D457DD">
        <w:rPr>
          <w:rStyle w:val="FootnoteReference"/>
        </w:rPr>
        <w:footnoteReference w:id="44"/>
      </w:r>
      <w:r w:rsidRPr="00A50DBE">
        <w:t xml:space="preserve">  </w:t>
      </w:r>
      <w:r w:rsidR="00221B0B">
        <w:t>O</w:t>
      </w:r>
      <w:r w:rsidR="00737350">
        <w:t xml:space="preserve">ther </w:t>
      </w:r>
      <w:r w:rsidRPr="00A50DBE">
        <w:t xml:space="preserve">commenters </w:t>
      </w:r>
      <w:r w:rsidR="00737350">
        <w:t>assert</w:t>
      </w:r>
      <w:r w:rsidRPr="00A50DBE" w:rsidR="00737350">
        <w:t xml:space="preserve"> </w:t>
      </w:r>
      <w:r w:rsidRPr="00A50DBE">
        <w:t>that</w:t>
      </w:r>
      <w:r w:rsidR="006524E5">
        <w:t>,</w:t>
      </w:r>
      <w:r w:rsidRPr="00A50DBE">
        <w:t xml:space="preserve"> if </w:t>
      </w:r>
      <w:r>
        <w:t>distributed energy resource</w:t>
      </w:r>
      <w:r w:rsidRPr="00A50DBE">
        <w:t>s are not able to participate in wholesale markets, it could result in system overbuild</w:t>
      </w:r>
      <w:r w:rsidR="00221B0B">
        <w:t>,</w:t>
      </w:r>
      <w:r w:rsidRPr="00A50DBE">
        <w:t xml:space="preserve"> inaccurate wholesale price formation, </w:t>
      </w:r>
      <w:r w:rsidR="00EA1977">
        <w:t xml:space="preserve">and </w:t>
      </w:r>
      <w:r w:rsidRPr="00A50DBE">
        <w:t>lack of visibility into system conditions.</w:t>
      </w:r>
      <w:r w:rsidRPr="00D457DD">
        <w:rPr>
          <w:rStyle w:val="FootnoteReference"/>
        </w:rPr>
        <w:footnoteReference w:id="45"/>
      </w:r>
    </w:p>
    <w:p w:rsidRPr="00A50DBE" w:rsidR="008C681A" w:rsidP="00CF1BFB" w:rsidRDefault="005C6D66" w14:paraId="0081959B" w14:textId="2EAD382B">
      <w:pPr>
        <w:pStyle w:val="FERCparanumber"/>
      </w:pPr>
      <w:r>
        <w:t xml:space="preserve">Certain </w:t>
      </w:r>
      <w:r w:rsidR="00BD5DC6">
        <w:t xml:space="preserve">United States senators </w:t>
      </w:r>
      <w:r w:rsidR="00B50B94">
        <w:t>express support</w:t>
      </w:r>
      <w:r w:rsidR="00E87B40">
        <w:t xml:space="preserve"> for the proposed rule</w:t>
      </w:r>
      <w:r w:rsidR="009131E5">
        <w:t xml:space="preserve"> which, they state, would help develop frameworks for how </w:t>
      </w:r>
      <w:r w:rsidR="00C71955">
        <w:t>renewables can aggregate together to more effectively participate in energy markets</w:t>
      </w:r>
      <w:r w:rsidR="0072291A">
        <w:t>,</w:t>
      </w:r>
      <w:r w:rsidR="0023354D">
        <w:t xml:space="preserve"> and provide useful guidance on how to better integrate these resources with existing energy providers.</w:t>
      </w:r>
      <w:r w:rsidR="00CB7CE7">
        <w:t xml:space="preserve">  In addition, these </w:t>
      </w:r>
      <w:r w:rsidR="000C5218">
        <w:t xml:space="preserve">United States </w:t>
      </w:r>
      <w:r w:rsidR="00CB7CE7">
        <w:t xml:space="preserve">senators </w:t>
      </w:r>
      <w:r w:rsidR="00F65487">
        <w:t xml:space="preserve">maintain that the rulemaking </w:t>
      </w:r>
      <w:r w:rsidR="003E6981">
        <w:t xml:space="preserve">comes at a critical time for renewable energy </w:t>
      </w:r>
      <w:r w:rsidR="00A515B3">
        <w:t>because</w:t>
      </w:r>
      <w:r w:rsidR="003E6981">
        <w:t xml:space="preserve"> renewables</w:t>
      </w:r>
      <w:r w:rsidR="008F3570">
        <w:t xml:space="preserve"> led the way in 2016 for new additions onto </w:t>
      </w:r>
      <w:r w:rsidR="00F4034B">
        <w:t>the energy grid.</w:t>
      </w:r>
      <w:r w:rsidR="00BD432E">
        <w:rPr>
          <w:rStyle w:val="FootnoteReference"/>
        </w:rPr>
        <w:footnoteReference w:id="46"/>
      </w:r>
      <w:r w:rsidR="00571520">
        <w:t xml:space="preserve">  </w:t>
      </w:r>
      <w:r w:rsidRPr="006733BF">
        <w:t>These</w:t>
      </w:r>
      <w:r>
        <w:t xml:space="preserve"> </w:t>
      </w:r>
      <w:r w:rsidR="001D3662">
        <w:t>United States senators</w:t>
      </w:r>
      <w:r w:rsidR="004218C8">
        <w:t xml:space="preserve">, as well as </w:t>
      </w:r>
      <w:r w:rsidR="000D1605">
        <w:t xml:space="preserve">members of the United States </w:t>
      </w:r>
      <w:r w:rsidR="00A10A38">
        <w:t>House of Representatives</w:t>
      </w:r>
      <w:r w:rsidR="004218C8">
        <w:t>,</w:t>
      </w:r>
      <w:r w:rsidR="00A10A38">
        <w:t xml:space="preserve"> </w:t>
      </w:r>
      <w:r w:rsidR="00CA6591">
        <w:t>urge the Commission to adopt a final rule</w:t>
      </w:r>
      <w:r w:rsidR="00364844">
        <w:t xml:space="preserve"> that </w:t>
      </w:r>
      <w:r w:rsidR="00FE5727">
        <w:t>provides</w:t>
      </w:r>
      <w:r w:rsidR="00CA6591">
        <w:t xml:space="preserve"> </w:t>
      </w:r>
      <w:r w:rsidR="00A81B16">
        <w:t xml:space="preserve">all distributed energy resources </w:t>
      </w:r>
      <w:r w:rsidR="0024132B">
        <w:t xml:space="preserve">with </w:t>
      </w:r>
      <w:r w:rsidR="00A81B16">
        <w:t xml:space="preserve">the opportunity to participate in </w:t>
      </w:r>
      <w:r w:rsidR="00A67766">
        <w:t xml:space="preserve">RTO/ISO markets, noting that </w:t>
      </w:r>
      <w:r w:rsidR="000A4760">
        <w:t xml:space="preserve">the </w:t>
      </w:r>
      <w:r w:rsidR="00C47E53">
        <w:t xml:space="preserve">changes proposed in the </w:t>
      </w:r>
      <w:r w:rsidR="007D5A76">
        <w:t>NOPR</w:t>
      </w:r>
      <w:r w:rsidR="00C47E53">
        <w:t xml:space="preserve"> </w:t>
      </w:r>
      <w:r w:rsidR="00B25A8D">
        <w:t xml:space="preserve">will help improve </w:t>
      </w:r>
      <w:r w:rsidR="00167223">
        <w:t xml:space="preserve">the </w:t>
      </w:r>
      <w:r w:rsidR="00B25A8D">
        <w:t xml:space="preserve">reliability </w:t>
      </w:r>
      <w:r w:rsidR="00DC78B3">
        <w:t>and resilience of the bulk power system by providing operators with new local tools</w:t>
      </w:r>
      <w:r w:rsidR="00D05638">
        <w:t xml:space="preserve"> to manage unanticipated events </w:t>
      </w:r>
      <w:r w:rsidR="005E52A4">
        <w:t>and potentially lower costs for customers.  The</w:t>
      </w:r>
      <w:r w:rsidR="00053BA1">
        <w:t>y</w:t>
      </w:r>
      <w:r w:rsidR="005E52A4">
        <w:t xml:space="preserve"> </w:t>
      </w:r>
      <w:r w:rsidR="007F0290">
        <w:t>state</w:t>
      </w:r>
      <w:r w:rsidR="00941B6A">
        <w:t xml:space="preserve"> that </w:t>
      </w:r>
      <w:r w:rsidR="003823C0">
        <w:t>renewable energy provided 10</w:t>
      </w:r>
      <w:r w:rsidR="009B0DA7">
        <w:t>%</w:t>
      </w:r>
      <w:r w:rsidR="003823C0">
        <w:t xml:space="preserve"> of electricity generation in 2018</w:t>
      </w:r>
      <w:r w:rsidR="007A7420">
        <w:t xml:space="preserve"> </w:t>
      </w:r>
      <w:r w:rsidR="00C44B6B">
        <w:t xml:space="preserve">due to state and federal policies as well as consumer interest in </w:t>
      </w:r>
      <w:r w:rsidR="00D76E87">
        <w:t>choosing cost-competitive technologies</w:t>
      </w:r>
      <w:r w:rsidR="003823C0">
        <w:t>.</w:t>
      </w:r>
      <w:r w:rsidR="004F1996">
        <w:rPr>
          <w:rStyle w:val="FootnoteReference"/>
        </w:rPr>
        <w:footnoteReference w:id="47"/>
      </w:r>
    </w:p>
    <w:p w:rsidRPr="00A50DBE" w:rsidR="00B671A4" w:rsidP="00B671A4" w:rsidRDefault="00BE52C7" w14:paraId="7A6A76E3" w14:textId="3F435755">
      <w:pPr>
        <w:pStyle w:val="FERCparanumber"/>
      </w:pPr>
      <w:r>
        <w:t>Mensah asserts</w:t>
      </w:r>
      <w:r w:rsidRPr="00A50DBE" w:rsidR="00B671A4">
        <w:t xml:space="preserve"> that </w:t>
      </w:r>
      <w:r>
        <w:t>o</w:t>
      </w:r>
      <w:r w:rsidRPr="00BE52C7">
        <w:t xml:space="preserve">ne of the biggest limitations that needs to be addressed is the ability of </w:t>
      </w:r>
      <w:r w:rsidRPr="00A50DBE" w:rsidR="00B671A4">
        <w:t xml:space="preserve">behind-the-meter </w:t>
      </w:r>
      <w:r w:rsidR="00B671A4">
        <w:t>distributed energy resources</w:t>
      </w:r>
      <w:r w:rsidRPr="00A50DBE" w:rsidR="00B671A4">
        <w:t xml:space="preserve"> </w:t>
      </w:r>
      <w:r w:rsidR="001B369C">
        <w:t xml:space="preserve">to inject </w:t>
      </w:r>
      <w:r w:rsidRPr="00A50DBE" w:rsidR="00B671A4">
        <w:t>onto the grid.</w:t>
      </w:r>
      <w:r w:rsidRPr="00367C29" w:rsidR="00B671A4">
        <w:rPr>
          <w:rStyle w:val="FootnoteReference"/>
        </w:rPr>
        <w:footnoteReference w:id="48"/>
      </w:r>
      <w:r w:rsidR="006733BF">
        <w:t xml:space="preserve">  </w:t>
      </w:r>
      <w:r w:rsidR="00B671A4">
        <w:t>Tesla requests the Commission extend to distributed energy resource aggregations the finding in Order No. 841 that existing tariffs do not recognize the operational characteristics of electric storage resources and limit their participation in the markets.</w:t>
      </w:r>
      <w:r w:rsidR="00B671A4">
        <w:rPr>
          <w:rStyle w:val="FootnoteReference"/>
        </w:rPr>
        <w:footnoteReference w:id="49"/>
      </w:r>
      <w:r w:rsidR="00B671A4">
        <w:t xml:space="preserve">  </w:t>
      </w:r>
      <w:r w:rsidR="00B671A4">
        <w:rPr>
          <w:lang w:eastAsia="ja-JP"/>
        </w:rPr>
        <w:t>T</w:t>
      </w:r>
      <w:r w:rsidRPr="00E5687C" w:rsidR="00B671A4">
        <w:rPr>
          <w:lang w:eastAsia="ja-JP"/>
        </w:rPr>
        <w:t xml:space="preserve">esla urges the Commission to require that RTO/ISO tariffs allow distributed energy resources, including </w:t>
      </w:r>
      <w:r w:rsidR="00B671A4">
        <w:rPr>
          <w:lang w:eastAsia="ja-JP"/>
        </w:rPr>
        <w:t>those</w:t>
      </w:r>
      <w:r w:rsidRPr="00E5687C" w:rsidR="00B671A4">
        <w:rPr>
          <w:lang w:eastAsia="ja-JP"/>
        </w:rPr>
        <w:t xml:space="preserve"> resources physically located behind an end-use customer meter, </w:t>
      </w:r>
      <w:r w:rsidRPr="00E5687C" w:rsidR="000C3E5C">
        <w:rPr>
          <w:lang w:eastAsia="ja-JP"/>
        </w:rPr>
        <w:t xml:space="preserve">to employ their full operational range by injecting energy onto the grid </w:t>
      </w:r>
      <w:r w:rsidRPr="00E5687C" w:rsidR="00B671A4">
        <w:rPr>
          <w:lang w:eastAsia="ja-JP"/>
        </w:rPr>
        <w:t>in order to provide any wholesale service</w:t>
      </w:r>
      <w:r w:rsidR="00071FD6">
        <w:rPr>
          <w:lang w:eastAsia="ja-JP"/>
        </w:rPr>
        <w:t xml:space="preserve"> </w:t>
      </w:r>
      <w:r w:rsidR="00C74785">
        <w:rPr>
          <w:lang w:eastAsia="ja-JP"/>
        </w:rPr>
        <w:t>through</w:t>
      </w:r>
      <w:r w:rsidR="00071FD6">
        <w:rPr>
          <w:lang w:eastAsia="ja-JP"/>
        </w:rPr>
        <w:t xml:space="preserve"> participati</w:t>
      </w:r>
      <w:r w:rsidR="00C74785">
        <w:rPr>
          <w:lang w:eastAsia="ja-JP"/>
        </w:rPr>
        <w:t>o</w:t>
      </w:r>
      <w:r w:rsidR="008C0EF1">
        <w:rPr>
          <w:lang w:eastAsia="ja-JP"/>
        </w:rPr>
        <w:t>n</w:t>
      </w:r>
      <w:r w:rsidR="00071FD6">
        <w:rPr>
          <w:lang w:eastAsia="ja-JP"/>
        </w:rPr>
        <w:t xml:space="preserve"> in distributed energy resource aggregations</w:t>
      </w:r>
      <w:r w:rsidRPr="00E5687C" w:rsidR="00B671A4">
        <w:rPr>
          <w:lang w:eastAsia="ja-JP"/>
        </w:rPr>
        <w:t>.</w:t>
      </w:r>
      <w:r w:rsidRPr="00C2545B" w:rsidR="00B671A4">
        <w:rPr>
          <w:rStyle w:val="FootnoteReference"/>
        </w:rPr>
        <w:footnoteReference w:id="50"/>
      </w:r>
      <w:r w:rsidR="00B671A4">
        <w:rPr>
          <w:lang w:eastAsia="ja-JP"/>
        </w:rPr>
        <w:t xml:space="preserve">  </w:t>
      </w:r>
      <w:r w:rsidRPr="0041688A" w:rsidR="00B671A4">
        <w:t xml:space="preserve"> </w:t>
      </w:r>
    </w:p>
    <w:p w:rsidRPr="00A50DBE" w:rsidR="00B671A4" w:rsidP="00B671A4" w:rsidRDefault="0060149E" w14:paraId="615FE4C3" w14:textId="70C17743">
      <w:pPr>
        <w:pStyle w:val="FERCparanumber"/>
      </w:pPr>
      <w:r>
        <w:t>S</w:t>
      </w:r>
      <w:r w:rsidRPr="00A50DBE" w:rsidR="00B671A4">
        <w:t xml:space="preserve">ome commenters argue that </w:t>
      </w:r>
      <w:r w:rsidR="00B671A4">
        <w:t xml:space="preserve">the </w:t>
      </w:r>
      <w:r w:rsidRPr="00A50DBE" w:rsidR="00B671A4">
        <w:t>C</w:t>
      </w:r>
      <w:r w:rsidR="00B671A4">
        <w:t>ommission</w:t>
      </w:r>
      <w:r w:rsidRPr="00A50DBE" w:rsidR="00B671A4">
        <w:t xml:space="preserve"> needs to provide </w:t>
      </w:r>
      <w:r w:rsidR="00C909A6">
        <w:t>general guidance on distributed energy resource aggregation, with</w:t>
      </w:r>
      <w:r w:rsidRPr="00A50DBE" w:rsidR="00B671A4">
        <w:t xml:space="preserve"> straightforward rules, clearly defined responsibilities, and data-driven market signals.</w:t>
      </w:r>
      <w:r w:rsidRPr="00367C29" w:rsidR="00B671A4">
        <w:rPr>
          <w:rStyle w:val="FootnoteReference"/>
        </w:rPr>
        <w:footnoteReference w:id="51"/>
      </w:r>
      <w:r w:rsidRPr="00A50DBE" w:rsidR="00B671A4">
        <w:t xml:space="preserve"> </w:t>
      </w:r>
      <w:r w:rsidR="00B671A4">
        <w:t xml:space="preserve"> </w:t>
      </w:r>
      <w:r w:rsidRPr="00A50DBE" w:rsidR="00B671A4">
        <w:t xml:space="preserve">They explain that </w:t>
      </w:r>
      <w:r w:rsidR="00B671A4">
        <w:t>distributed energy resource</w:t>
      </w:r>
      <w:r w:rsidRPr="00A50DBE" w:rsidR="00B671A4">
        <w:t xml:space="preserve"> aggregation</w:t>
      </w:r>
      <w:r w:rsidR="000076F0">
        <w:t>s</w:t>
      </w:r>
      <w:r w:rsidRPr="00A50DBE" w:rsidR="00B671A4">
        <w:t xml:space="preserve"> must have transparent and predictable parameters for participation that are not overly restrictive and do not contain undue administrative delay.</w:t>
      </w:r>
      <w:r w:rsidRPr="00367C29" w:rsidR="00B671A4">
        <w:rPr>
          <w:rStyle w:val="FootnoteReference"/>
        </w:rPr>
        <w:footnoteReference w:id="52"/>
      </w:r>
      <w:r w:rsidRPr="00A50DBE" w:rsidR="00B671A4">
        <w:t xml:space="preserve"> </w:t>
      </w:r>
      <w:r w:rsidR="00B671A4">
        <w:t xml:space="preserve"> </w:t>
      </w:r>
      <w:r w:rsidRPr="00A50DBE" w:rsidR="00B671A4">
        <w:t>Microsoft suggests that the Commission provide “directional guidance” to RTOs</w:t>
      </w:r>
      <w:r w:rsidR="00B671A4">
        <w:t>/ISOs</w:t>
      </w:r>
      <w:r w:rsidRPr="00A50DBE" w:rsidR="00B671A4">
        <w:t xml:space="preserve"> to remove barriers.</w:t>
      </w:r>
      <w:r w:rsidRPr="00367C29" w:rsidR="00B671A4">
        <w:rPr>
          <w:rStyle w:val="FootnoteReference"/>
        </w:rPr>
        <w:footnoteReference w:id="53"/>
      </w:r>
      <w:r w:rsidRPr="00A50DBE" w:rsidR="00B671A4">
        <w:t xml:space="preserve"> </w:t>
      </w:r>
    </w:p>
    <w:p w:rsidRPr="00523506" w:rsidR="002408AC" w:rsidP="002408AC" w:rsidRDefault="00DB42C5" w14:paraId="466719A2" w14:textId="7BE0356D">
      <w:pPr>
        <w:pStyle w:val="FERCparanumber"/>
      </w:pPr>
      <w:r>
        <w:t xml:space="preserve">In contrast, </w:t>
      </w:r>
      <w:r w:rsidRPr="0018315C" w:rsidR="00094E4F">
        <w:t xml:space="preserve">EEI states </w:t>
      </w:r>
      <w:r w:rsidR="00B831EF">
        <w:t xml:space="preserve">that </w:t>
      </w:r>
      <w:r w:rsidRPr="0018315C" w:rsidR="00094E4F">
        <w:t xml:space="preserve">the Commission should defer to regional stakeholder processes and coordination with state-jurisdictional entities to formulate the detailed provisions required to implement </w:t>
      </w:r>
      <w:r w:rsidR="00094E4F">
        <w:t>distributed energy resource</w:t>
      </w:r>
      <w:r w:rsidRPr="0018315C" w:rsidR="00094E4F">
        <w:t xml:space="preserve"> aggregation participation in the wholesale market.</w:t>
      </w:r>
      <w:r w:rsidRPr="003F6C6E" w:rsidR="00094E4F">
        <w:rPr>
          <w:rStyle w:val="FootnoteReference"/>
          <w:szCs w:val="26"/>
        </w:rPr>
        <w:footnoteReference w:id="54"/>
      </w:r>
      <w:r w:rsidRPr="00F04205" w:rsidR="00094E4F">
        <w:t xml:space="preserve"> </w:t>
      </w:r>
      <w:r w:rsidRPr="0018315C" w:rsidR="00094E4F">
        <w:t xml:space="preserve"> </w:t>
      </w:r>
      <w:r w:rsidR="002408AC">
        <w:t>APPA states that the evidence is thin to show that there is a great demand for distributed energy resource aggregation programs or that such programs will bring meaningful benefits to consumers in the RTO/ISO regions</w:t>
      </w:r>
      <w:r w:rsidR="00AD7C3D">
        <w:t>.</w:t>
      </w:r>
      <w:r w:rsidR="00AD7C3D">
        <w:rPr>
          <w:rStyle w:val="FootnoteReference"/>
        </w:rPr>
        <w:footnoteReference w:id="55"/>
      </w:r>
      <w:r w:rsidR="00094E4F">
        <w:t xml:space="preserve">  </w:t>
      </w:r>
    </w:p>
    <w:p w:rsidR="00B671A4" w:rsidP="00B671A4" w:rsidRDefault="00B671A4" w14:paraId="6C71E607" w14:textId="542E60C6">
      <w:pPr>
        <w:pStyle w:val="Heading2"/>
      </w:pPr>
      <w:bookmarkStart w:name="_bmk5" w:id="9"/>
      <w:r>
        <w:t>C</w:t>
      </w:r>
      <w:bookmarkEnd w:id="9"/>
      <w:r>
        <w:t>ommission Determination</w:t>
      </w:r>
    </w:p>
    <w:p w:rsidRPr="00A50DBE" w:rsidR="00B671A4" w:rsidDel="00283AF1" w:rsidP="00B671A4" w:rsidRDefault="00B671A4" w14:paraId="4144A9FA" w14:textId="3E41FFBC">
      <w:pPr>
        <w:pStyle w:val="FERCparanumber"/>
      </w:pPr>
      <w:r w:rsidRPr="00DF1D78">
        <w:t xml:space="preserve">For the reasons discussed below, </w:t>
      </w:r>
      <w:r w:rsidR="00B928FA">
        <w:t xml:space="preserve">in this </w:t>
      </w:r>
      <w:r w:rsidRPr="00D51270" w:rsidR="00D51270">
        <w:t>final rule</w:t>
      </w:r>
      <w:r w:rsidR="00C00F6E">
        <w:t>,</w:t>
      </w:r>
      <w:r w:rsidR="00B928FA">
        <w:t xml:space="preserve"> </w:t>
      </w:r>
      <w:r w:rsidRPr="00DF1D78">
        <w:t xml:space="preserve">we </w:t>
      </w:r>
      <w:r w:rsidR="00B928FA">
        <w:t>affirm the preliminary finding in the NOPR</w:t>
      </w:r>
      <w:r w:rsidRPr="00DF1D78">
        <w:t xml:space="preserve"> that existing RTO/ISO market rules are unjust and unreasonable </w:t>
      </w:r>
      <w:r w:rsidR="00913BAB">
        <w:t>because</w:t>
      </w:r>
      <w:r w:rsidRPr="00DF1D78">
        <w:t xml:space="preserve"> they present</w:t>
      </w:r>
      <w:r w:rsidR="00913BAB">
        <w:t xml:space="preserve"> barriers</w:t>
      </w:r>
      <w:r w:rsidRPr="00DF1D78">
        <w:t xml:space="preserve"> to the participation of </w:t>
      </w:r>
      <w:r>
        <w:t>distributed energy resource aggregations in the RTO/ISO markets</w:t>
      </w:r>
      <w:r w:rsidR="00B241F5">
        <w:t>,</w:t>
      </w:r>
      <w:r w:rsidR="00F07088">
        <w:t xml:space="preserve"> </w:t>
      </w:r>
      <w:r w:rsidR="00B241F5">
        <w:t xml:space="preserve">and such barriers </w:t>
      </w:r>
      <w:r w:rsidRPr="00DF1D78">
        <w:t>reduc</w:t>
      </w:r>
      <w:r w:rsidR="00F07088">
        <w:t>e</w:t>
      </w:r>
      <w:r w:rsidRPr="00DF1D78">
        <w:t xml:space="preserve"> competition and fail to ensure just and reasonable rates.</w:t>
      </w:r>
      <w:r>
        <w:t xml:space="preserve">  Specifically</w:t>
      </w:r>
      <w:r w:rsidRPr="00A50DBE">
        <w:t xml:space="preserve">, current RTO/ISO market rules present barriers that prevent certain </w:t>
      </w:r>
      <w:r>
        <w:t>distributed energy resource</w:t>
      </w:r>
      <w:r w:rsidRPr="00A50DBE">
        <w:t xml:space="preserve">s that are technically capable of participating in the </w:t>
      </w:r>
      <w:r>
        <w:t>RTO/ISO</w:t>
      </w:r>
      <w:r w:rsidRPr="00A50DBE">
        <w:t xml:space="preserve"> markets </w:t>
      </w:r>
      <w:r w:rsidR="00800BE5">
        <w:t>on their own or through aggregation</w:t>
      </w:r>
      <w:r w:rsidRPr="00A50DBE">
        <w:t xml:space="preserve"> from doing so.</w:t>
      </w:r>
      <w:r w:rsidRPr="00AF3995">
        <w:rPr>
          <w:rStyle w:val="FootnoteReference"/>
        </w:rPr>
        <w:footnoteReference w:id="56"/>
      </w:r>
      <w:r w:rsidRPr="00A50DBE">
        <w:t xml:space="preserve">  </w:t>
      </w:r>
      <w:r>
        <w:t>P</w:t>
      </w:r>
      <w:r w:rsidRPr="00A50DBE">
        <w:t xml:space="preserve">ermitting </w:t>
      </w:r>
      <w:r>
        <w:t>distributed energy resource</w:t>
      </w:r>
      <w:r w:rsidRPr="00A50DBE">
        <w:t xml:space="preserve"> </w:t>
      </w:r>
      <w:r w:rsidR="00F3132A">
        <w:t>aggregations</w:t>
      </w:r>
      <w:r w:rsidRPr="00A50DBE">
        <w:t xml:space="preserve"> to participate in the </w:t>
      </w:r>
      <w:r>
        <w:t>RTO/ISO</w:t>
      </w:r>
      <w:r w:rsidRPr="00A50DBE">
        <w:t xml:space="preserve"> markets may allow these resources, in the aggregate, to meet </w:t>
      </w:r>
      <w:r w:rsidR="0048464E">
        <w:t xml:space="preserve">certain qualification </w:t>
      </w:r>
      <w:r w:rsidRPr="00A50DBE">
        <w:t>and performance requirements,</w:t>
      </w:r>
      <w:r w:rsidRPr="007A2468" w:rsidR="007A2468">
        <w:rPr>
          <w:rStyle w:val="FootnoteReference"/>
          <w:szCs w:val="26"/>
        </w:rPr>
        <w:t xml:space="preserve"> </w:t>
      </w:r>
      <w:r w:rsidRPr="00A50DBE">
        <w:t xml:space="preserve">particularly if the operational characteristics of different </w:t>
      </w:r>
      <w:r>
        <w:t>distributed energy resource</w:t>
      </w:r>
      <w:r w:rsidRPr="00A50DBE">
        <w:t xml:space="preserve">s in a </w:t>
      </w:r>
      <w:r>
        <w:t>distributed energy resource</w:t>
      </w:r>
      <w:r w:rsidRPr="00A50DBE">
        <w:t xml:space="preserve"> aggregation complement each other.</w:t>
      </w:r>
      <w:r w:rsidRPr="00AF3995">
        <w:rPr>
          <w:rStyle w:val="FootnoteReference"/>
        </w:rPr>
        <w:footnoteReference w:id="57"/>
      </w:r>
      <w:r w:rsidRPr="00A50DBE">
        <w:t xml:space="preserve">  </w:t>
      </w:r>
      <w:r w:rsidR="00F07088">
        <w:t>The reforms adopted in this</w:t>
      </w:r>
      <w:r w:rsidRPr="00A50DBE">
        <w:t xml:space="preserve"> </w:t>
      </w:r>
      <w:r w:rsidRPr="00D51270" w:rsidR="00D51270">
        <w:t>final rule</w:t>
      </w:r>
      <w:r w:rsidR="00D51270">
        <w:t xml:space="preserve"> </w:t>
      </w:r>
      <w:r w:rsidR="00F07088">
        <w:t xml:space="preserve">will </w:t>
      </w:r>
      <w:r w:rsidR="001578E1">
        <w:t xml:space="preserve">remove </w:t>
      </w:r>
      <w:r w:rsidRPr="00A50DBE">
        <w:t xml:space="preserve">the barriers that </w:t>
      </w:r>
      <w:r w:rsidR="00BA3C26">
        <w:t>qualification</w:t>
      </w:r>
      <w:r w:rsidRPr="00A50DBE">
        <w:t xml:space="preserve"> and performance requirements </w:t>
      </w:r>
      <w:r w:rsidR="00430DD4">
        <w:t>currently</w:t>
      </w:r>
      <w:r w:rsidRPr="00A50DBE" w:rsidR="00430DD4">
        <w:t xml:space="preserve"> </w:t>
      </w:r>
      <w:r w:rsidRPr="00A50DBE">
        <w:t xml:space="preserve">pose to the participation of </w:t>
      </w:r>
      <w:r>
        <w:t>distributed energy resource</w:t>
      </w:r>
      <w:r w:rsidRPr="00A50DBE">
        <w:t xml:space="preserve">s in the </w:t>
      </w:r>
      <w:r>
        <w:t>RTO/ISO</w:t>
      </w:r>
      <w:r w:rsidRPr="00A50DBE">
        <w:t xml:space="preserve"> markets.</w:t>
      </w:r>
      <w:r w:rsidR="006254F2">
        <w:rPr>
          <w:rStyle w:val="FootnoteReference"/>
        </w:rPr>
        <w:footnoteReference w:id="58"/>
      </w:r>
      <w:r w:rsidRPr="00A50DBE">
        <w:t xml:space="preserve">  </w:t>
      </w:r>
    </w:p>
    <w:p w:rsidR="00521584" w:rsidP="00521584" w:rsidRDefault="008B196B" w14:paraId="619B0B22" w14:textId="46B1762B">
      <w:pPr>
        <w:pStyle w:val="FERCparanumber"/>
        <w:rPr>
          <w:szCs w:val="26"/>
        </w:rPr>
      </w:pPr>
      <w:r>
        <w:t xml:space="preserve">The reforms adopted in this </w:t>
      </w:r>
      <w:r w:rsidRPr="00D51270" w:rsidR="00D51270">
        <w:t>final rule</w:t>
      </w:r>
      <w:r>
        <w:t xml:space="preserve"> are timely, as </w:t>
      </w:r>
      <w:r w:rsidR="00521584">
        <w:t>t</w:t>
      </w:r>
      <w:r w:rsidRPr="00BF23A9" w:rsidR="00521584">
        <w:t xml:space="preserve">here has been significant development of distributed energy </w:t>
      </w:r>
      <w:r w:rsidR="00661E6C">
        <w:t xml:space="preserve">technologies and deployment of distributed energy </w:t>
      </w:r>
      <w:r w:rsidRPr="00BF23A9" w:rsidR="00521584">
        <w:t xml:space="preserve">resources </w:t>
      </w:r>
      <w:r>
        <w:t xml:space="preserve">in recent years.  Moreover, this development </w:t>
      </w:r>
      <w:r w:rsidR="003A7BF3">
        <w:t xml:space="preserve">has </w:t>
      </w:r>
      <w:r>
        <w:t>generated</w:t>
      </w:r>
      <w:r w:rsidR="003A7BF3">
        <w:t xml:space="preserve"> </w:t>
      </w:r>
      <w:r w:rsidR="00B46EC3">
        <w:t>discussion</w:t>
      </w:r>
      <w:r w:rsidR="00AA45FC">
        <w:t>s</w:t>
      </w:r>
      <w:r w:rsidR="00B46EC3">
        <w:t xml:space="preserve"> on</w:t>
      </w:r>
      <w:r w:rsidRPr="00BF23A9" w:rsidR="00521584">
        <w:t xml:space="preserve"> the potential for such resource</w:t>
      </w:r>
      <w:r w:rsidR="00412842">
        <w:t>s</w:t>
      </w:r>
      <w:r w:rsidR="006636DC">
        <w:t xml:space="preserve">—including </w:t>
      </w:r>
      <w:r w:rsidRPr="00FE4F8F" w:rsidR="006636DC">
        <w:rPr>
          <w:szCs w:val="26"/>
        </w:rPr>
        <w:t xml:space="preserve">new distributed energy resources that are smaller, </w:t>
      </w:r>
      <w:r w:rsidRPr="00FB7382" w:rsidR="006636DC">
        <w:rPr>
          <w:szCs w:val="26"/>
        </w:rPr>
        <w:t>interconnected at lower voltages, and geographically dispersed</w:t>
      </w:r>
      <w:r w:rsidR="006636DC">
        <w:t>—</w:t>
      </w:r>
      <w:r w:rsidRPr="00BF23A9" w:rsidR="00521584">
        <w:t xml:space="preserve">to </w:t>
      </w:r>
      <w:r w:rsidR="00521584">
        <w:t xml:space="preserve">provide grid services through participation in RTO/ISO markets.  </w:t>
      </w:r>
      <w:r w:rsidRPr="00FB7382" w:rsidR="000F3FF6">
        <w:rPr>
          <w:szCs w:val="26"/>
        </w:rPr>
        <w:t xml:space="preserve">Wider scale use of </w:t>
      </w:r>
      <w:r w:rsidRPr="00FE4F8F" w:rsidR="00521584">
        <w:rPr>
          <w:szCs w:val="26"/>
        </w:rPr>
        <w:t xml:space="preserve">distributed energy resources </w:t>
      </w:r>
      <w:r w:rsidR="00FB7382">
        <w:rPr>
          <w:szCs w:val="26"/>
        </w:rPr>
        <w:t>is</w:t>
      </w:r>
      <w:r w:rsidRPr="00FE4F8F" w:rsidR="00521584">
        <w:rPr>
          <w:szCs w:val="26"/>
        </w:rPr>
        <w:t xml:space="preserve"> enabled by increas</w:t>
      </w:r>
      <w:r w:rsidR="00521584">
        <w:rPr>
          <w:szCs w:val="26"/>
        </w:rPr>
        <w:t>ed</w:t>
      </w:r>
      <w:r w:rsidRPr="00FE4F8F" w:rsidR="00521584">
        <w:rPr>
          <w:szCs w:val="26"/>
        </w:rPr>
        <w:t xml:space="preserve"> deployment of, and improvements in, metering, telemetry, and communication technologies. </w:t>
      </w:r>
      <w:r w:rsidR="00521584">
        <w:rPr>
          <w:szCs w:val="26"/>
        </w:rPr>
        <w:t xml:space="preserve"> </w:t>
      </w:r>
      <w:r w:rsidR="00C30BD3">
        <w:rPr>
          <w:szCs w:val="26"/>
        </w:rPr>
        <w:t xml:space="preserve">Aggregations of new and existing distributed energy resources </w:t>
      </w:r>
      <w:r w:rsidR="009F6EB6">
        <w:rPr>
          <w:szCs w:val="26"/>
        </w:rPr>
        <w:t xml:space="preserve">can </w:t>
      </w:r>
      <w:r w:rsidR="00926A8A">
        <w:rPr>
          <w:szCs w:val="26"/>
        </w:rPr>
        <w:t>provide</w:t>
      </w:r>
      <w:r w:rsidR="008E19F9">
        <w:rPr>
          <w:szCs w:val="26"/>
        </w:rPr>
        <w:t xml:space="preserve"> new </w:t>
      </w:r>
      <w:r w:rsidR="006F53CF">
        <w:rPr>
          <w:szCs w:val="26"/>
        </w:rPr>
        <w:t xml:space="preserve">cost-effective </w:t>
      </w:r>
      <w:r w:rsidR="00661E6C">
        <w:rPr>
          <w:szCs w:val="26"/>
        </w:rPr>
        <w:t xml:space="preserve">sources </w:t>
      </w:r>
      <w:r w:rsidR="00583448">
        <w:rPr>
          <w:szCs w:val="26"/>
        </w:rPr>
        <w:t xml:space="preserve">of </w:t>
      </w:r>
      <w:r w:rsidR="00C61AB6">
        <w:rPr>
          <w:szCs w:val="26"/>
        </w:rPr>
        <w:t>energy</w:t>
      </w:r>
      <w:r w:rsidR="00583448">
        <w:rPr>
          <w:szCs w:val="26"/>
        </w:rPr>
        <w:t xml:space="preserve"> and grid services</w:t>
      </w:r>
      <w:r w:rsidR="00C61AB6">
        <w:rPr>
          <w:szCs w:val="26"/>
        </w:rPr>
        <w:t xml:space="preserve"> </w:t>
      </w:r>
      <w:r w:rsidR="00923CA1">
        <w:rPr>
          <w:szCs w:val="26"/>
        </w:rPr>
        <w:t>and enhance competition in wholesale markets as new</w:t>
      </w:r>
      <w:r w:rsidRPr="00FE4F8F" w:rsidR="00521584">
        <w:rPr>
          <w:szCs w:val="26"/>
        </w:rPr>
        <w:t xml:space="preserve"> market participants. </w:t>
      </w:r>
      <w:r w:rsidRPr="008E4FF3" w:rsidR="00521584">
        <w:rPr>
          <w:szCs w:val="26"/>
        </w:rPr>
        <w:t xml:space="preserve">  </w:t>
      </w:r>
    </w:p>
    <w:p w:rsidR="00091CC5" w:rsidP="00521584" w:rsidRDefault="00220804" w14:paraId="26F8621A" w14:textId="0D14F474">
      <w:pPr>
        <w:pStyle w:val="FERCparanumber"/>
        <w:rPr>
          <w:szCs w:val="26"/>
        </w:rPr>
      </w:pPr>
      <w:r>
        <w:rPr>
          <w:szCs w:val="26"/>
        </w:rPr>
        <w:t>Individual d</w:t>
      </w:r>
      <w:r w:rsidR="00091CC5">
        <w:rPr>
          <w:szCs w:val="26"/>
        </w:rPr>
        <w:t>istributed</w:t>
      </w:r>
      <w:r w:rsidR="00502FEB">
        <w:rPr>
          <w:szCs w:val="26"/>
        </w:rPr>
        <w:t xml:space="preserve"> </w:t>
      </w:r>
      <w:r w:rsidR="00091CC5">
        <w:rPr>
          <w:szCs w:val="26"/>
        </w:rPr>
        <w:t xml:space="preserve">energy resources </w:t>
      </w:r>
      <w:r w:rsidRPr="001A3256" w:rsidR="00091CC5">
        <w:rPr>
          <w:szCs w:val="26"/>
        </w:rPr>
        <w:t>often do not meet the minimum size requirements to participate in the</w:t>
      </w:r>
      <w:r w:rsidR="00ED026A">
        <w:rPr>
          <w:szCs w:val="26"/>
        </w:rPr>
        <w:t xml:space="preserve"> RTO/ISO </w:t>
      </w:r>
      <w:r w:rsidRPr="001A3256" w:rsidR="00091CC5">
        <w:rPr>
          <w:szCs w:val="26"/>
        </w:rPr>
        <w:t xml:space="preserve">markets under existing participation models and often cannot satisfy </w:t>
      </w:r>
      <w:r w:rsidRPr="00DE784A" w:rsidR="00091CC5">
        <w:rPr>
          <w:szCs w:val="26"/>
        </w:rPr>
        <w:t xml:space="preserve">all </w:t>
      </w:r>
      <w:r w:rsidRPr="001A3256" w:rsidR="00091CC5">
        <w:rPr>
          <w:szCs w:val="26"/>
        </w:rPr>
        <w:t xml:space="preserve">the performance requirements of the various participation models due to their small size.  </w:t>
      </w:r>
      <w:r w:rsidR="00091CC5">
        <w:rPr>
          <w:szCs w:val="26"/>
        </w:rPr>
        <w:t xml:space="preserve">In order to participate in RTO/ISO markets, distributed energy resources tend to participate in RTO/ISO demand response programs.  </w:t>
      </w:r>
      <w:r w:rsidRPr="00BF23A9" w:rsidR="00091CC5">
        <w:t xml:space="preserve">While these demand response programs have helped reduce barriers to load curtailment resources, they often limit the operations of </w:t>
      </w:r>
      <w:r w:rsidR="00091CC5">
        <w:t>some types of distributed energy resources</w:t>
      </w:r>
      <w:r w:rsidRPr="00BF23A9" w:rsidR="00091CC5">
        <w:t>, such as electric storage or distributed generation, as well as the services that they are eligible to provide.</w:t>
      </w:r>
      <w:r w:rsidR="00687A32">
        <w:rPr>
          <w:rStyle w:val="FootnoteReference"/>
        </w:rPr>
        <w:footnoteReference w:id="59"/>
      </w:r>
    </w:p>
    <w:p w:rsidR="00D4148D" w:rsidP="00B671A4" w:rsidRDefault="00B671A4" w14:paraId="368C2F48" w14:textId="5A6BE109">
      <w:pPr>
        <w:pStyle w:val="FERCparanumber"/>
      </w:pPr>
      <w:r>
        <w:t xml:space="preserve">We find that </w:t>
      </w:r>
      <w:r w:rsidR="002C03C6">
        <w:t>adopting the reforms described below</w:t>
      </w:r>
      <w:r w:rsidRPr="00A50DBE">
        <w:t xml:space="preserve"> will enhance the competitiveness, and in turn the efficiency, of </w:t>
      </w:r>
      <w:r>
        <w:t>RTO/ISO</w:t>
      </w:r>
      <w:r w:rsidRPr="00A50DBE">
        <w:t xml:space="preserve"> markets and thereby help to ensure just and reasonable and not unduly discriminatory or preferential rates for wholesale electric services.</w:t>
      </w:r>
      <w:r w:rsidRPr="00AF3995">
        <w:rPr>
          <w:rStyle w:val="FootnoteReference"/>
        </w:rPr>
        <w:footnoteReference w:id="60"/>
      </w:r>
      <w:r>
        <w:t xml:space="preserve">  </w:t>
      </w:r>
      <w:r w:rsidR="00BE161C">
        <w:t>F</w:t>
      </w:r>
      <w:r w:rsidR="00E50DF3">
        <w:t>urther</w:t>
      </w:r>
      <w:r w:rsidR="00BE161C">
        <w:t xml:space="preserve">, </w:t>
      </w:r>
      <w:r w:rsidRPr="00A50DBE" w:rsidR="00BE161C">
        <w:t xml:space="preserve">the </w:t>
      </w:r>
      <w:r w:rsidR="002C03C6">
        <w:t>reforms required by th</w:t>
      </w:r>
      <w:r w:rsidR="00F5466C">
        <w:t>is</w:t>
      </w:r>
      <w:r w:rsidR="002C03C6">
        <w:t xml:space="preserve"> </w:t>
      </w:r>
      <w:r w:rsidRPr="00D51270" w:rsidR="00D51270">
        <w:t>final rule</w:t>
      </w:r>
      <w:r w:rsidRPr="00A50DBE" w:rsidR="00BE161C">
        <w:t xml:space="preserve"> will help the RTOs/ISOs account for the impacts of </w:t>
      </w:r>
      <w:r w:rsidR="00BE161C">
        <w:t>distributed energy resource</w:t>
      </w:r>
      <w:r w:rsidRPr="00A50DBE" w:rsidR="00BE161C">
        <w:t>s on installed capacity requirements and day-ahead energy demand, thereby reducing uncertainty in load forecasts and the risk of over procurement of resources and the associated costs, and provide numerous other benefits.</w:t>
      </w:r>
      <w:r w:rsidRPr="00A50DBE" w:rsidR="00BE161C">
        <w:rPr>
          <w:b/>
          <w:vertAlign w:val="superscript"/>
        </w:rPr>
        <w:footnoteReference w:id="61"/>
      </w:r>
      <w:r>
        <w:t xml:space="preserve">  </w:t>
      </w:r>
      <w:r w:rsidRPr="00F16020">
        <w:t xml:space="preserve">Accordingly, as discussed further below, we </w:t>
      </w:r>
      <w:r w:rsidRPr="009C3F04">
        <w:rPr>
          <w:szCs w:val="26"/>
        </w:rPr>
        <w:t xml:space="preserve">adopt the NOPR proposal </w:t>
      </w:r>
      <w:r>
        <w:rPr>
          <w:szCs w:val="26"/>
        </w:rPr>
        <w:t>to</w:t>
      </w:r>
      <w:r w:rsidRPr="009C3F04">
        <w:rPr>
          <w:szCs w:val="26"/>
        </w:rPr>
        <w:t xml:space="preserve"> add </w:t>
      </w:r>
      <w:r w:rsidR="00740434">
        <w:rPr>
          <w:szCs w:val="26"/>
        </w:rPr>
        <w:t>§</w:t>
      </w:r>
      <w:r w:rsidRPr="009C3F04">
        <w:rPr>
          <w:szCs w:val="26"/>
        </w:rPr>
        <w:t xml:space="preserve"> 35.28(g)(</w:t>
      </w:r>
      <w:r>
        <w:rPr>
          <w:szCs w:val="26"/>
        </w:rPr>
        <w:t>1</w:t>
      </w:r>
      <w:r w:rsidR="00CD5DB1">
        <w:rPr>
          <w:szCs w:val="26"/>
        </w:rPr>
        <w:t>2</w:t>
      </w:r>
      <w:r w:rsidRPr="009C3F04">
        <w:rPr>
          <w:szCs w:val="26"/>
        </w:rPr>
        <w:t>)(i) to</w:t>
      </w:r>
      <w:r>
        <w:t xml:space="preserve"> </w:t>
      </w:r>
      <w:r w:rsidRPr="009C3F04">
        <w:rPr>
          <w:szCs w:val="26"/>
        </w:rPr>
        <w:t xml:space="preserve">the Commission’s regulations </w:t>
      </w:r>
      <w:r>
        <w:rPr>
          <w:szCs w:val="26"/>
        </w:rPr>
        <w:t>and</w:t>
      </w:r>
      <w:r w:rsidRPr="009C3F04">
        <w:rPr>
          <w:szCs w:val="26"/>
        </w:rPr>
        <w:t xml:space="preserve"> require each RTO/ISO to have tariff provisions that allow distributed energy resource aggregations to participate directly in </w:t>
      </w:r>
      <w:r>
        <w:rPr>
          <w:szCs w:val="26"/>
        </w:rPr>
        <w:t>RTO/ISO</w:t>
      </w:r>
      <w:r w:rsidRPr="009C3F04">
        <w:rPr>
          <w:szCs w:val="26"/>
        </w:rPr>
        <w:t xml:space="preserve"> markets</w:t>
      </w:r>
      <w:r>
        <w:rPr>
          <w:szCs w:val="26"/>
        </w:rPr>
        <w:t>.</w:t>
      </w:r>
      <w:r w:rsidR="005C2D74">
        <w:rPr>
          <w:rStyle w:val="FootnoteReference"/>
          <w:szCs w:val="26"/>
        </w:rPr>
        <w:footnoteReference w:id="62"/>
      </w:r>
      <w:r>
        <w:t xml:space="preserve">  While we agree with commenters that there are </w:t>
      </w:r>
      <w:r w:rsidRPr="00A50DBE">
        <w:t xml:space="preserve">operational, </w:t>
      </w:r>
      <w:r>
        <w:t>technological,</w:t>
      </w:r>
      <w:r w:rsidRPr="00A50DBE">
        <w:t xml:space="preserve"> and cost implications</w:t>
      </w:r>
      <w:r>
        <w:t xml:space="preserve"> that must be evaluated and addressed, as explained below, </w:t>
      </w:r>
      <w:r w:rsidRPr="00193C30">
        <w:t xml:space="preserve">we find that the record in this proceeding provides sufficient basis for </w:t>
      </w:r>
      <w:r w:rsidR="00BF3B7C">
        <w:t xml:space="preserve">taking action to </w:t>
      </w:r>
      <w:r w:rsidRPr="00193C30" w:rsidR="00BF3B7C">
        <w:t>requir</w:t>
      </w:r>
      <w:r w:rsidR="00BF3B7C">
        <w:t>e</w:t>
      </w:r>
      <w:r w:rsidRPr="00193C30">
        <w:t xml:space="preserve"> the </w:t>
      </w:r>
      <w:r w:rsidR="00C31C0C">
        <w:t xml:space="preserve">implementation of the </w:t>
      </w:r>
      <w:r w:rsidRPr="00193C30">
        <w:t>generic requirements discussed herein.</w:t>
      </w:r>
    </w:p>
    <w:p w:rsidRPr="00B671A4" w:rsidR="00B671A4" w:rsidP="00B671A4" w:rsidRDefault="00D4148D" w14:paraId="1243774E" w14:textId="30784036">
      <w:pPr>
        <w:pStyle w:val="FERCparanumber"/>
      </w:pPr>
      <w:r>
        <w:t xml:space="preserve"> </w:t>
      </w:r>
      <w:r w:rsidRPr="00D4148D">
        <w:rPr>
          <w:rFonts w:ascii="Calibri" w:hAnsi="Calibri" w:cs="Calibri"/>
          <w:sz w:val="22"/>
        </w:rPr>
        <w:t xml:space="preserve"> </w:t>
      </w:r>
      <w:r w:rsidRPr="00D4148D">
        <w:t>To the extent that an RTO</w:t>
      </w:r>
      <w:r>
        <w:t xml:space="preserve">/ISO </w:t>
      </w:r>
      <w:r w:rsidR="00676887">
        <w:t xml:space="preserve">proposes to comply </w:t>
      </w:r>
      <w:r w:rsidR="00454AB0">
        <w:t xml:space="preserve">with any or all of the requirements in this </w:t>
      </w:r>
      <w:r w:rsidRPr="00D51270" w:rsidR="00D51270">
        <w:t>final rule</w:t>
      </w:r>
      <w:r w:rsidR="00454AB0">
        <w:t xml:space="preserve"> using</w:t>
      </w:r>
      <w:r w:rsidRPr="00D4148D">
        <w:t xml:space="preserve"> its currently</w:t>
      </w:r>
      <w:r w:rsidR="003C7541">
        <w:t xml:space="preserve"> </w:t>
      </w:r>
      <w:r w:rsidRPr="00D4148D">
        <w:t xml:space="preserve">effective requirements for </w:t>
      </w:r>
      <w:r>
        <w:t>distributed energy resource</w:t>
      </w:r>
      <w:r w:rsidRPr="00D4148D">
        <w:t xml:space="preserve">s, it </w:t>
      </w:r>
      <w:r>
        <w:t>must</w:t>
      </w:r>
      <w:r w:rsidRPr="00D4148D">
        <w:t xml:space="preserve"> demonstrate</w:t>
      </w:r>
      <w:r>
        <w:t xml:space="preserve"> on compliance</w:t>
      </w:r>
      <w:r w:rsidRPr="00D4148D">
        <w:t xml:space="preserve"> that its </w:t>
      </w:r>
      <w:r w:rsidR="007F4FC5">
        <w:t xml:space="preserve">existing </w:t>
      </w:r>
      <w:r w:rsidRPr="00D4148D">
        <w:t xml:space="preserve">approach meets </w:t>
      </w:r>
      <w:r>
        <w:t>the</w:t>
      </w:r>
      <w:r w:rsidRPr="00D4148D">
        <w:t xml:space="preserve"> requirement</w:t>
      </w:r>
      <w:r>
        <w:t>s in</w:t>
      </w:r>
      <w:r w:rsidR="008F08A0">
        <w:t xml:space="preserve"> this </w:t>
      </w:r>
      <w:r w:rsidRPr="00D51270" w:rsidR="00D51270">
        <w:t>final rule</w:t>
      </w:r>
      <w:r w:rsidRPr="00D4148D">
        <w:t>.</w:t>
      </w:r>
    </w:p>
    <w:p w:rsidRPr="00A34068" w:rsidR="00A34068" w:rsidP="00A34068" w:rsidRDefault="00A34068" w14:paraId="374FE77C" w14:textId="3901A015">
      <w:pPr>
        <w:pStyle w:val="Heading1"/>
        <w:autoSpaceDE w:val="0"/>
        <w:autoSpaceDN w:val="0"/>
        <w:adjustRightInd w:val="0"/>
      </w:pPr>
      <w:bookmarkStart w:name="_bmk6" w:id="10"/>
      <w:r>
        <w:t>D</w:t>
      </w:r>
      <w:bookmarkEnd w:id="10"/>
      <w:r>
        <w:t>iscussion</w:t>
      </w:r>
    </w:p>
    <w:p w:rsidR="006B591B" w:rsidP="006B591B" w:rsidRDefault="006B591B" w14:paraId="369A05ED" w14:textId="77777777">
      <w:pPr>
        <w:pStyle w:val="Heading2"/>
      </w:pPr>
      <w:bookmarkStart w:name="_bmk7" w:id="11"/>
      <w:r>
        <w:t>C</w:t>
      </w:r>
      <w:bookmarkEnd w:id="11"/>
      <w:r>
        <w:t>ommission Jurisdiction</w:t>
      </w:r>
    </w:p>
    <w:p w:rsidR="006B591B" w:rsidP="006B591B" w:rsidRDefault="006B591B" w14:paraId="4DE2263F" w14:textId="08331C91">
      <w:pPr>
        <w:pStyle w:val="Heading3"/>
      </w:pPr>
      <w:bookmarkStart w:name="_bmk8" w:id="12"/>
      <w:r>
        <w:t>S</w:t>
      </w:r>
      <w:bookmarkEnd w:id="12"/>
      <w:r>
        <w:t>cope of Final Rule</w:t>
      </w:r>
    </w:p>
    <w:p w:rsidRPr="006F450F" w:rsidR="006B591B" w:rsidP="006B591B" w:rsidRDefault="006B591B" w14:paraId="363A9BFF" w14:textId="3CA54503">
      <w:pPr>
        <w:pStyle w:val="FERCparanumber"/>
      </w:pPr>
      <w:r>
        <w:t>In the NOPR, the Commission stated that it was proposing reforms</w:t>
      </w:r>
      <w:r w:rsidRPr="006F450F">
        <w:t xml:space="preserve"> pursuant to </w:t>
      </w:r>
      <w:r>
        <w:t>its</w:t>
      </w:r>
      <w:r w:rsidRPr="006F450F">
        <w:t xml:space="preserve"> legal authority under section 206 of the FPA to ensure that the RTO/ISO tariffs are just and reasonable and not unduly discriminatory or preferential.</w:t>
      </w:r>
      <w:r>
        <w:rPr>
          <w:rStyle w:val="FootnoteReference"/>
        </w:rPr>
        <w:footnoteReference w:id="63"/>
      </w:r>
      <w:r>
        <w:t xml:space="preserve">  </w:t>
      </w:r>
    </w:p>
    <w:p w:rsidR="006B591B" w:rsidP="006B591B" w:rsidRDefault="006B591B" w14:paraId="017F4ED9" w14:textId="77777777">
      <w:pPr>
        <w:pStyle w:val="Heading4"/>
      </w:pPr>
      <w:bookmarkStart w:name="_bmk9" w:id="13"/>
      <w:r>
        <w:t>C</w:t>
      </w:r>
      <w:bookmarkEnd w:id="13"/>
      <w:r>
        <w:t>omments</w:t>
      </w:r>
    </w:p>
    <w:p w:rsidR="007220C6" w:rsidP="006B591B" w:rsidRDefault="004A6AC6" w14:paraId="7EAEEBDC" w14:textId="2EEEB6B3">
      <w:pPr>
        <w:pStyle w:val="FERCparanumber"/>
      </w:pPr>
      <w:r>
        <w:rPr>
          <w:szCs w:val="26"/>
        </w:rPr>
        <w:t>S</w:t>
      </w:r>
      <w:r w:rsidRPr="004A6AC6" w:rsidR="007220C6">
        <w:rPr>
          <w:szCs w:val="26"/>
        </w:rPr>
        <w:t>everal</w:t>
      </w:r>
      <w:r w:rsidR="007220C6">
        <w:rPr>
          <w:szCs w:val="26"/>
        </w:rPr>
        <w:t xml:space="preserve"> commenters assert </w:t>
      </w:r>
      <w:r w:rsidRPr="00C21C39" w:rsidR="007220C6">
        <w:rPr>
          <w:szCs w:val="26"/>
        </w:rPr>
        <w:t>that the basis for the Commission’s ju</w:t>
      </w:r>
      <w:r w:rsidR="007220C6">
        <w:rPr>
          <w:szCs w:val="26"/>
        </w:rPr>
        <w:t>risdiction is straightforward because s</w:t>
      </w:r>
      <w:r w:rsidRPr="00C21C39" w:rsidR="007220C6">
        <w:rPr>
          <w:szCs w:val="26"/>
        </w:rPr>
        <w:t xml:space="preserve">ales from </w:t>
      </w:r>
      <w:r w:rsidR="007220C6">
        <w:rPr>
          <w:szCs w:val="26"/>
        </w:rPr>
        <w:t>distributed energy resource</w:t>
      </w:r>
      <w:r w:rsidRPr="00C21C39" w:rsidR="007220C6">
        <w:rPr>
          <w:szCs w:val="26"/>
        </w:rPr>
        <w:t xml:space="preserve"> aggregators into wholesale markets are sales at wholesale in interstate commerce.</w:t>
      </w:r>
      <w:r w:rsidRPr="00D377EB" w:rsidR="007220C6">
        <w:rPr>
          <w:rStyle w:val="FootnoteReference"/>
        </w:rPr>
        <w:footnoteReference w:id="64"/>
      </w:r>
      <w:r w:rsidR="007220C6">
        <w:rPr>
          <w:szCs w:val="26"/>
        </w:rPr>
        <w:t xml:space="preserve">  </w:t>
      </w:r>
      <w:r w:rsidR="007220C6">
        <w:t>Other</w:t>
      </w:r>
      <w:r w:rsidR="006B591B">
        <w:t xml:space="preserve"> commenters question </w:t>
      </w:r>
      <w:r w:rsidRPr="00D93E99" w:rsidR="006B591B">
        <w:rPr>
          <w:szCs w:val="26"/>
        </w:rPr>
        <w:t>the Commission’s authority to implement the</w:t>
      </w:r>
      <w:r w:rsidR="006B591B">
        <w:rPr>
          <w:szCs w:val="26"/>
        </w:rPr>
        <w:t xml:space="preserve"> proposed</w:t>
      </w:r>
      <w:r w:rsidRPr="00D93E99" w:rsidR="006B591B">
        <w:rPr>
          <w:szCs w:val="26"/>
        </w:rPr>
        <w:t xml:space="preserve"> reforms</w:t>
      </w:r>
      <w:r w:rsidR="006B591B">
        <w:rPr>
          <w:szCs w:val="26"/>
        </w:rPr>
        <w:t xml:space="preserve">, </w:t>
      </w:r>
      <w:r w:rsidR="006B591B">
        <w:t xml:space="preserve">seek clarification of the NOPR’s scope, or </w:t>
      </w:r>
      <w:r w:rsidR="006B591B">
        <w:rPr>
          <w:color w:val="000000"/>
          <w:szCs w:val="26"/>
        </w:rPr>
        <w:t>ask the Commission to respect existing federal, state, and local jurisdictional boundaries</w:t>
      </w:r>
      <w:r w:rsidR="006B591B">
        <w:t>.</w:t>
      </w:r>
      <w:r w:rsidRPr="00D377EB" w:rsidR="006B591B">
        <w:rPr>
          <w:rStyle w:val="FootnoteReference"/>
        </w:rPr>
        <w:footnoteReference w:id="65"/>
      </w:r>
      <w:r w:rsidR="006B591B">
        <w:t xml:space="preserve">  </w:t>
      </w:r>
    </w:p>
    <w:p w:rsidRPr="00DC1C9E" w:rsidR="006B591B" w:rsidP="005713E8" w:rsidRDefault="006B591B" w14:paraId="7FDB6A0C" w14:textId="26DC81CB">
      <w:pPr>
        <w:pStyle w:val="FERCparanumber"/>
      </w:pPr>
      <w:r w:rsidRPr="00DC1C9E">
        <w:rPr>
          <w:szCs w:val="26"/>
        </w:rPr>
        <w:t xml:space="preserve">Stem asserts that the Commission should clarify that it has jurisdiction over participation in the wholesale markets and the associated transactions, while </w:t>
      </w:r>
      <w:r w:rsidRPr="00BD1675">
        <w:t>relevant electric retail regulatory authorities</w:t>
      </w:r>
      <w:r w:rsidR="00963AA8">
        <w:rPr>
          <w:rStyle w:val="FootnoteReference"/>
        </w:rPr>
        <w:footnoteReference w:id="66"/>
      </w:r>
      <w:r w:rsidRPr="00DC1C9E">
        <w:rPr>
          <w:szCs w:val="26"/>
        </w:rPr>
        <w:t xml:space="preserve"> have jurisdiction over the physical dispatch and the resulting electrical activity on the distribution system.</w:t>
      </w:r>
      <w:r w:rsidRPr="00D377EB">
        <w:rPr>
          <w:rStyle w:val="FootnoteReference"/>
        </w:rPr>
        <w:footnoteReference w:id="67"/>
      </w:r>
      <w:r w:rsidRPr="00DC1C9E">
        <w:rPr>
          <w:szCs w:val="26"/>
        </w:rPr>
        <w:t xml:space="preserve">  Connecticut State Entities argue that, while the management of the impacts of new generation on the distribution system remains with the states, the comprehensive and effective integration of these emerging technologies into the wholesale markets rests with the Commission.</w:t>
      </w:r>
      <w:r w:rsidRPr="00D377EB">
        <w:rPr>
          <w:rStyle w:val="FootnoteReference"/>
        </w:rPr>
        <w:footnoteReference w:id="68"/>
      </w:r>
      <w:r w:rsidRPr="00DC1C9E">
        <w:rPr>
          <w:szCs w:val="26"/>
        </w:rPr>
        <w:t xml:space="preserve">  </w:t>
      </w:r>
    </w:p>
    <w:p w:rsidRPr="000D1756" w:rsidR="000D1756" w:rsidP="00986874" w:rsidRDefault="000D1756" w14:paraId="5F016243" w14:textId="6090A451">
      <w:pPr>
        <w:pStyle w:val="FERCparanumber"/>
      </w:pPr>
      <w:r w:rsidRPr="006C134B">
        <w:t xml:space="preserve">Harvard Environmental Policy Initiative argues that the Commission’s proposal to assert jurisdiction over </w:t>
      </w:r>
      <w:r>
        <w:t>a distributed energy resource</w:t>
      </w:r>
      <w:r w:rsidRPr="006C134B">
        <w:t xml:space="preserve"> aggregator’s sale of sink-related services to RTOs/ISOs would fall under the Commission’s jurisdiction under the test applied by the </w:t>
      </w:r>
      <w:r>
        <w:t xml:space="preserve">U.S. </w:t>
      </w:r>
      <w:r w:rsidRPr="006C134B">
        <w:t>Supreme Court in</w:t>
      </w:r>
      <w:r w:rsidRPr="006C134B">
        <w:rPr>
          <w:i/>
        </w:rPr>
        <w:t xml:space="preserve"> </w:t>
      </w:r>
      <w:r w:rsidR="008B0857">
        <w:rPr>
          <w:i/>
        </w:rPr>
        <w:t xml:space="preserve">FERC v. </w:t>
      </w:r>
      <w:r>
        <w:rPr>
          <w:i/>
        </w:rPr>
        <w:t>E</w:t>
      </w:r>
      <w:r w:rsidR="00D81CAD">
        <w:rPr>
          <w:i/>
        </w:rPr>
        <w:t>lec</w:t>
      </w:r>
      <w:r w:rsidR="00240A94">
        <w:rPr>
          <w:i/>
        </w:rPr>
        <w:t>tric</w:t>
      </w:r>
      <w:r w:rsidR="00D81CAD">
        <w:rPr>
          <w:i/>
        </w:rPr>
        <w:t xml:space="preserve"> </w:t>
      </w:r>
      <w:r>
        <w:rPr>
          <w:i/>
        </w:rPr>
        <w:t>P</w:t>
      </w:r>
      <w:r w:rsidR="00D81CAD">
        <w:rPr>
          <w:i/>
        </w:rPr>
        <w:t xml:space="preserve">ower </w:t>
      </w:r>
      <w:r>
        <w:rPr>
          <w:i/>
        </w:rPr>
        <w:t>S</w:t>
      </w:r>
      <w:r w:rsidR="00D81CAD">
        <w:rPr>
          <w:i/>
        </w:rPr>
        <w:t xml:space="preserve">upply </w:t>
      </w:r>
      <w:r>
        <w:rPr>
          <w:i/>
        </w:rPr>
        <w:t>A</w:t>
      </w:r>
      <w:r w:rsidR="00D81CAD">
        <w:rPr>
          <w:i/>
        </w:rPr>
        <w:t>ss’n</w:t>
      </w:r>
      <w:r w:rsidRPr="00DE70CD">
        <w:t>,</w:t>
      </w:r>
      <w:r w:rsidRPr="00D377EB">
        <w:rPr>
          <w:rStyle w:val="FootnoteReference"/>
        </w:rPr>
        <w:footnoteReference w:id="69"/>
      </w:r>
      <w:r w:rsidRPr="006C134B">
        <w:t xml:space="preserve"> and that the Commission has authority under FPA section 206 to require RTOs</w:t>
      </w:r>
      <w:r>
        <w:t>/ISOs</w:t>
      </w:r>
      <w:r w:rsidRPr="006C134B">
        <w:t xml:space="preserve"> to enable the participation of </w:t>
      </w:r>
      <w:r>
        <w:t>distributed energy resource</w:t>
      </w:r>
      <w:r w:rsidRPr="006C134B">
        <w:t xml:space="preserve"> aggregators.</w:t>
      </w:r>
      <w:r w:rsidRPr="00D377EB">
        <w:rPr>
          <w:rStyle w:val="FootnoteReference"/>
        </w:rPr>
        <w:footnoteReference w:id="70"/>
      </w:r>
      <w:r>
        <w:t xml:space="preserve">  </w:t>
      </w:r>
      <w:r w:rsidRPr="00E168CC">
        <w:t xml:space="preserve">Harvard Environmental Policy Initiative </w:t>
      </w:r>
      <w:r>
        <w:t xml:space="preserve">further </w:t>
      </w:r>
      <w:r w:rsidRPr="002E24F0">
        <w:t>contends that a company’s distribution system investments, even if motivated by a Commission rule, are not evidence that the Commission has overstepped its legal authority</w:t>
      </w:r>
      <w:r>
        <w:t xml:space="preserve">, and </w:t>
      </w:r>
      <w:r w:rsidRPr="00E168CC">
        <w:t>that</w:t>
      </w:r>
      <w:r>
        <w:t>,</w:t>
      </w:r>
      <w:r w:rsidRPr="00E168CC">
        <w:t xml:space="preserve"> even if a change in state law were necessary to allow consumers to participate, the NOPR does not force states to do anything and does not require states to facilitate the development of </w:t>
      </w:r>
      <w:r>
        <w:t>distributed energy resource</w:t>
      </w:r>
      <w:r w:rsidRPr="00E168CC">
        <w:t>s.</w:t>
      </w:r>
      <w:r w:rsidRPr="00D377EB">
        <w:rPr>
          <w:rStyle w:val="FootnoteReference"/>
        </w:rPr>
        <w:footnoteReference w:id="71"/>
      </w:r>
    </w:p>
    <w:p w:rsidRPr="00986874" w:rsidR="00986874" w:rsidP="00986874" w:rsidRDefault="00AC5146" w14:paraId="4BAC65FC" w14:textId="205AA3FF">
      <w:pPr>
        <w:pStyle w:val="FERCparanumber"/>
      </w:pPr>
      <w:r>
        <w:rPr>
          <w:szCs w:val="26"/>
        </w:rPr>
        <w:t>In contrast, some commenters</w:t>
      </w:r>
      <w:r w:rsidRPr="00D93E99" w:rsidR="006B591B">
        <w:rPr>
          <w:szCs w:val="26"/>
        </w:rPr>
        <w:t xml:space="preserve"> </w:t>
      </w:r>
      <w:r w:rsidR="00825F3B">
        <w:rPr>
          <w:szCs w:val="26"/>
        </w:rPr>
        <w:t>question the Commission’s authority</w:t>
      </w:r>
      <w:r w:rsidR="009E0CE7">
        <w:rPr>
          <w:szCs w:val="26"/>
        </w:rPr>
        <w:t xml:space="preserve"> to impose the proposed reforms or</w:t>
      </w:r>
      <w:r w:rsidRPr="00D93E99" w:rsidR="006B591B">
        <w:rPr>
          <w:szCs w:val="26"/>
        </w:rPr>
        <w:t xml:space="preserve"> seek clarification of federal and state jurisdictional </w:t>
      </w:r>
      <w:r w:rsidR="006B591B">
        <w:rPr>
          <w:szCs w:val="26"/>
        </w:rPr>
        <w:t>boundaries</w:t>
      </w:r>
      <w:r w:rsidRPr="00D93E99" w:rsidR="006B591B">
        <w:rPr>
          <w:szCs w:val="26"/>
        </w:rPr>
        <w:t>.</w:t>
      </w:r>
      <w:r w:rsidRPr="00D377EB" w:rsidR="006B591B">
        <w:rPr>
          <w:rStyle w:val="FootnoteReference"/>
        </w:rPr>
        <w:footnoteReference w:id="72"/>
      </w:r>
      <w:r w:rsidRPr="00D93E99" w:rsidR="006B591B">
        <w:rPr>
          <w:szCs w:val="26"/>
        </w:rPr>
        <w:t xml:space="preserve">  </w:t>
      </w:r>
      <w:r w:rsidRPr="00236F48" w:rsidR="00986874">
        <w:t>APPA</w:t>
      </w:r>
      <w:r w:rsidR="00986874">
        <w:t>/</w:t>
      </w:r>
      <w:r w:rsidRPr="00236F48" w:rsidR="00986874">
        <w:t xml:space="preserve">NRECA interpret the NOPR to be limited to reforms to the RTO/ISO tariff rules governing </w:t>
      </w:r>
      <w:r w:rsidR="00986874">
        <w:t>RTO/ISO</w:t>
      </w:r>
      <w:r w:rsidRPr="00236F48" w:rsidR="00986874">
        <w:t xml:space="preserve"> markets </w:t>
      </w:r>
      <w:r w:rsidR="00986874">
        <w:t xml:space="preserve">and they </w:t>
      </w:r>
      <w:r w:rsidRPr="00236F48" w:rsidR="00986874">
        <w:t>urge the Commission not to expand the scope of the NOPR beyond RTO/ISO markets</w:t>
      </w:r>
      <w:r w:rsidR="00986874">
        <w:t xml:space="preserve"> and to preserve state and local authority over retail sales, generation facilities, and local distribution facilities</w:t>
      </w:r>
      <w:r w:rsidRPr="00236F48" w:rsidR="00986874">
        <w:t>.</w:t>
      </w:r>
      <w:r w:rsidRPr="00D377EB" w:rsidR="00986874">
        <w:rPr>
          <w:rStyle w:val="FootnoteReference"/>
        </w:rPr>
        <w:footnoteReference w:id="73"/>
      </w:r>
      <w:r w:rsidR="00986874">
        <w:t xml:space="preserve">  </w:t>
      </w:r>
      <w:r w:rsidR="00EB7C0C">
        <w:t xml:space="preserve">TAPS similarly asserts that any final rule should be limited to (1) the treatment by RTOs/ISOs of energy and ancillary services from distributed energy resources after those resources have already been delivered to the RTO’s/ISO’s markets; and (2) assuring that any such participation of distributed energy resource aggregations in RTO/ISO markets is compatible with the safe and reliable operation of the distribution system, </w:t>
      </w:r>
      <w:r w:rsidRPr="009C6600" w:rsidR="00EB7C0C">
        <w:t>as well as relevant</w:t>
      </w:r>
      <w:r w:rsidRPr="009C6600" w:rsidDel="001121E0" w:rsidR="00EB7C0C">
        <w:t xml:space="preserve"> </w:t>
      </w:r>
      <w:r w:rsidRPr="009C6600" w:rsidR="00EB7C0C">
        <w:t>electric retail regulatory authority</w:t>
      </w:r>
      <w:r w:rsidR="00EB7C0C">
        <w:t xml:space="preserve"> and distribution utility tariffs, rules, and requirements.</w:t>
      </w:r>
      <w:r w:rsidR="00EB7C0C">
        <w:rPr>
          <w:rStyle w:val="FootnoteReference"/>
        </w:rPr>
        <w:footnoteReference w:id="74"/>
      </w:r>
      <w:r w:rsidR="00EB7C0C">
        <w:t xml:space="preserve">  </w:t>
      </w:r>
      <w:r w:rsidRPr="00B136B1" w:rsidR="00986874">
        <w:rPr>
          <w:lang w:eastAsia="ja-JP" w:bidi="en-US"/>
        </w:rPr>
        <w:t xml:space="preserve">FirstEnergy argues that </w:t>
      </w:r>
      <w:r w:rsidR="00986874">
        <w:rPr>
          <w:lang w:eastAsia="ja-JP" w:bidi="en-US"/>
        </w:rPr>
        <w:t>any rules adopted by the Commission must preserve state jurisdictional authority over distribution-level resources.</w:t>
      </w:r>
      <w:r w:rsidR="00986874">
        <w:rPr>
          <w:rStyle w:val="FootnoteReference"/>
          <w:lang w:eastAsia="ja-JP" w:bidi="en-US"/>
        </w:rPr>
        <w:footnoteReference w:id="75"/>
      </w:r>
      <w:r w:rsidR="00986874">
        <w:rPr>
          <w:lang w:eastAsia="ja-JP" w:bidi="en-US"/>
        </w:rPr>
        <w:t xml:space="preserve"> </w:t>
      </w:r>
      <w:r w:rsidRPr="00236F48" w:rsidR="00986874">
        <w:t xml:space="preserve"> </w:t>
      </w:r>
      <w:r w:rsidR="00986874">
        <w:rPr>
          <w:szCs w:val="26"/>
        </w:rPr>
        <w:t>Similarly,</w:t>
      </w:r>
      <w:r w:rsidRPr="009220DA" w:rsidR="00986874">
        <w:t xml:space="preserve"> </w:t>
      </w:r>
      <w:r w:rsidR="00986874">
        <w:rPr>
          <w:szCs w:val="26"/>
        </w:rPr>
        <w:t>t</w:t>
      </w:r>
      <w:r w:rsidRPr="009220DA" w:rsidR="00986874">
        <w:rPr>
          <w:szCs w:val="26"/>
        </w:rPr>
        <w:t xml:space="preserve">he Maryland and New Jersey Commissions </w:t>
      </w:r>
      <w:r w:rsidR="00986874">
        <w:rPr>
          <w:szCs w:val="26"/>
        </w:rPr>
        <w:t>ask the Commission to</w:t>
      </w:r>
      <w:r w:rsidRPr="009220DA" w:rsidR="00986874">
        <w:rPr>
          <w:szCs w:val="26"/>
        </w:rPr>
        <w:t xml:space="preserve"> confirm that state decisions on distribution system design, resource interconnection access, operations, and costs will not be viewed as a barrier to wholesale competition or subject to Commission review.</w:t>
      </w:r>
      <w:r w:rsidRPr="009220DA" w:rsidR="00986874">
        <w:rPr>
          <w:b/>
          <w:szCs w:val="26"/>
          <w:vertAlign w:val="superscript"/>
        </w:rPr>
        <w:footnoteReference w:id="76"/>
      </w:r>
      <w:r w:rsidRPr="003457EF" w:rsidR="00986874">
        <w:rPr>
          <w:szCs w:val="26"/>
        </w:rPr>
        <w:t xml:space="preserve">  </w:t>
      </w:r>
      <w:r w:rsidRPr="00D93E99" w:rsidR="00986874">
        <w:rPr>
          <w:szCs w:val="26"/>
        </w:rPr>
        <w:t>MISO Transmission Owners a</w:t>
      </w:r>
      <w:r w:rsidR="00986874">
        <w:rPr>
          <w:szCs w:val="26"/>
        </w:rPr>
        <w:t>ssert</w:t>
      </w:r>
      <w:r w:rsidRPr="00D93E99" w:rsidR="00986874">
        <w:rPr>
          <w:szCs w:val="26"/>
        </w:rPr>
        <w:t xml:space="preserve"> that </w:t>
      </w:r>
      <w:r w:rsidRPr="00174128" w:rsidR="00986874">
        <w:rPr>
          <w:szCs w:val="26"/>
        </w:rPr>
        <w:t>any final rule must not disturb a state’s jurisdiction over retail electricity sales and retail distribution service, including state regulation of retail rates, net metering programs, and participation in wholesale markets by resources located behind a retail distribution service meter.</w:t>
      </w:r>
      <w:r w:rsidR="00986874">
        <w:rPr>
          <w:rStyle w:val="FootnoteReference"/>
          <w:szCs w:val="26"/>
        </w:rPr>
        <w:footnoteReference w:id="77"/>
      </w:r>
      <w:r w:rsidR="00986874">
        <w:t xml:space="preserve">  </w:t>
      </w:r>
    </w:p>
    <w:p w:rsidRPr="003E2EDB" w:rsidR="003E2EDB" w:rsidP="72BFE5C8" w:rsidRDefault="003457EF" w14:paraId="3EDA29D2" w14:textId="32672639">
      <w:pPr>
        <w:pStyle w:val="FERCparanumber"/>
      </w:pPr>
      <w:r w:rsidRPr="72BFE5C8">
        <w:t xml:space="preserve">The </w:t>
      </w:r>
      <w:r w:rsidRPr="72BFE5C8" w:rsidR="006B591B">
        <w:t xml:space="preserve">Maryland and New Jersey Commissions ask the Commission to enunciate clear federal and state jurisdictional lines pertaining to both the distribution system and </w:t>
      </w:r>
      <w:r w:rsidR="006B591B">
        <w:t>distributed energy resource</w:t>
      </w:r>
      <w:r w:rsidRPr="72BFE5C8" w:rsidR="006B591B">
        <w:t>s, whether in</w:t>
      </w:r>
      <w:r w:rsidR="006B591B">
        <w:rPr>
          <w:szCs w:val="26"/>
        </w:rPr>
        <w:t xml:space="preserve"> </w:t>
      </w:r>
      <w:r w:rsidRPr="72BFE5C8" w:rsidR="006B591B">
        <w:t>front</w:t>
      </w:r>
      <w:r w:rsidR="006B591B">
        <w:rPr>
          <w:szCs w:val="26"/>
        </w:rPr>
        <w:t xml:space="preserve"> </w:t>
      </w:r>
      <w:r w:rsidRPr="72BFE5C8" w:rsidR="006B591B">
        <w:t>of or behind</w:t>
      </w:r>
      <w:r w:rsidR="006B591B">
        <w:rPr>
          <w:szCs w:val="26"/>
        </w:rPr>
        <w:t xml:space="preserve"> </w:t>
      </w:r>
      <w:r w:rsidRPr="72BFE5C8" w:rsidR="006B591B">
        <w:t>the</w:t>
      </w:r>
      <w:r w:rsidR="006B591B">
        <w:rPr>
          <w:szCs w:val="26"/>
        </w:rPr>
        <w:t xml:space="preserve"> </w:t>
      </w:r>
      <w:r w:rsidRPr="72BFE5C8" w:rsidR="006B591B">
        <w:t>meter.</w:t>
      </w:r>
      <w:r w:rsidRPr="00D377EB" w:rsidR="006B591B">
        <w:rPr>
          <w:rStyle w:val="FootnoteReference"/>
        </w:rPr>
        <w:footnoteReference w:id="78"/>
      </w:r>
      <w:r w:rsidRPr="00D93E99" w:rsidR="006B591B">
        <w:rPr>
          <w:szCs w:val="26"/>
        </w:rPr>
        <w:t xml:space="preserve">  </w:t>
      </w:r>
      <w:r w:rsidRPr="72BFE5C8" w:rsidR="006B591B">
        <w:t xml:space="preserve">The Massachusetts Commission </w:t>
      </w:r>
      <w:r w:rsidRPr="72BFE5C8" w:rsidR="008A1BBE">
        <w:t xml:space="preserve">and EEI </w:t>
      </w:r>
      <w:r w:rsidRPr="72BFE5C8" w:rsidR="006B591B">
        <w:t>ask the Commission to clarify whether distribution system-connected and behind-the-meter distributed energy resources that participate in wholesale markets are Commission-jurisdictional facilities.</w:t>
      </w:r>
      <w:r w:rsidRPr="72BFE5C8" w:rsidR="006B591B">
        <w:rPr>
          <w:rStyle w:val="FootnoteReference"/>
        </w:rPr>
        <w:footnoteReference w:id="79"/>
      </w:r>
      <w:r w:rsidRPr="72BFE5C8" w:rsidR="006B591B">
        <w:rPr>
          <w:color w:val="000000"/>
        </w:rPr>
        <w:t xml:space="preserve">  </w:t>
      </w:r>
      <w:r w:rsidRPr="72BFE5C8" w:rsidR="006B591B">
        <w:t xml:space="preserve">EEI </w:t>
      </w:r>
      <w:r w:rsidRPr="72BFE5C8" w:rsidR="00247B61">
        <w:t>notes</w:t>
      </w:r>
      <w:r w:rsidRPr="72BFE5C8" w:rsidR="006B591B">
        <w:t xml:space="preserve"> that the Commission has exclusive jurisdiction over sales for resale under the FPA.</w:t>
      </w:r>
      <w:r w:rsidRPr="00D377EB" w:rsidR="006B591B">
        <w:rPr>
          <w:rStyle w:val="FootnoteReference"/>
        </w:rPr>
        <w:footnoteReference w:id="80"/>
      </w:r>
      <w:r>
        <w:rPr>
          <w:szCs w:val="26"/>
        </w:rPr>
        <w:t xml:space="preserve">  </w:t>
      </w:r>
      <w:r w:rsidRPr="72BFE5C8" w:rsidR="007E2339">
        <w:t xml:space="preserve">The </w:t>
      </w:r>
      <w:r w:rsidRPr="72BFE5C8" w:rsidR="00D9371B">
        <w:t>Harvard Environmental Policy Initiative states that EEI confuses Commission jurisdiction over energy sales with state jurisdiction over generation facilities and argues that states will retain authority over the resources themselves.</w:t>
      </w:r>
      <w:r w:rsidRPr="72BFE5C8" w:rsidR="00BF14BE">
        <w:rPr>
          <w:rStyle w:val="FootnoteReference"/>
        </w:rPr>
        <w:footnoteReference w:id="81"/>
      </w:r>
    </w:p>
    <w:p w:rsidRPr="006140F3" w:rsidR="006B591B" w:rsidP="006B591B" w:rsidRDefault="006B591B" w14:paraId="161F5569" w14:textId="452325A0">
      <w:pPr>
        <w:pStyle w:val="FERCparanumber"/>
      </w:pPr>
      <w:r w:rsidRPr="007B0A9C">
        <w:rPr>
          <w:color w:val="000000"/>
          <w:szCs w:val="26"/>
        </w:rPr>
        <w:t>Icetec asks the Commission either to (1) clarify that retail customers transmitting power from distributed energy resources behind their retail service point to their retail point of interconnection are not considered public utilities subject to Open Access Transmission Tariff (OATT) and Open Access Same-Time Information System (OASIS) requirements</w:t>
      </w:r>
      <w:r w:rsidR="00042CE0">
        <w:rPr>
          <w:color w:val="000000"/>
          <w:szCs w:val="26"/>
        </w:rPr>
        <w:t>,</w:t>
      </w:r>
      <w:r w:rsidRPr="007B0A9C">
        <w:rPr>
          <w:color w:val="000000"/>
          <w:szCs w:val="26"/>
        </w:rPr>
        <w:t xml:space="preserve"> or (2) require RTOs/ISOs to include a </w:t>
      </w:r>
      <w:r w:rsidRPr="007B0A9C">
        <w:rPr>
          <w:i/>
          <w:color w:val="000000"/>
          <w:szCs w:val="26"/>
        </w:rPr>
        <w:t>pro forma</w:t>
      </w:r>
      <w:r w:rsidRPr="007B0A9C">
        <w:rPr>
          <w:color w:val="000000"/>
          <w:szCs w:val="26"/>
        </w:rPr>
        <w:t xml:space="preserve"> request for waiver of those requirements in distributed energy resource participation agreements.</w:t>
      </w:r>
      <w:r w:rsidRPr="00D377EB">
        <w:rPr>
          <w:rStyle w:val="FootnoteReference"/>
        </w:rPr>
        <w:footnoteReference w:id="82"/>
      </w:r>
      <w:r w:rsidRPr="007B0A9C">
        <w:rPr>
          <w:color w:val="000000"/>
          <w:szCs w:val="26"/>
        </w:rPr>
        <w:t xml:space="preserve"> </w:t>
      </w:r>
      <w:r w:rsidR="00892B59">
        <w:rPr>
          <w:color w:val="000000"/>
          <w:szCs w:val="26"/>
        </w:rPr>
        <w:t xml:space="preserve"> </w:t>
      </w:r>
      <w:r w:rsidR="0091032E">
        <w:rPr>
          <w:color w:val="000000"/>
          <w:szCs w:val="26"/>
        </w:rPr>
        <w:t xml:space="preserve">The </w:t>
      </w:r>
      <w:r w:rsidRPr="00D93E99">
        <w:rPr>
          <w:szCs w:val="26"/>
        </w:rPr>
        <w:t xml:space="preserve">Harvard Environmental Policy Initiative </w:t>
      </w:r>
      <w:r>
        <w:rPr>
          <w:szCs w:val="26"/>
        </w:rPr>
        <w:t>states</w:t>
      </w:r>
      <w:r w:rsidRPr="00D93E99">
        <w:rPr>
          <w:szCs w:val="26"/>
        </w:rPr>
        <w:t xml:space="preserve"> that the Commission </w:t>
      </w:r>
      <w:r>
        <w:rPr>
          <w:szCs w:val="26"/>
        </w:rPr>
        <w:t>sh</w:t>
      </w:r>
      <w:r w:rsidRPr="008E5D34">
        <w:rPr>
          <w:szCs w:val="26"/>
        </w:rPr>
        <w:t xml:space="preserve">ould establish a jurisdictional line that distinguishes between sales by </w:t>
      </w:r>
      <w:r>
        <w:t>distributed energy resource</w:t>
      </w:r>
      <w:r w:rsidRPr="008E5D34">
        <w:rPr>
          <w:szCs w:val="26"/>
        </w:rPr>
        <w:t xml:space="preserve"> aggregators and sales by individual </w:t>
      </w:r>
      <w:r>
        <w:t>distributed energy resources</w:t>
      </w:r>
      <w:r w:rsidRPr="008E5D34">
        <w:rPr>
          <w:szCs w:val="26"/>
        </w:rPr>
        <w:t xml:space="preserve"> by determining that an energy sale from an individual </w:t>
      </w:r>
      <w:r>
        <w:t>distributed energy resource</w:t>
      </w:r>
      <w:r w:rsidRPr="008E5D34">
        <w:rPr>
          <w:szCs w:val="26"/>
        </w:rPr>
        <w:t xml:space="preserve"> is not a “wholesale sale in interstate commerce” but is instead “any other sale” under FPA section 201 and therefore not subject to Commission regulation.</w:t>
      </w:r>
      <w:r w:rsidRPr="00D377EB">
        <w:rPr>
          <w:rStyle w:val="FootnoteReference"/>
        </w:rPr>
        <w:footnoteReference w:id="83"/>
      </w:r>
      <w:r w:rsidRPr="00D93E99" w:rsidDel="00D82D3D">
        <w:rPr>
          <w:szCs w:val="26"/>
        </w:rPr>
        <w:t xml:space="preserve"> </w:t>
      </w:r>
      <w:r>
        <w:t xml:space="preserve">  </w:t>
      </w:r>
    </w:p>
    <w:p w:rsidR="006B591B" w:rsidP="006B591B" w:rsidRDefault="006B591B" w14:paraId="4B1C593D" w14:textId="77777777">
      <w:pPr>
        <w:pStyle w:val="Heading4"/>
      </w:pPr>
      <w:bookmarkStart w:name="_bmk10" w:id="14"/>
      <w:r>
        <w:t>C</w:t>
      </w:r>
      <w:bookmarkEnd w:id="14"/>
      <w:r>
        <w:t>ommission Determination</w:t>
      </w:r>
    </w:p>
    <w:p w:rsidR="000C639F" w:rsidP="006B591B" w:rsidRDefault="0013156C" w14:paraId="768BCD4B" w14:textId="0A27E310">
      <w:pPr>
        <w:pStyle w:val="FERCparanumber"/>
        <w:rPr>
          <w:lang w:eastAsia="ja-JP"/>
        </w:rPr>
      </w:pPr>
      <w:r w:rsidRPr="0013156C">
        <w:rPr>
          <w:lang w:eastAsia="ja-JP"/>
        </w:rPr>
        <w:t>FPA section 201 authorizes the Commission to regulate the transmission of electric energy in interstate commerce and the wholesale sale of electric energy in interstate commerce, as well as all facilities used for such transmission or sale of electric energy</w:t>
      </w:r>
      <w:r w:rsidRPr="00957039" w:rsidR="006B591B">
        <w:rPr>
          <w:lang w:eastAsia="ja-JP"/>
        </w:rPr>
        <w:t>.</w:t>
      </w:r>
      <w:r w:rsidRPr="00957039" w:rsidR="006B591B">
        <w:rPr>
          <w:b/>
          <w:vertAlign w:val="superscript"/>
          <w:lang w:eastAsia="ja-JP"/>
        </w:rPr>
        <w:footnoteReference w:id="84"/>
      </w:r>
      <w:r w:rsidRPr="00957039" w:rsidR="006B591B">
        <w:rPr>
          <w:lang w:eastAsia="ja-JP"/>
        </w:rPr>
        <w:t xml:space="preserve">  </w:t>
      </w:r>
      <w:r w:rsidR="006B591B">
        <w:rPr>
          <w:lang w:eastAsia="ja-JP"/>
        </w:rPr>
        <w:t xml:space="preserve">FPA </w:t>
      </w:r>
      <w:r w:rsidRPr="00957039" w:rsidR="006B591B">
        <w:rPr>
          <w:lang w:eastAsia="ja-JP"/>
        </w:rPr>
        <w:t>section 201</w:t>
      </w:r>
      <w:r>
        <w:rPr>
          <w:lang w:eastAsia="ja-JP"/>
        </w:rPr>
        <w:t xml:space="preserve"> also defines</w:t>
      </w:r>
      <w:r w:rsidRPr="00957039" w:rsidR="006B591B">
        <w:rPr>
          <w:lang w:eastAsia="ja-JP"/>
        </w:rPr>
        <w:t xml:space="preserve"> a public utility as a person who owns or operates facilities subject to the jurisdiction of the Commission.</w:t>
      </w:r>
      <w:r w:rsidRPr="00957039" w:rsidR="006B591B">
        <w:rPr>
          <w:b/>
          <w:vertAlign w:val="superscript"/>
          <w:lang w:eastAsia="ja-JP"/>
        </w:rPr>
        <w:footnoteReference w:id="85"/>
      </w:r>
      <w:r w:rsidRPr="00957039" w:rsidR="006B591B">
        <w:rPr>
          <w:lang w:eastAsia="ja-JP"/>
        </w:rPr>
        <w:t xml:space="preserve">  </w:t>
      </w:r>
      <w:r w:rsidRPr="000C639F" w:rsidR="000C639F">
        <w:rPr>
          <w:lang w:eastAsia="ja-JP"/>
        </w:rPr>
        <w:t>FPA sections 205</w:t>
      </w:r>
      <w:r w:rsidR="000C639F">
        <w:rPr>
          <w:rStyle w:val="FootnoteReference"/>
          <w:lang w:eastAsia="ja-JP"/>
        </w:rPr>
        <w:footnoteReference w:id="86"/>
      </w:r>
      <w:r w:rsidRPr="000C639F" w:rsidR="000C639F">
        <w:rPr>
          <w:lang w:eastAsia="ja-JP"/>
        </w:rPr>
        <w:t xml:space="preserve"> and 206</w:t>
      </w:r>
      <w:r w:rsidR="000C639F">
        <w:rPr>
          <w:rStyle w:val="FootnoteReference"/>
          <w:lang w:eastAsia="ja-JP"/>
        </w:rPr>
        <w:footnoteReference w:id="87"/>
      </w:r>
      <w:r w:rsidRPr="000C639F" w:rsidR="000C639F">
        <w:rPr>
          <w:lang w:eastAsia="ja-JP"/>
        </w:rPr>
        <w:t xml:space="preserve"> provide the Commission with jurisdiction over all rates and charges made, demanded, or received by any public utility for or in connection with the transmission or sale of electric energy subject to the Commission’s jurisdiction. </w:t>
      </w:r>
      <w:r w:rsidR="000C639F">
        <w:rPr>
          <w:lang w:eastAsia="ja-JP"/>
        </w:rPr>
        <w:t xml:space="preserve"> </w:t>
      </w:r>
      <w:r w:rsidRPr="000C639F" w:rsidR="000C639F">
        <w:rPr>
          <w:lang w:eastAsia="ja-JP"/>
        </w:rPr>
        <w:t>Those sections also provide the Commission with jurisdiction over all rules, regulations, practices, or contracts affecting jurisdictional rates, charges, or classifications.</w:t>
      </w:r>
      <w:r w:rsidR="000C639F">
        <w:rPr>
          <w:lang w:eastAsia="ja-JP"/>
        </w:rPr>
        <w:t xml:space="preserve"> </w:t>
      </w:r>
      <w:r w:rsidRPr="000C639F" w:rsidR="000C639F">
        <w:rPr>
          <w:lang w:eastAsia="ja-JP"/>
        </w:rPr>
        <w:t xml:space="preserve"> </w:t>
      </w:r>
      <w:r w:rsidR="00987586">
        <w:rPr>
          <w:lang w:eastAsia="ja-JP"/>
        </w:rPr>
        <w:t xml:space="preserve">  </w:t>
      </w:r>
    </w:p>
    <w:p w:rsidR="000B361E" w:rsidP="00ED2928" w:rsidRDefault="00AE235E" w14:paraId="4AFAB362" w14:textId="317C81C4">
      <w:pPr>
        <w:pStyle w:val="FERCparanumber"/>
        <w:rPr>
          <w:lang w:eastAsia="ja-JP"/>
        </w:rPr>
      </w:pPr>
      <w:r>
        <w:rPr>
          <w:lang w:eastAsia="ja-JP"/>
        </w:rPr>
        <w:t xml:space="preserve">The Commission’s authority </w:t>
      </w:r>
      <w:bookmarkStart w:name="_Hlk46736162" w:id="15"/>
      <w:r>
        <w:rPr>
          <w:lang w:eastAsia="ja-JP"/>
        </w:rPr>
        <w:t xml:space="preserve">to issue regulations pertaining to </w:t>
      </w:r>
      <w:r w:rsidR="000B361E">
        <w:rPr>
          <w:lang w:eastAsia="ja-JP"/>
        </w:rPr>
        <w:t xml:space="preserve">distributed energy resource </w:t>
      </w:r>
      <w:r>
        <w:rPr>
          <w:lang w:eastAsia="ja-JP"/>
        </w:rPr>
        <w:t>aggregations</w:t>
      </w:r>
      <w:bookmarkEnd w:id="15"/>
      <w:r>
        <w:rPr>
          <w:lang w:eastAsia="ja-JP"/>
        </w:rPr>
        <w:t xml:space="preserve"> stems from both the Commission’s jurisdiction over the wholesale sales by </w:t>
      </w:r>
      <w:r w:rsidR="000B361E">
        <w:rPr>
          <w:lang w:eastAsia="ja-JP"/>
        </w:rPr>
        <w:t xml:space="preserve">distributed energy resource </w:t>
      </w:r>
      <w:r>
        <w:rPr>
          <w:lang w:eastAsia="ja-JP"/>
        </w:rPr>
        <w:t xml:space="preserve">aggregators into RTO/ISO markets and </w:t>
      </w:r>
      <w:r w:rsidR="009428BC">
        <w:rPr>
          <w:lang w:eastAsia="ja-JP"/>
        </w:rPr>
        <w:t>from its</w:t>
      </w:r>
      <w:r>
        <w:rPr>
          <w:lang w:eastAsia="ja-JP"/>
        </w:rPr>
        <w:t xml:space="preserve"> jurisdiction over</w:t>
      </w:r>
      <w:r w:rsidR="000B361E">
        <w:rPr>
          <w:lang w:eastAsia="ja-JP"/>
        </w:rPr>
        <w:t xml:space="preserve"> </w:t>
      </w:r>
      <w:r>
        <w:rPr>
          <w:lang w:eastAsia="ja-JP"/>
        </w:rPr>
        <w:t>practices affecting wholesale rates</w:t>
      </w:r>
      <w:r w:rsidR="000B361E">
        <w:rPr>
          <w:lang w:eastAsia="ja-JP"/>
        </w:rPr>
        <w:t>.</w:t>
      </w:r>
      <w:r w:rsidR="008E3047">
        <w:rPr>
          <w:rStyle w:val="FootnoteReference"/>
          <w:lang w:eastAsia="ja-JP"/>
        </w:rPr>
        <w:footnoteReference w:id="88"/>
      </w:r>
    </w:p>
    <w:p w:rsidR="00676B1B" w:rsidP="00ED2928" w:rsidRDefault="00676B1B" w14:paraId="3F14C023" w14:textId="7CE0C3C5">
      <w:pPr>
        <w:pStyle w:val="FERCparanumber"/>
        <w:rPr>
          <w:lang w:eastAsia="ja-JP"/>
        </w:rPr>
      </w:pPr>
      <w:r>
        <w:rPr>
          <w:lang w:eastAsia="ja-JP"/>
        </w:rPr>
        <w:t xml:space="preserve">First, </w:t>
      </w:r>
      <w:r w:rsidR="00B2616B">
        <w:rPr>
          <w:lang w:eastAsia="ja-JP"/>
        </w:rPr>
        <w:t>we</w:t>
      </w:r>
      <w:r>
        <w:rPr>
          <w:lang w:eastAsia="ja-JP"/>
        </w:rPr>
        <w:t xml:space="preserve"> find that</w:t>
      </w:r>
      <w:r w:rsidRPr="00676B1B">
        <w:rPr>
          <w:lang w:eastAsia="ja-JP"/>
        </w:rPr>
        <w:t xml:space="preserve"> </w:t>
      </w:r>
      <w:r>
        <w:rPr>
          <w:lang w:eastAsia="ja-JP"/>
        </w:rPr>
        <w:t>t</w:t>
      </w:r>
      <w:r w:rsidRPr="006761CE">
        <w:rPr>
          <w:lang w:eastAsia="ja-JP"/>
        </w:rPr>
        <w:t xml:space="preserve">he sales of electric energy by </w:t>
      </w:r>
      <w:r>
        <w:rPr>
          <w:lang w:eastAsia="ja-JP"/>
        </w:rPr>
        <w:t>distributed energy resource</w:t>
      </w:r>
      <w:r w:rsidRPr="006761CE">
        <w:rPr>
          <w:lang w:eastAsia="ja-JP"/>
        </w:rPr>
        <w:t xml:space="preserve"> aggregators for purposes of participating in an RTO/ISO market are wholesale sales subject to the Commission’s jurisdiction</w:t>
      </w:r>
      <w:r w:rsidRPr="008A7C16">
        <w:rPr>
          <w:lang w:eastAsia="ja-JP"/>
        </w:rPr>
        <w:t xml:space="preserve">.  </w:t>
      </w:r>
      <w:r w:rsidRPr="008A7C16" w:rsidR="00DA1ABE">
        <w:rPr>
          <w:lang w:eastAsia="ja-JP"/>
        </w:rPr>
        <w:t>In Order No. 841, the Commission</w:t>
      </w:r>
      <w:r w:rsidRPr="008A7C16" w:rsidDel="00087F6C" w:rsidR="00DA1ABE">
        <w:rPr>
          <w:lang w:eastAsia="ja-JP"/>
        </w:rPr>
        <w:t xml:space="preserve"> </w:t>
      </w:r>
      <w:r w:rsidRPr="008A7C16" w:rsidR="00DA1ABE">
        <w:rPr>
          <w:lang w:eastAsia="ja-JP"/>
        </w:rPr>
        <w:t>observed that an electric storage resource that injects electric energy back to the grid for purposes of participating in an RTO/ISO market engages in a sale of electric energy at wholesale in interstate commerce.</w:t>
      </w:r>
      <w:r w:rsidRPr="008A7C16" w:rsidR="00123022">
        <w:rPr>
          <w:rStyle w:val="FootnoteReference"/>
          <w:lang w:eastAsia="ja-JP"/>
        </w:rPr>
        <w:footnoteReference w:id="89"/>
      </w:r>
      <w:r w:rsidRPr="008A7C16" w:rsidR="00DA1ABE">
        <w:rPr>
          <w:lang w:eastAsia="ja-JP"/>
        </w:rPr>
        <w:t xml:space="preserve">  </w:t>
      </w:r>
      <w:r w:rsidRPr="008A7C16" w:rsidR="0092396E">
        <w:rPr>
          <w:lang w:eastAsia="ja-JP"/>
        </w:rPr>
        <w:t>Similarly</w:t>
      </w:r>
      <w:r w:rsidRPr="008A7C16" w:rsidR="00DA1ABE">
        <w:rPr>
          <w:lang w:eastAsia="ja-JP"/>
        </w:rPr>
        <w:t xml:space="preserve">, </w:t>
      </w:r>
      <w:r w:rsidRPr="008A7C16" w:rsidR="00BC1B14">
        <w:rPr>
          <w:lang w:eastAsia="ja-JP"/>
        </w:rPr>
        <w:t xml:space="preserve">to </w:t>
      </w:r>
      <w:r w:rsidRPr="008A7C16" w:rsidR="006D0398">
        <w:rPr>
          <w:lang w:eastAsia="ja-JP"/>
        </w:rPr>
        <w:t xml:space="preserve">the extent that </w:t>
      </w:r>
      <w:r w:rsidRPr="008A7C16" w:rsidR="00BC1B14">
        <w:rPr>
          <w:lang w:eastAsia="ja-JP"/>
        </w:rPr>
        <w:t xml:space="preserve">a distributed energy resource aggregator’s </w:t>
      </w:r>
      <w:r w:rsidRPr="008A7C16" w:rsidR="00EB7587">
        <w:rPr>
          <w:lang w:eastAsia="ja-JP"/>
        </w:rPr>
        <w:t>transaction in RTO/ISO markets</w:t>
      </w:r>
      <w:r w:rsidRPr="008A7C16" w:rsidR="0092396E">
        <w:rPr>
          <w:lang w:eastAsia="ja-JP"/>
        </w:rPr>
        <w:t xml:space="preserve"> entail</w:t>
      </w:r>
      <w:r w:rsidRPr="008A7C16" w:rsidR="00EB7587">
        <w:rPr>
          <w:lang w:eastAsia="ja-JP"/>
        </w:rPr>
        <w:t>s</w:t>
      </w:r>
      <w:r w:rsidRPr="008A7C16" w:rsidR="006D0398">
        <w:rPr>
          <w:lang w:eastAsia="ja-JP"/>
        </w:rPr>
        <w:t xml:space="preserve"> the injection of electric energy onto the grid and a sale of that energy for resale in wholesale electric markets</w:t>
      </w:r>
      <w:r w:rsidRPr="008A7C16" w:rsidR="00A17399">
        <w:rPr>
          <w:lang w:eastAsia="ja-JP"/>
        </w:rPr>
        <w:t xml:space="preserve">, </w:t>
      </w:r>
      <w:r w:rsidRPr="008A7C16" w:rsidDel="00A17399" w:rsidR="00DA1ABE">
        <w:rPr>
          <w:lang w:eastAsia="ja-JP"/>
        </w:rPr>
        <w:t xml:space="preserve">we find that </w:t>
      </w:r>
      <w:r w:rsidRPr="008A7C16" w:rsidR="00DA1ABE">
        <w:rPr>
          <w:lang w:eastAsia="ja-JP"/>
        </w:rPr>
        <w:t xml:space="preserve">the Commission has jurisdiction over </w:t>
      </w:r>
      <w:r w:rsidRPr="008A7C16" w:rsidR="008B3044">
        <w:rPr>
          <w:lang w:eastAsia="ja-JP"/>
        </w:rPr>
        <w:t xml:space="preserve">such </w:t>
      </w:r>
      <w:r w:rsidRPr="008A7C16" w:rsidR="00DA1ABE">
        <w:rPr>
          <w:lang w:eastAsia="ja-JP"/>
        </w:rPr>
        <w:t>wholesale sales.</w:t>
      </w:r>
      <w:r w:rsidRPr="008A7C16" w:rsidR="00816BC0">
        <w:rPr>
          <w:rStyle w:val="FootnoteReference"/>
          <w:lang w:eastAsia="ja-JP"/>
        </w:rPr>
        <w:footnoteReference w:id="90"/>
      </w:r>
      <w:r w:rsidRPr="008A7C16" w:rsidR="00DA1ABE">
        <w:rPr>
          <w:lang w:eastAsia="ja-JP"/>
        </w:rPr>
        <w:t xml:space="preserve">  </w:t>
      </w:r>
      <w:r w:rsidR="007A1C82">
        <w:rPr>
          <w:lang w:eastAsia="ja-JP"/>
        </w:rPr>
        <w:t xml:space="preserve"> </w:t>
      </w:r>
    </w:p>
    <w:p w:rsidR="006B591B" w:rsidP="006B591B" w:rsidRDefault="007037DB" w14:paraId="19984690" w14:textId="185FEC05">
      <w:pPr>
        <w:pStyle w:val="FERCparanumber"/>
        <w:rPr>
          <w:lang w:eastAsia="ja-JP"/>
        </w:rPr>
      </w:pPr>
      <w:r>
        <w:rPr>
          <w:lang w:eastAsia="ja-JP"/>
        </w:rPr>
        <w:t>Second</w:t>
      </w:r>
      <w:r w:rsidR="00BE409A">
        <w:rPr>
          <w:lang w:eastAsia="ja-JP"/>
        </w:rPr>
        <w:t>,</w:t>
      </w:r>
      <w:r w:rsidRPr="006A36B8" w:rsidR="006A36B8">
        <w:t xml:space="preserve"> </w:t>
      </w:r>
      <w:r w:rsidR="00604A72">
        <w:rPr>
          <w:lang w:eastAsia="ja-JP"/>
        </w:rPr>
        <w:t>we</w:t>
      </w:r>
      <w:r w:rsidR="006A36B8">
        <w:rPr>
          <w:lang w:eastAsia="ja-JP"/>
        </w:rPr>
        <w:t xml:space="preserve"> find</w:t>
      </w:r>
      <w:r w:rsidR="00604A72">
        <w:rPr>
          <w:lang w:eastAsia="ja-JP"/>
        </w:rPr>
        <w:t xml:space="preserve"> </w:t>
      </w:r>
      <w:r w:rsidR="00DB077C">
        <w:rPr>
          <w:lang w:eastAsia="ja-JP"/>
        </w:rPr>
        <w:t>that</w:t>
      </w:r>
      <w:r w:rsidR="00604A72">
        <w:rPr>
          <w:lang w:eastAsia="ja-JP"/>
        </w:rPr>
        <w:t xml:space="preserve"> </w:t>
      </w:r>
      <w:r w:rsidR="00AB14AA">
        <w:rPr>
          <w:lang w:eastAsia="ja-JP"/>
        </w:rPr>
        <w:t xml:space="preserve">RTO/ISO market rules governing </w:t>
      </w:r>
      <w:r w:rsidR="00A15646">
        <w:rPr>
          <w:lang w:eastAsia="ja-JP"/>
        </w:rPr>
        <w:t xml:space="preserve">sales </w:t>
      </w:r>
      <w:r w:rsidR="00C11244">
        <w:rPr>
          <w:lang w:eastAsia="ja-JP"/>
        </w:rPr>
        <w:t xml:space="preserve">in RTO/ISO markets </w:t>
      </w:r>
      <w:r w:rsidR="00A15646">
        <w:rPr>
          <w:lang w:eastAsia="ja-JP"/>
        </w:rPr>
        <w:t>by distributed energy resource aggregators</w:t>
      </w:r>
      <w:r w:rsidR="006F5C90">
        <w:rPr>
          <w:lang w:eastAsia="ja-JP"/>
        </w:rPr>
        <w:t xml:space="preserve"> from demand resources</w:t>
      </w:r>
      <w:r w:rsidR="00A15646">
        <w:rPr>
          <w:lang w:eastAsia="ja-JP"/>
        </w:rPr>
        <w:t xml:space="preserve"> </w:t>
      </w:r>
      <w:r w:rsidRPr="00630D9D" w:rsidR="00DA4B3F">
        <w:rPr>
          <w:lang w:eastAsia="ja-JP"/>
        </w:rPr>
        <w:t>(e.g., demand response and energy efficiency)</w:t>
      </w:r>
      <w:r w:rsidR="00A944E2">
        <w:rPr>
          <w:lang w:eastAsia="ja-JP"/>
        </w:rPr>
        <w:t xml:space="preserve"> </w:t>
      </w:r>
      <w:r w:rsidR="006A36B8">
        <w:rPr>
          <w:lang w:eastAsia="ja-JP"/>
        </w:rPr>
        <w:t>are</w:t>
      </w:r>
      <w:r w:rsidRPr="006A36B8" w:rsidR="006A36B8">
        <w:rPr>
          <w:lang w:eastAsia="ja-JP"/>
        </w:rPr>
        <w:t xml:space="preserve"> practices affecting wholesale rates</w:t>
      </w:r>
      <w:r w:rsidR="00753D62">
        <w:rPr>
          <w:lang w:eastAsia="ja-JP"/>
        </w:rPr>
        <w:t>.</w:t>
      </w:r>
      <w:r w:rsidR="00BE409A">
        <w:rPr>
          <w:lang w:eastAsia="ja-JP"/>
        </w:rPr>
        <w:t xml:space="preserve"> </w:t>
      </w:r>
      <w:r w:rsidRPr="002A0E7E" w:rsidR="00AE235E">
        <w:rPr>
          <w:lang w:eastAsia="ja-JP"/>
        </w:rPr>
        <w:t xml:space="preserve"> </w:t>
      </w:r>
      <w:r w:rsidR="000A5B62">
        <w:rPr>
          <w:lang w:eastAsia="ja-JP"/>
        </w:rPr>
        <w:t xml:space="preserve">This finding </w:t>
      </w:r>
      <w:r w:rsidR="00551D68">
        <w:rPr>
          <w:lang w:eastAsia="ja-JP"/>
        </w:rPr>
        <w:t>aligns with</w:t>
      </w:r>
      <w:r w:rsidR="008D19D1">
        <w:rPr>
          <w:lang w:eastAsia="ja-JP"/>
        </w:rPr>
        <w:t xml:space="preserve"> the </w:t>
      </w:r>
      <w:r w:rsidR="00551D68">
        <w:rPr>
          <w:lang w:eastAsia="ja-JP"/>
        </w:rPr>
        <w:t>decision</w:t>
      </w:r>
      <w:r w:rsidR="008D19D1">
        <w:rPr>
          <w:lang w:eastAsia="ja-JP"/>
        </w:rPr>
        <w:t xml:space="preserve"> of the </w:t>
      </w:r>
      <w:r w:rsidR="00551D68">
        <w:rPr>
          <w:lang w:eastAsia="ja-JP"/>
        </w:rPr>
        <w:t xml:space="preserve">U.S. Supreme </w:t>
      </w:r>
      <w:r w:rsidR="008D19D1">
        <w:rPr>
          <w:lang w:eastAsia="ja-JP"/>
        </w:rPr>
        <w:t xml:space="preserve">Court </w:t>
      </w:r>
      <w:r w:rsidR="00551D68">
        <w:rPr>
          <w:lang w:eastAsia="ja-JP"/>
        </w:rPr>
        <w:t>i</w:t>
      </w:r>
      <w:r w:rsidRPr="002A0E7E" w:rsidR="002A0E7E">
        <w:rPr>
          <w:lang w:eastAsia="ja-JP"/>
        </w:rPr>
        <w:t xml:space="preserve">n </w:t>
      </w:r>
      <w:r w:rsidRPr="000C639F" w:rsidR="002A0E7E">
        <w:rPr>
          <w:i/>
          <w:iCs/>
          <w:lang w:eastAsia="ja-JP"/>
        </w:rPr>
        <w:t>EPSA</w:t>
      </w:r>
      <w:r w:rsidRPr="002A0E7E" w:rsidR="002A0E7E">
        <w:rPr>
          <w:lang w:eastAsia="ja-JP"/>
        </w:rPr>
        <w:t xml:space="preserve">, </w:t>
      </w:r>
      <w:r w:rsidR="00551D68">
        <w:rPr>
          <w:lang w:eastAsia="ja-JP"/>
        </w:rPr>
        <w:t>which</w:t>
      </w:r>
      <w:r w:rsidRPr="002A0E7E" w:rsidR="002A0E7E">
        <w:rPr>
          <w:lang w:eastAsia="ja-JP"/>
        </w:rPr>
        <w:t xml:space="preserve"> interpreted </w:t>
      </w:r>
      <w:r w:rsidR="006A36B8">
        <w:rPr>
          <w:lang w:eastAsia="ja-JP"/>
        </w:rPr>
        <w:t>the</w:t>
      </w:r>
      <w:r w:rsidRPr="002A0E7E" w:rsidR="002A0E7E">
        <w:rPr>
          <w:lang w:eastAsia="ja-JP"/>
        </w:rPr>
        <w:t xml:space="preserve"> FPA </w:t>
      </w:r>
      <w:r w:rsidR="00A8223E">
        <w:rPr>
          <w:lang w:eastAsia="ja-JP"/>
        </w:rPr>
        <w:t>as providing</w:t>
      </w:r>
      <w:r w:rsidRPr="002A0E7E" w:rsidR="00BC04D7">
        <w:rPr>
          <w:lang w:eastAsia="ja-JP"/>
        </w:rPr>
        <w:t xml:space="preserve"> </w:t>
      </w:r>
      <w:r w:rsidRPr="002A0E7E" w:rsidR="002A0E7E">
        <w:rPr>
          <w:lang w:eastAsia="ja-JP"/>
        </w:rPr>
        <w:t xml:space="preserve">the Commission </w:t>
      </w:r>
      <w:r w:rsidR="00A8223E">
        <w:rPr>
          <w:lang w:eastAsia="ja-JP"/>
        </w:rPr>
        <w:t xml:space="preserve">with </w:t>
      </w:r>
      <w:r w:rsidRPr="002A0E7E" w:rsidR="002A0E7E">
        <w:rPr>
          <w:lang w:eastAsia="ja-JP"/>
        </w:rPr>
        <w:t>jurisdiction over the participation in RTO/ISO markets of demand response resources: a type of non-traditional resource that, by definition, is located behind a customer meter and generally is located on the distribution system.</w:t>
      </w:r>
      <w:r w:rsidR="002A0E7E">
        <w:rPr>
          <w:rStyle w:val="FootnoteReference"/>
          <w:lang w:eastAsia="ja-JP"/>
        </w:rPr>
        <w:footnoteReference w:id="91"/>
      </w:r>
      <w:r w:rsidR="002A0E7E">
        <w:rPr>
          <w:lang w:eastAsia="ja-JP"/>
        </w:rPr>
        <w:t xml:space="preserve">  </w:t>
      </w:r>
      <w:r w:rsidRPr="002A0E7E" w:rsidR="002A0E7E">
        <w:rPr>
          <w:lang w:eastAsia="ja-JP"/>
        </w:rPr>
        <w:t>First, the Court found that the Commission’s regulation of demand response participation in wholesale markets met the “affecting” standard in FPA sections 205 and 206 “with room to spare.”</w:t>
      </w:r>
      <w:r w:rsidR="000C639F">
        <w:rPr>
          <w:rStyle w:val="FootnoteReference"/>
          <w:lang w:eastAsia="ja-JP"/>
        </w:rPr>
        <w:footnoteReference w:id="92"/>
      </w:r>
      <w:r w:rsidR="000C639F">
        <w:rPr>
          <w:lang w:eastAsia="ja-JP"/>
        </w:rPr>
        <w:t xml:space="preserve">  </w:t>
      </w:r>
      <w:r w:rsidRPr="002A0E7E" w:rsidR="002A0E7E">
        <w:rPr>
          <w:lang w:eastAsia="ja-JP"/>
        </w:rPr>
        <w:t>Second, the Court found that the Commission’s regulation of demand response resources did not regulate retail sales in violation of FPA section 201(b).</w:t>
      </w:r>
      <w:r w:rsidR="002A0E7E">
        <w:rPr>
          <w:rStyle w:val="FootnoteReference"/>
          <w:lang w:eastAsia="ja-JP"/>
        </w:rPr>
        <w:footnoteReference w:id="93"/>
      </w:r>
      <w:r w:rsidR="00551D68">
        <w:rPr>
          <w:lang w:eastAsia="ja-JP"/>
        </w:rPr>
        <w:t xml:space="preserve">  </w:t>
      </w:r>
      <w:r w:rsidR="001E3A03">
        <w:rPr>
          <w:lang w:eastAsia="ja-JP"/>
        </w:rPr>
        <w:t xml:space="preserve">These holdings apply equally to RTO/ISO market rules governing sales in RTO/ISO markets by distributed energy resource aggregators </w:t>
      </w:r>
      <w:r w:rsidR="00B77B40">
        <w:rPr>
          <w:lang w:eastAsia="ja-JP"/>
        </w:rPr>
        <w:t>from demand resources</w:t>
      </w:r>
      <w:r w:rsidR="006B1624">
        <w:rPr>
          <w:lang w:eastAsia="ja-JP"/>
        </w:rPr>
        <w:t>.</w:t>
      </w:r>
      <w:r w:rsidR="001E3A03">
        <w:rPr>
          <w:lang w:eastAsia="ja-JP"/>
        </w:rPr>
        <w:t xml:space="preserve">  </w:t>
      </w:r>
    </w:p>
    <w:p w:rsidR="00F03DEA" w:rsidP="00C61AB6" w:rsidRDefault="00F03DEA" w14:paraId="1038D840" w14:textId="0F1A7E8D">
      <w:pPr>
        <w:pStyle w:val="FERCparanumber"/>
        <w:rPr>
          <w:lang w:eastAsia="ja-JP"/>
        </w:rPr>
      </w:pPr>
      <w:r>
        <w:rPr>
          <w:lang w:eastAsia="ja-JP"/>
        </w:rPr>
        <w:t>We clarify that, to the extent a distributed energy resource</w:t>
      </w:r>
      <w:r w:rsidRPr="003B2CED">
        <w:rPr>
          <w:lang w:eastAsia="ja-JP"/>
        </w:rPr>
        <w:t xml:space="preserve"> aggregator </w:t>
      </w:r>
      <w:r w:rsidR="00D57D0C">
        <w:rPr>
          <w:lang w:eastAsia="ja-JP"/>
        </w:rPr>
        <w:t xml:space="preserve">makes sales </w:t>
      </w:r>
      <w:r w:rsidR="000148DD">
        <w:rPr>
          <w:lang w:eastAsia="ja-JP"/>
        </w:rPr>
        <w:t>of electric energy</w:t>
      </w:r>
      <w:r w:rsidR="00D57D0C">
        <w:rPr>
          <w:lang w:eastAsia="ja-JP"/>
        </w:rPr>
        <w:t xml:space="preserve"> into RTO/ISO markets, it will </w:t>
      </w:r>
      <w:r w:rsidR="00280784">
        <w:rPr>
          <w:lang w:eastAsia="ja-JP"/>
        </w:rPr>
        <w:t xml:space="preserve">be considered </w:t>
      </w:r>
      <w:r w:rsidR="00D57D0C">
        <w:rPr>
          <w:lang w:eastAsia="ja-JP"/>
        </w:rPr>
        <w:t>a public utility</w:t>
      </w:r>
      <w:r w:rsidR="00280784">
        <w:rPr>
          <w:lang w:eastAsia="ja-JP"/>
        </w:rPr>
        <w:t xml:space="preserve"> </w:t>
      </w:r>
      <w:r w:rsidR="007B7EF6">
        <w:rPr>
          <w:lang w:eastAsia="ja-JP"/>
        </w:rPr>
        <w:t>subject to the Commission’s jurisdiction</w:t>
      </w:r>
      <w:r w:rsidR="00D57D0C">
        <w:rPr>
          <w:lang w:eastAsia="ja-JP"/>
        </w:rPr>
        <w:t>.</w:t>
      </w:r>
      <w:r w:rsidR="00AD5C3E">
        <w:rPr>
          <w:rStyle w:val="FootnoteReference"/>
          <w:lang w:eastAsia="ja-JP"/>
        </w:rPr>
        <w:footnoteReference w:id="94"/>
      </w:r>
      <w:r w:rsidR="00D57D0C">
        <w:rPr>
          <w:lang w:eastAsia="ja-JP"/>
        </w:rPr>
        <w:t xml:space="preserve">  </w:t>
      </w:r>
      <w:r w:rsidR="00BA043A">
        <w:rPr>
          <w:lang w:eastAsia="ja-JP"/>
        </w:rPr>
        <w:t>S</w:t>
      </w:r>
      <w:r w:rsidRPr="006761CE">
        <w:rPr>
          <w:lang w:eastAsia="ja-JP"/>
        </w:rPr>
        <w:t xml:space="preserve">uch </w:t>
      </w:r>
      <w:r>
        <w:rPr>
          <w:lang w:eastAsia="ja-JP"/>
        </w:rPr>
        <w:t xml:space="preserve">distributed energy resource aggregators </w:t>
      </w:r>
      <w:r w:rsidRPr="006761CE">
        <w:rPr>
          <w:lang w:eastAsia="ja-JP"/>
        </w:rPr>
        <w:t>must fulfill certain responsibilities set forth in the FPA and the Commission’s rules and regulations.</w:t>
      </w:r>
      <w:r>
        <w:rPr>
          <w:rStyle w:val="FootnoteReference"/>
          <w:lang w:eastAsia="ja-JP"/>
        </w:rPr>
        <w:footnoteReference w:id="95"/>
      </w:r>
      <w:r>
        <w:rPr>
          <w:lang w:eastAsia="ja-JP"/>
        </w:rPr>
        <w:t xml:space="preserve">  </w:t>
      </w:r>
      <w:bookmarkStart w:name="_Hlk42762302" w:id="17"/>
      <w:r w:rsidR="00410AE8">
        <w:rPr>
          <w:lang w:eastAsia="ja-JP"/>
        </w:rPr>
        <w:t>I</w:t>
      </w:r>
      <w:r>
        <w:rPr>
          <w:lang w:eastAsia="ja-JP"/>
        </w:rPr>
        <w:t>f</w:t>
      </w:r>
      <w:r w:rsidRPr="003B2CED">
        <w:rPr>
          <w:lang w:eastAsia="ja-JP"/>
        </w:rPr>
        <w:t xml:space="preserve"> a </w:t>
      </w:r>
      <w:r>
        <w:rPr>
          <w:lang w:eastAsia="ja-JP"/>
        </w:rPr>
        <w:t>distributed energy resource</w:t>
      </w:r>
      <w:r w:rsidRPr="003B2CED">
        <w:rPr>
          <w:lang w:eastAsia="ja-JP"/>
        </w:rPr>
        <w:t xml:space="preserve"> aggregator (1) </w:t>
      </w:r>
      <w:r w:rsidR="00EA7B5B">
        <w:rPr>
          <w:lang w:eastAsia="ja-JP"/>
        </w:rPr>
        <w:t>aggregates</w:t>
      </w:r>
      <w:r w:rsidRPr="003B2CED">
        <w:rPr>
          <w:lang w:eastAsia="ja-JP"/>
        </w:rPr>
        <w:t xml:space="preserve"> </w:t>
      </w:r>
      <w:r w:rsidRPr="00CC525E">
        <w:rPr>
          <w:i/>
          <w:lang w:eastAsia="ja-JP"/>
        </w:rPr>
        <w:t xml:space="preserve">only </w:t>
      </w:r>
      <w:r w:rsidRPr="00CC525E" w:rsidR="00D4113E">
        <w:rPr>
          <w:iCs/>
          <w:lang w:eastAsia="ja-JP"/>
        </w:rPr>
        <w:t>demand resources</w:t>
      </w:r>
      <w:r w:rsidR="009B0DA7">
        <w:rPr>
          <w:iCs/>
          <w:lang w:eastAsia="ja-JP"/>
        </w:rPr>
        <w:t>;</w:t>
      </w:r>
      <w:r w:rsidRPr="003B2CED">
        <w:rPr>
          <w:lang w:eastAsia="ja-JP"/>
        </w:rPr>
        <w:t xml:space="preserve"> or (2) aggregates only customers </w:t>
      </w:r>
      <w:r>
        <w:rPr>
          <w:lang w:eastAsia="ja-JP"/>
        </w:rPr>
        <w:t>in</w:t>
      </w:r>
      <w:r w:rsidRPr="003B2CED">
        <w:rPr>
          <w:lang w:eastAsia="ja-JP"/>
        </w:rPr>
        <w:t xml:space="preserve"> a net metering program that </w:t>
      </w:r>
      <w:r w:rsidR="008B6776">
        <w:rPr>
          <w:lang w:eastAsia="ja-JP"/>
        </w:rPr>
        <w:t>are not</w:t>
      </w:r>
      <w:r w:rsidRPr="003B2CED">
        <w:rPr>
          <w:lang w:eastAsia="ja-JP"/>
        </w:rPr>
        <w:t xml:space="preserve"> net </w:t>
      </w:r>
      <w:r w:rsidR="008B6776">
        <w:rPr>
          <w:lang w:eastAsia="ja-JP"/>
        </w:rPr>
        <w:t>sellers</w:t>
      </w:r>
      <w:r w:rsidRPr="003B2CED">
        <w:rPr>
          <w:lang w:eastAsia="ja-JP"/>
        </w:rPr>
        <w:t xml:space="preserve">, that </w:t>
      </w:r>
      <w:r>
        <w:rPr>
          <w:lang w:eastAsia="ja-JP"/>
        </w:rPr>
        <w:t>distributed energy resource</w:t>
      </w:r>
      <w:r w:rsidRPr="003B2CED">
        <w:rPr>
          <w:lang w:eastAsia="ja-JP"/>
        </w:rPr>
        <w:t xml:space="preserve"> aggregator would not become a public utility.</w:t>
      </w:r>
      <w:r w:rsidR="00D6727D">
        <w:rPr>
          <w:rStyle w:val="FootnoteReference"/>
          <w:lang w:eastAsia="ja-JP"/>
        </w:rPr>
        <w:footnoteReference w:id="96"/>
      </w:r>
    </w:p>
    <w:bookmarkEnd w:id="17"/>
    <w:p w:rsidR="00922CE5" w:rsidP="006B591B" w:rsidRDefault="00AC4893" w14:paraId="715F64AB" w14:textId="7CE75869">
      <w:pPr>
        <w:pStyle w:val="FERCparanumber"/>
        <w:rPr>
          <w:lang w:eastAsia="ja-JP"/>
        </w:rPr>
      </w:pPr>
      <w:r>
        <w:rPr>
          <w:lang w:eastAsia="ja-JP"/>
        </w:rPr>
        <w:t>W</w:t>
      </w:r>
      <w:r w:rsidR="006B591B">
        <w:rPr>
          <w:lang w:eastAsia="ja-JP"/>
        </w:rPr>
        <w:t xml:space="preserve">e </w:t>
      </w:r>
      <w:r>
        <w:rPr>
          <w:lang w:eastAsia="ja-JP"/>
        </w:rPr>
        <w:t>further</w:t>
      </w:r>
      <w:r w:rsidR="006B591B">
        <w:rPr>
          <w:lang w:eastAsia="ja-JP"/>
        </w:rPr>
        <w:t xml:space="preserve"> clarify that </w:t>
      </w:r>
      <w:bookmarkStart w:name="_Hlk42760261" w:id="18"/>
      <w:r w:rsidR="006B591B">
        <w:rPr>
          <w:lang w:eastAsia="ja-JP"/>
        </w:rPr>
        <w:t>we are</w:t>
      </w:r>
      <w:r w:rsidRPr="003B2CED" w:rsidR="006B591B">
        <w:rPr>
          <w:lang w:eastAsia="ja-JP"/>
        </w:rPr>
        <w:t xml:space="preserve"> only exercising jurisdiction in this </w:t>
      </w:r>
      <w:r w:rsidRPr="00D51270" w:rsidR="00D51270">
        <w:rPr>
          <w:lang w:eastAsia="ja-JP"/>
        </w:rPr>
        <w:t>final rule</w:t>
      </w:r>
      <w:r w:rsidRPr="003B2CED" w:rsidR="006B591B">
        <w:rPr>
          <w:lang w:eastAsia="ja-JP"/>
        </w:rPr>
        <w:t xml:space="preserve"> over the sales </w:t>
      </w:r>
      <w:r w:rsidR="00B818B2">
        <w:rPr>
          <w:lang w:eastAsia="ja-JP"/>
        </w:rPr>
        <w:t xml:space="preserve">by </w:t>
      </w:r>
      <w:r w:rsidR="006B591B">
        <w:rPr>
          <w:lang w:eastAsia="ja-JP"/>
        </w:rPr>
        <w:t>distributed energy resource</w:t>
      </w:r>
      <w:r w:rsidRPr="003B2CED" w:rsidR="006B591B">
        <w:rPr>
          <w:lang w:eastAsia="ja-JP"/>
        </w:rPr>
        <w:t xml:space="preserve"> aggregators into the RTO/ISO </w:t>
      </w:r>
      <w:r w:rsidRPr="002E6A91" w:rsidR="006B591B">
        <w:rPr>
          <w:lang w:eastAsia="ja-JP"/>
        </w:rPr>
        <w:t xml:space="preserve">markets.  Hence, an individual </w:t>
      </w:r>
      <w:r w:rsidR="00942038">
        <w:rPr>
          <w:lang w:eastAsia="ja-JP"/>
        </w:rPr>
        <w:t xml:space="preserve">distributed energy </w:t>
      </w:r>
      <w:r w:rsidRPr="002E6A91" w:rsidR="006B591B">
        <w:rPr>
          <w:lang w:eastAsia="ja-JP"/>
        </w:rPr>
        <w:t xml:space="preserve">resource’s participation in a distributed energy resource aggregation would not cause that </w:t>
      </w:r>
      <w:r w:rsidR="00073D25">
        <w:rPr>
          <w:lang w:eastAsia="ja-JP"/>
        </w:rPr>
        <w:t xml:space="preserve">individual </w:t>
      </w:r>
      <w:r w:rsidRPr="002E6A91" w:rsidR="006B591B">
        <w:rPr>
          <w:lang w:eastAsia="ja-JP"/>
        </w:rPr>
        <w:t>resource to become subject to requirements applicable to Commission-jurisdictional public utilities.</w:t>
      </w:r>
      <w:r w:rsidRPr="002E6A91" w:rsidDel="00C527BE" w:rsidR="00C527BE">
        <w:rPr>
          <w:rStyle w:val="FootnoteReference"/>
          <w:lang w:eastAsia="ja-JP"/>
        </w:rPr>
        <w:t xml:space="preserve"> </w:t>
      </w:r>
      <w:r w:rsidRPr="003B2CED" w:rsidR="006B591B">
        <w:rPr>
          <w:lang w:eastAsia="ja-JP"/>
        </w:rPr>
        <w:t xml:space="preserve">    </w:t>
      </w:r>
      <w:bookmarkEnd w:id="18"/>
    </w:p>
    <w:p w:rsidRPr="008502BF" w:rsidR="00A900E5" w:rsidP="006B591B" w:rsidRDefault="000C639F" w14:paraId="07742B37" w14:textId="5CAF3248">
      <w:pPr>
        <w:pStyle w:val="FERCparanumber"/>
        <w:rPr>
          <w:lang w:eastAsia="ja-JP"/>
        </w:rPr>
      </w:pPr>
      <w:r w:rsidRPr="000C639F">
        <w:rPr>
          <w:lang w:eastAsia="ja-JP"/>
        </w:rPr>
        <w:t>As the Commission stated in Order No</w:t>
      </w:r>
      <w:r>
        <w:rPr>
          <w:lang w:eastAsia="ja-JP"/>
        </w:rPr>
        <w:t>s</w:t>
      </w:r>
      <w:r w:rsidRPr="000C639F">
        <w:rPr>
          <w:lang w:eastAsia="ja-JP"/>
        </w:rPr>
        <w:t>. 841</w:t>
      </w:r>
      <w:r>
        <w:rPr>
          <w:lang w:eastAsia="ja-JP"/>
        </w:rPr>
        <w:t xml:space="preserve"> and 841-A</w:t>
      </w:r>
      <w:r w:rsidRPr="000C639F">
        <w:rPr>
          <w:lang w:eastAsia="ja-JP"/>
        </w:rPr>
        <w:t>, the Commission recognizes a vital role for state</w:t>
      </w:r>
      <w:r w:rsidR="007D1E3B">
        <w:rPr>
          <w:lang w:eastAsia="ja-JP"/>
        </w:rPr>
        <w:t xml:space="preserve"> and local regulators</w:t>
      </w:r>
      <w:r w:rsidRPr="000C639F">
        <w:rPr>
          <w:lang w:eastAsia="ja-JP"/>
        </w:rPr>
        <w:t xml:space="preserve"> with respect to retail services and matters related to the distribution system, including design, operations, power quality, reliability, and system costs.</w:t>
      </w:r>
      <w:r>
        <w:rPr>
          <w:rStyle w:val="FootnoteReference"/>
          <w:lang w:eastAsia="ja-JP"/>
        </w:rPr>
        <w:footnoteReference w:id="97"/>
      </w:r>
      <w:r>
        <w:rPr>
          <w:lang w:eastAsia="ja-JP"/>
        </w:rPr>
        <w:t xml:space="preserve">  As in Order No. 841, w</w:t>
      </w:r>
      <w:r w:rsidRPr="000C639F">
        <w:rPr>
          <w:lang w:eastAsia="ja-JP"/>
        </w:rPr>
        <w:t xml:space="preserve">e reiterate that nothing in </w:t>
      </w:r>
      <w:r>
        <w:rPr>
          <w:lang w:eastAsia="ja-JP"/>
        </w:rPr>
        <w:t xml:space="preserve">this </w:t>
      </w:r>
      <w:r w:rsidRPr="00D51270" w:rsidR="00D51270">
        <w:rPr>
          <w:lang w:eastAsia="ja-JP"/>
        </w:rPr>
        <w:t>final rule</w:t>
      </w:r>
      <w:r w:rsidRPr="000C639F">
        <w:rPr>
          <w:lang w:eastAsia="ja-JP"/>
        </w:rPr>
        <w:t xml:space="preserve"> preempts the right </w:t>
      </w:r>
      <w:r w:rsidR="007D1E3B">
        <w:rPr>
          <w:lang w:eastAsia="ja-JP"/>
        </w:rPr>
        <w:t xml:space="preserve">of states and local authorities </w:t>
      </w:r>
      <w:r w:rsidRPr="000C639F">
        <w:rPr>
          <w:lang w:eastAsia="ja-JP"/>
        </w:rPr>
        <w:t xml:space="preserve">to regulate the safety and reliability of the distribution system and that all </w:t>
      </w:r>
      <w:r w:rsidR="00B83AFF">
        <w:rPr>
          <w:lang w:eastAsia="ja-JP"/>
        </w:rPr>
        <w:t>distributed energy</w:t>
      </w:r>
      <w:r w:rsidRPr="000C639F">
        <w:rPr>
          <w:lang w:eastAsia="ja-JP"/>
        </w:rPr>
        <w:t xml:space="preserve"> resources must comply with any applicable interconnection and operating requirements.</w:t>
      </w:r>
      <w:r w:rsidR="00B83AFF">
        <w:rPr>
          <w:rStyle w:val="FootnoteReference"/>
          <w:lang w:eastAsia="ja-JP"/>
        </w:rPr>
        <w:footnoteReference w:id="98"/>
      </w:r>
      <w:r w:rsidR="006C0C40">
        <w:rPr>
          <w:lang w:eastAsia="ja-JP"/>
        </w:rPr>
        <w:t xml:space="preserve">  </w:t>
      </w:r>
    </w:p>
    <w:p w:rsidR="006B591B" w:rsidP="006B591B" w:rsidRDefault="006B591B" w14:paraId="1C82D8F2" w14:textId="70C4AEE2">
      <w:pPr>
        <w:pStyle w:val="Heading3"/>
      </w:pPr>
      <w:bookmarkStart w:name="_bmk11" w:id="19"/>
      <w:r>
        <w:t>O</w:t>
      </w:r>
      <w:bookmarkEnd w:id="19"/>
      <w:r>
        <w:t>pt-Out</w:t>
      </w:r>
    </w:p>
    <w:p w:rsidRPr="008502BF" w:rsidR="006B591B" w:rsidP="006B591B" w:rsidRDefault="006B591B" w14:paraId="6777E1D5" w14:textId="7E51EAC8">
      <w:pPr>
        <w:pStyle w:val="FERCparanumber"/>
      </w:pPr>
      <w:r w:rsidRPr="008502BF">
        <w:t xml:space="preserve">In the NOPR, </w:t>
      </w:r>
      <w:r w:rsidRPr="008502BF" w:rsidR="003E562A">
        <w:t xml:space="preserve">the Commission </w:t>
      </w:r>
      <w:r w:rsidR="003E562A">
        <w:t xml:space="preserve">proposed to </w:t>
      </w:r>
      <w:r w:rsidRPr="00A72E77" w:rsidR="003E562A">
        <w:t>require</w:t>
      </w:r>
      <w:r w:rsidR="003E562A">
        <w:t xml:space="preserve"> each</w:t>
      </w:r>
      <w:r w:rsidRPr="00A72E77" w:rsidR="003E562A">
        <w:t xml:space="preserve"> RTO/ISO to </w:t>
      </w:r>
      <w:r w:rsidRPr="003E562A" w:rsidR="003E562A">
        <w:t xml:space="preserve">revise its tariff as necessary </w:t>
      </w:r>
      <w:r w:rsidR="003E562A">
        <w:t xml:space="preserve">to </w:t>
      </w:r>
      <w:r w:rsidRPr="00A72E77" w:rsidR="003E562A">
        <w:t xml:space="preserve">accommodate the participation of </w:t>
      </w:r>
      <w:r w:rsidR="003E562A">
        <w:t xml:space="preserve">distributed energy resource </w:t>
      </w:r>
      <w:r w:rsidRPr="00A72E77" w:rsidR="003E562A">
        <w:t xml:space="preserve">aggregations in </w:t>
      </w:r>
      <w:r w:rsidR="00255608">
        <w:t>RTO/ISO</w:t>
      </w:r>
      <w:r w:rsidRPr="003E562A" w:rsidR="003E562A">
        <w:t xml:space="preserve"> markets</w:t>
      </w:r>
      <w:r w:rsidR="008D1185">
        <w:t>.</w:t>
      </w:r>
      <w:r w:rsidR="003E562A">
        <w:rPr>
          <w:rStyle w:val="FootnoteReference"/>
        </w:rPr>
        <w:footnoteReference w:id="99"/>
      </w:r>
      <w:r w:rsidR="000D6E17">
        <w:t xml:space="preserve"> </w:t>
      </w:r>
      <w:r w:rsidR="008D1185">
        <w:t xml:space="preserve"> </w:t>
      </w:r>
      <w:r w:rsidR="00B913A5">
        <w:t xml:space="preserve">In the NOPR, </w:t>
      </w:r>
      <w:r w:rsidRPr="008502BF">
        <w:t>the Commission stated that</w:t>
      </w:r>
      <w:r w:rsidR="00E924C2">
        <w:t>,</w:t>
      </w:r>
      <w:r w:rsidRPr="008502BF">
        <w:t xml:space="preserve"> to the extent existing rules or regulations explicitly prohibit certain technologies from participating in RTO/ISO markets, it did not intend to overturn those rules or regulations</w:t>
      </w:r>
      <w:r w:rsidR="0027659E">
        <w:t>.</w:t>
      </w:r>
      <w:r w:rsidRPr="008502BF">
        <w:rPr>
          <w:b/>
          <w:vertAlign w:val="superscript"/>
        </w:rPr>
        <w:footnoteReference w:id="100"/>
      </w:r>
      <w:r w:rsidR="0027659E">
        <w:t xml:space="preserve">  However,</w:t>
      </w:r>
      <w:r w:rsidR="008D1185">
        <w:t xml:space="preserve"> </w:t>
      </w:r>
      <w:r w:rsidR="0027659E">
        <w:t>the Commission</w:t>
      </w:r>
      <w:r w:rsidR="008D1185">
        <w:t xml:space="preserve"> did not propose a mechanism by which</w:t>
      </w:r>
      <w:r w:rsidRPr="00321622" w:rsidR="008D1185">
        <w:rPr>
          <w:rFonts w:eastAsia="Times New Roman"/>
        </w:rPr>
        <w:t xml:space="preserve"> relevant electric retail regulatory authorities</w:t>
      </w:r>
      <w:r w:rsidRPr="00A72E77" w:rsidR="008D1185">
        <w:t xml:space="preserve"> </w:t>
      </w:r>
      <w:r w:rsidR="008D1185">
        <w:t xml:space="preserve">could </w:t>
      </w:r>
      <w:r w:rsidR="00BF2B2E">
        <w:t xml:space="preserve">authorize or </w:t>
      </w:r>
      <w:r w:rsidR="008D1185">
        <w:t>prohibit</w:t>
      </w:r>
      <w:r w:rsidRPr="00A72E77" w:rsidR="008D1185">
        <w:t xml:space="preserve"> the participation of </w:t>
      </w:r>
      <w:r w:rsidR="008D1185">
        <w:t xml:space="preserve">distributed energy resources or distributed energy resource </w:t>
      </w:r>
      <w:r w:rsidRPr="00A72E77" w:rsidR="008D1185">
        <w:t xml:space="preserve">aggregators in </w:t>
      </w:r>
      <w:r w:rsidR="008D1185">
        <w:t>RTO/ISO</w:t>
      </w:r>
      <w:r w:rsidRPr="00A72E77" w:rsidR="008D1185">
        <w:t xml:space="preserve"> markets</w:t>
      </w:r>
      <w:r w:rsidR="008D1185">
        <w:t>.</w:t>
      </w:r>
      <w:r w:rsidRPr="008502BF">
        <w:t xml:space="preserve">  The Commission also explained that, because the individual resources in distributed energy resource aggregations likely will fall under the purview of multiple organizations (e.g., the RTO/ISO, state regulatory commissions, relevant distribution utilities, and local regulatory authorities), the proposed market participation agreements</w:t>
      </w:r>
      <w:r w:rsidRPr="008502BF">
        <w:rPr>
          <w:b/>
          <w:vertAlign w:val="superscript"/>
        </w:rPr>
        <w:footnoteReference w:id="101"/>
      </w:r>
      <w:r w:rsidRPr="008502BF">
        <w:t xml:space="preserve"> for distributed energy resource aggregators must require that the aggregator attest that its distributed energy resource aggregation is compliant with the tariffs and operating procedures of the distribution utilities and the rules and regulations of any other relevant regulatory authority.</w:t>
      </w:r>
      <w:r w:rsidRPr="008502BF">
        <w:rPr>
          <w:b/>
          <w:vertAlign w:val="superscript"/>
        </w:rPr>
        <w:footnoteReference w:id="102"/>
      </w:r>
      <w:r w:rsidRPr="008502BF">
        <w:t xml:space="preserve">  The Commission stated that this may include any laws or regulations of the relevant electric retail regulatory authority that do not permit demand response resources to participate in RTO/ISO markets as the Commission considered in Order No. 719.</w:t>
      </w:r>
      <w:r w:rsidRPr="008502BF">
        <w:rPr>
          <w:b/>
          <w:vertAlign w:val="superscript"/>
        </w:rPr>
        <w:footnoteReference w:id="103"/>
      </w:r>
      <w:r w:rsidRPr="008502BF">
        <w:t xml:space="preserve">  </w:t>
      </w:r>
    </w:p>
    <w:p w:rsidRPr="00E73BEF" w:rsidR="0031411D" w:rsidP="0031411D" w:rsidRDefault="0031411D" w14:paraId="6DC7FF26" w14:textId="77F1A7FA">
      <w:pPr>
        <w:pStyle w:val="FERCparanumber"/>
      </w:pPr>
      <w:r>
        <w:t xml:space="preserve">After the technical conference, the Commission sought comments on whether states </w:t>
      </w:r>
      <w:r w:rsidR="008C6A91">
        <w:t>could</w:t>
      </w:r>
      <w:r>
        <w:t xml:space="preserve"> require distributed energy resources to choose </w:t>
      </w:r>
      <w:r w:rsidR="00226D28">
        <w:t xml:space="preserve">to </w:t>
      </w:r>
      <w:r>
        <w:t>participat</w:t>
      </w:r>
      <w:r w:rsidR="00226D28">
        <w:t>e</w:t>
      </w:r>
      <w:r>
        <w:t xml:space="preserve"> in either </w:t>
      </w:r>
      <w:r w:rsidR="00447870">
        <w:t>an</w:t>
      </w:r>
      <w:r>
        <w:t xml:space="preserve"> RTO/ISO market or retail compensation program, but not </w:t>
      </w:r>
      <w:r w:rsidR="00097AB6">
        <w:t>allow</w:t>
      </w:r>
      <w:r>
        <w:t xml:space="preserve"> </w:t>
      </w:r>
      <w:r w:rsidR="00AD6D7F">
        <w:t>participat</w:t>
      </w:r>
      <w:r w:rsidR="00097AB6">
        <w:t>ion</w:t>
      </w:r>
      <w:r w:rsidR="00AD6D7F">
        <w:t xml:space="preserve"> in </w:t>
      </w:r>
      <w:r>
        <w:t>both.</w:t>
      </w:r>
      <w:r>
        <w:rPr>
          <w:rStyle w:val="FootnoteReference"/>
        </w:rPr>
        <w:footnoteReference w:id="104"/>
      </w:r>
      <w:r w:rsidRPr="00C33295">
        <w:t xml:space="preserve"> </w:t>
      </w:r>
      <w:r w:rsidR="00097AB6">
        <w:t>The Commission also sought comments on the benefits and drawbacks of such an approach.</w:t>
      </w:r>
    </w:p>
    <w:p w:rsidR="006B591B" w:rsidP="006B591B" w:rsidRDefault="006B591B" w14:paraId="7D1F8609" w14:textId="77777777">
      <w:pPr>
        <w:pStyle w:val="Heading4"/>
      </w:pPr>
      <w:bookmarkStart w:name="_bmk12" w:id="20"/>
      <w:r>
        <w:t>C</w:t>
      </w:r>
      <w:bookmarkEnd w:id="20"/>
      <w:r>
        <w:t>omments</w:t>
      </w:r>
    </w:p>
    <w:p w:rsidRPr="008F02B6" w:rsidR="006B591B" w:rsidP="006B591B" w:rsidRDefault="006B591B" w14:paraId="3D66096C" w14:textId="2FBC7671">
      <w:pPr>
        <w:pStyle w:val="FERCparanumber"/>
      </w:pPr>
      <w:r>
        <w:t>As described above,</w:t>
      </w:r>
      <w:r>
        <w:rPr>
          <w:rStyle w:val="FootnoteReference"/>
        </w:rPr>
        <w:footnoteReference w:id="105"/>
      </w:r>
      <w:r>
        <w:t xml:space="preserve"> </w:t>
      </w:r>
      <w:r w:rsidR="00F475CA">
        <w:t>numerous</w:t>
      </w:r>
      <w:r>
        <w:t xml:space="preserve"> c</w:t>
      </w:r>
      <w:r w:rsidRPr="00A72E77">
        <w:t xml:space="preserve">ommenters question the Commission’s </w:t>
      </w:r>
      <w:r>
        <w:t xml:space="preserve">authority </w:t>
      </w:r>
      <w:r w:rsidRPr="00A72E77">
        <w:t xml:space="preserve">to </w:t>
      </w:r>
      <w:bookmarkStart w:name="_Hlk34913872" w:id="21"/>
      <w:r w:rsidRPr="00A72E77">
        <w:t xml:space="preserve">require RTOs/ISOs to accommodate the participation of </w:t>
      </w:r>
      <w:r>
        <w:t xml:space="preserve">distributed energy resource </w:t>
      </w:r>
      <w:r w:rsidRPr="00A72E77">
        <w:t xml:space="preserve">aggregations in </w:t>
      </w:r>
      <w:r>
        <w:t xml:space="preserve">RTO/ISO </w:t>
      </w:r>
      <w:r w:rsidRPr="00A72E77">
        <w:t>markets</w:t>
      </w:r>
      <w:bookmarkEnd w:id="21"/>
      <w:r>
        <w:t xml:space="preserve">.  They </w:t>
      </w:r>
      <w:r w:rsidRPr="00A72E77">
        <w:t xml:space="preserve">believe </w:t>
      </w:r>
      <w:r>
        <w:t>that,</w:t>
      </w:r>
      <w:r w:rsidRPr="00A72E77">
        <w:t xml:space="preserve"> to mitigate their jurisdictional concerns</w:t>
      </w:r>
      <w:r>
        <w:t>,</w:t>
      </w:r>
      <w:r w:rsidRPr="00A72E77">
        <w:t xml:space="preserve"> </w:t>
      </w:r>
      <w:r>
        <w:rPr>
          <w:rFonts w:eastAsia="Times New Roman"/>
        </w:rPr>
        <w:t>relevant electric retail regulatory authorities</w:t>
      </w:r>
      <w:r w:rsidRPr="00A72E77">
        <w:t xml:space="preserve"> and/or distribution utilit</w:t>
      </w:r>
      <w:r>
        <w:t>ies</w:t>
      </w:r>
      <w:r w:rsidRPr="00A72E77">
        <w:t xml:space="preserve"> must be allowed to </w:t>
      </w:r>
      <w:r>
        <w:t xml:space="preserve">either </w:t>
      </w:r>
      <w:r w:rsidRPr="00A72E77">
        <w:t xml:space="preserve">authorize </w:t>
      </w:r>
      <w:r>
        <w:t>or prohibit</w:t>
      </w:r>
      <w:r w:rsidRPr="00A72E77">
        <w:t xml:space="preserve"> the participation of </w:t>
      </w:r>
      <w:r>
        <w:t xml:space="preserve">distributed energy resources and/or distributed energy resource </w:t>
      </w:r>
      <w:r w:rsidRPr="00A72E77">
        <w:t xml:space="preserve">aggregators in the </w:t>
      </w:r>
      <w:r>
        <w:t>RTO/ISO</w:t>
      </w:r>
      <w:r w:rsidRPr="00A72E77">
        <w:t xml:space="preserve"> markets</w:t>
      </w:r>
      <w:r>
        <w:t xml:space="preserve"> (i.e., to opt in or opt out, respectively)</w:t>
      </w:r>
      <w:r w:rsidRPr="00A72E77">
        <w:t>.</w:t>
      </w:r>
      <w:r w:rsidRPr="00D377EB">
        <w:rPr>
          <w:rStyle w:val="FootnoteReference"/>
        </w:rPr>
        <w:footnoteReference w:id="106"/>
      </w:r>
      <w:r w:rsidRPr="00A72E77">
        <w:t xml:space="preserve">  </w:t>
      </w:r>
      <w:r w:rsidR="00692F7C">
        <w:t>Thus, they</w:t>
      </w:r>
      <w:r w:rsidRPr="00A72E77" w:rsidR="00692F7C">
        <w:t xml:space="preserve"> specifically request </w:t>
      </w:r>
      <w:r w:rsidR="00692F7C">
        <w:t xml:space="preserve">that the Commission adopt </w:t>
      </w:r>
      <w:r w:rsidR="00091120">
        <w:t>an</w:t>
      </w:r>
      <w:r w:rsidR="00692F7C">
        <w:t xml:space="preserve"> </w:t>
      </w:r>
      <w:r w:rsidRPr="00A72E77" w:rsidR="00692F7C">
        <w:t>opt-out</w:t>
      </w:r>
      <w:r w:rsidRPr="00A72E77" w:rsidDel="00DD2BF1" w:rsidR="00692F7C">
        <w:t>/opt</w:t>
      </w:r>
      <w:r w:rsidRPr="00A72E77" w:rsidR="00692F7C">
        <w:t>-</w:t>
      </w:r>
      <w:r w:rsidRPr="00A72E77" w:rsidDel="00DD2BF1" w:rsidR="00692F7C">
        <w:t>in</w:t>
      </w:r>
      <w:r w:rsidRPr="00A72E77" w:rsidR="00692F7C">
        <w:t xml:space="preserve"> provision similar to th</w:t>
      </w:r>
      <w:r w:rsidR="00091120">
        <w:t>at</w:t>
      </w:r>
      <w:r w:rsidRPr="00A72E77" w:rsidR="00692F7C">
        <w:t xml:space="preserve"> established in Order No. 719 </w:t>
      </w:r>
      <w:r w:rsidR="00692F7C">
        <w:t>to allow</w:t>
      </w:r>
      <w:r w:rsidRPr="00D3077D" w:rsidR="00692F7C">
        <w:t xml:space="preserve"> </w:t>
      </w:r>
      <w:r w:rsidR="00692F7C">
        <w:t xml:space="preserve">relevant electric retail regulatory authorities </w:t>
      </w:r>
      <w:r w:rsidRPr="00D3077D" w:rsidR="00692F7C">
        <w:t>to decide wheth</w:t>
      </w:r>
      <w:r w:rsidR="00692F7C">
        <w:t>er distributed energy resources may</w:t>
      </w:r>
      <w:r w:rsidRPr="00D3077D" w:rsidR="00692F7C">
        <w:t xml:space="preserve"> participate i</w:t>
      </w:r>
      <w:r w:rsidR="00692F7C">
        <w:t>n aggregations in RTO/ISO markets</w:t>
      </w:r>
      <w:r w:rsidRPr="00A72E77" w:rsidR="00692F7C">
        <w:t>.</w:t>
      </w:r>
      <w:r w:rsidRPr="00D377EB" w:rsidR="00692F7C">
        <w:rPr>
          <w:rStyle w:val="FootnoteReference"/>
        </w:rPr>
        <w:footnoteReference w:id="107"/>
      </w:r>
      <w:r w:rsidR="00692F7C">
        <w:t xml:space="preserve">  </w:t>
      </w:r>
    </w:p>
    <w:p w:rsidRPr="008828CC" w:rsidR="006B591B" w:rsidP="006B591B" w:rsidRDefault="006B591B" w14:paraId="0E843B58" w14:textId="61C6EF56">
      <w:pPr>
        <w:pStyle w:val="FERCparanumber"/>
      </w:pPr>
      <w:r>
        <w:rPr>
          <w:szCs w:val="26"/>
        </w:rPr>
        <w:t xml:space="preserve"> </w:t>
      </w:r>
      <w:r>
        <w:t>Some of these commenters contend that the Commission would be exceeding its statutory authority if the final rule does not include an opt-out.</w:t>
      </w:r>
      <w:r>
        <w:rPr>
          <w:rStyle w:val="FootnoteReference"/>
        </w:rPr>
        <w:footnoteReference w:id="108"/>
      </w:r>
      <w:r>
        <w:t xml:space="preserve">  They argue that the Commission may determine </w:t>
      </w:r>
      <w:r w:rsidRPr="0049529A">
        <w:rPr>
          <w:i/>
        </w:rPr>
        <w:t>how</w:t>
      </w:r>
      <w:r w:rsidRPr="00CD6B67">
        <w:t xml:space="preserve"> </w:t>
      </w:r>
      <w:r w:rsidR="00B922C7">
        <w:t xml:space="preserve">distributed energy </w:t>
      </w:r>
      <w:r>
        <w:t xml:space="preserve">resources participate in RTO/ISO markets, but </w:t>
      </w:r>
      <w:r w:rsidRPr="0049529A">
        <w:rPr>
          <w:i/>
        </w:rPr>
        <w:t>whether</w:t>
      </w:r>
      <w:r>
        <w:t xml:space="preserve"> they participate is the exclusive province of the states.</w:t>
      </w:r>
      <w:r>
        <w:rPr>
          <w:rStyle w:val="FootnoteReference"/>
        </w:rPr>
        <w:footnoteReference w:id="109"/>
      </w:r>
      <w:r>
        <w:t xml:space="preserve">  </w:t>
      </w:r>
      <w:r w:rsidRPr="005777A8" w:rsidR="00FD6CC2">
        <w:rPr>
          <w:szCs w:val="26"/>
        </w:rPr>
        <w:t xml:space="preserve">APPA points to the existing opt-out for demand response resources </w:t>
      </w:r>
      <w:r w:rsidR="00FD6CC2">
        <w:rPr>
          <w:szCs w:val="26"/>
        </w:rPr>
        <w:t xml:space="preserve">established in Order No. 719 </w:t>
      </w:r>
      <w:r w:rsidRPr="005777A8" w:rsidR="00FD6CC2">
        <w:rPr>
          <w:szCs w:val="26"/>
        </w:rPr>
        <w:t xml:space="preserve">to argue that the applicability of </w:t>
      </w:r>
      <w:r w:rsidR="00FD6CC2">
        <w:rPr>
          <w:szCs w:val="26"/>
        </w:rPr>
        <w:t>relevant electric retail regulatory</w:t>
      </w:r>
      <w:r w:rsidRPr="005777A8" w:rsidR="00FD6CC2">
        <w:rPr>
          <w:szCs w:val="26"/>
        </w:rPr>
        <w:t xml:space="preserve"> authority should not turn on the wholesale participation model selected by the aggregator.</w:t>
      </w:r>
      <w:r w:rsidRPr="00D377EB" w:rsidR="00FD6CC2">
        <w:rPr>
          <w:rStyle w:val="FootnoteReference"/>
        </w:rPr>
        <w:footnoteReference w:id="110"/>
      </w:r>
      <w:r w:rsidR="00FD6CC2">
        <w:t xml:space="preserve"> </w:t>
      </w:r>
      <w:r w:rsidR="00B8387F">
        <w:t xml:space="preserve"> </w:t>
      </w:r>
      <w:r>
        <w:rPr>
          <w:szCs w:val="26"/>
        </w:rPr>
        <w:t>APPA assert</w:t>
      </w:r>
      <w:r w:rsidRPr="0081546C">
        <w:rPr>
          <w:szCs w:val="26"/>
        </w:rPr>
        <w:t xml:space="preserve">s that </w:t>
      </w:r>
      <w:r>
        <w:rPr>
          <w:szCs w:val="26"/>
        </w:rPr>
        <w:t>the authority of relevant electric retail regulators</w:t>
      </w:r>
      <w:r w:rsidRPr="0081546C">
        <w:rPr>
          <w:szCs w:val="26"/>
        </w:rPr>
        <w:t xml:space="preserve"> over the terms and conditions of interconnection t</w:t>
      </w:r>
      <w:r>
        <w:rPr>
          <w:szCs w:val="26"/>
        </w:rPr>
        <w:t xml:space="preserve">o the distribution system includes the </w:t>
      </w:r>
      <w:r w:rsidRPr="0081546C">
        <w:rPr>
          <w:szCs w:val="26"/>
        </w:rPr>
        <w:t>authority to limit the manner in whi</w:t>
      </w:r>
      <w:r>
        <w:rPr>
          <w:szCs w:val="26"/>
        </w:rPr>
        <w:t>ch a distributed energy resource</w:t>
      </w:r>
      <w:r w:rsidRPr="0081546C">
        <w:rPr>
          <w:szCs w:val="26"/>
        </w:rPr>
        <w:t xml:space="preserve"> uses the distribution system</w:t>
      </w:r>
      <w:r>
        <w:rPr>
          <w:szCs w:val="26"/>
        </w:rPr>
        <w:t>.</w:t>
      </w:r>
      <w:r>
        <w:rPr>
          <w:rStyle w:val="FootnoteReference"/>
          <w:szCs w:val="26"/>
        </w:rPr>
        <w:footnoteReference w:id="111"/>
      </w:r>
      <w:r>
        <w:rPr>
          <w:szCs w:val="26"/>
        </w:rPr>
        <w:t xml:space="preserve">  APPA argues that an opt-out is consistent with the </w:t>
      </w:r>
      <w:r w:rsidRPr="00DC6DBC">
        <w:rPr>
          <w:szCs w:val="26"/>
        </w:rPr>
        <w:t xml:space="preserve">NOPR’s proposal that market participation agreements </w:t>
      </w:r>
      <w:r>
        <w:rPr>
          <w:szCs w:val="26"/>
        </w:rPr>
        <w:t>include an attestation that an</w:t>
      </w:r>
      <w:r w:rsidRPr="00DC6DBC">
        <w:rPr>
          <w:szCs w:val="26"/>
        </w:rPr>
        <w:t xml:space="preserve"> aggregation is compliant with distribution utility tariffs and the rules and regulations</w:t>
      </w:r>
      <w:r>
        <w:rPr>
          <w:szCs w:val="26"/>
        </w:rPr>
        <w:t xml:space="preserve"> </w:t>
      </w:r>
      <w:r w:rsidRPr="00DC6DBC">
        <w:rPr>
          <w:szCs w:val="26"/>
        </w:rPr>
        <w:t>of any othe</w:t>
      </w:r>
      <w:r>
        <w:rPr>
          <w:szCs w:val="26"/>
        </w:rPr>
        <w:t xml:space="preserve">r relevant regulatory authority.  APPA further argues that an opt-out </w:t>
      </w:r>
      <w:r w:rsidRPr="00DC6DBC">
        <w:rPr>
          <w:szCs w:val="26"/>
        </w:rPr>
        <w:t xml:space="preserve">conforms with the requirement in Order No. 841 that an electric storage resource must be “contractually permitted” to inject electric energy </w:t>
      </w:r>
      <w:r>
        <w:rPr>
          <w:szCs w:val="26"/>
        </w:rPr>
        <w:t xml:space="preserve">back onto the grid (e.g., </w:t>
      </w:r>
      <w:r w:rsidRPr="00DC6DBC">
        <w:rPr>
          <w:szCs w:val="26"/>
        </w:rPr>
        <w:t>per the interconne</w:t>
      </w:r>
      <w:r>
        <w:rPr>
          <w:szCs w:val="26"/>
        </w:rPr>
        <w:t>ction agreement between an electric storage resource</w:t>
      </w:r>
      <w:r w:rsidRPr="00DC6DBC">
        <w:rPr>
          <w:szCs w:val="26"/>
        </w:rPr>
        <w:t xml:space="preserve"> that is interconnected on a distribution system or behind</w:t>
      </w:r>
      <w:r>
        <w:rPr>
          <w:szCs w:val="26"/>
        </w:rPr>
        <w:t xml:space="preserve"> </w:t>
      </w:r>
      <w:r w:rsidRPr="00DC6DBC">
        <w:rPr>
          <w:szCs w:val="26"/>
        </w:rPr>
        <w:t>the</w:t>
      </w:r>
      <w:r>
        <w:rPr>
          <w:szCs w:val="26"/>
        </w:rPr>
        <w:t xml:space="preserve"> </w:t>
      </w:r>
      <w:r w:rsidRPr="00DC6DBC">
        <w:rPr>
          <w:szCs w:val="26"/>
        </w:rPr>
        <w:t xml:space="preserve">meter </w:t>
      </w:r>
      <w:r>
        <w:rPr>
          <w:szCs w:val="26"/>
        </w:rPr>
        <w:t>and the</w:t>
      </w:r>
      <w:r w:rsidRPr="00DC6DBC">
        <w:rPr>
          <w:szCs w:val="26"/>
        </w:rPr>
        <w:t xml:space="preserve"> distribution utility to which it is interconnected</w:t>
      </w:r>
      <w:r>
        <w:rPr>
          <w:szCs w:val="26"/>
        </w:rPr>
        <w:t>)</w:t>
      </w:r>
      <w:r w:rsidRPr="00DC6DBC">
        <w:rPr>
          <w:szCs w:val="26"/>
        </w:rPr>
        <w:t>.</w:t>
      </w:r>
      <w:r>
        <w:rPr>
          <w:rStyle w:val="FootnoteReference"/>
          <w:szCs w:val="26"/>
        </w:rPr>
        <w:footnoteReference w:id="112"/>
      </w:r>
      <w:r w:rsidR="0018174D">
        <w:rPr>
          <w:szCs w:val="26"/>
        </w:rPr>
        <w:t xml:space="preserve">  </w:t>
      </w:r>
      <w:r w:rsidRPr="00C21F06" w:rsidR="00FA1E3A">
        <w:rPr>
          <w:szCs w:val="26"/>
        </w:rPr>
        <w:t xml:space="preserve">Xcel Energy Services argues that, to the extent distributed energy resource participation </w:t>
      </w:r>
      <w:r w:rsidR="00F21400">
        <w:rPr>
          <w:szCs w:val="26"/>
        </w:rPr>
        <w:t>in RTO/ISO mar</w:t>
      </w:r>
      <w:r w:rsidR="00FA7DAD">
        <w:rPr>
          <w:szCs w:val="26"/>
        </w:rPr>
        <w:t xml:space="preserve">kets </w:t>
      </w:r>
      <w:r w:rsidRPr="00C21F06" w:rsidR="00FA1E3A">
        <w:rPr>
          <w:szCs w:val="26"/>
        </w:rPr>
        <w:t>does occur, the applicable state has the authority to establish the parameters of the participation model, not the RTO/ISO.</w:t>
      </w:r>
      <w:r w:rsidRPr="00D377EB" w:rsidR="00FA1E3A">
        <w:rPr>
          <w:rStyle w:val="FootnoteReference"/>
        </w:rPr>
        <w:footnoteReference w:id="113"/>
      </w:r>
      <w:r w:rsidRPr="00C21F06" w:rsidR="00FA1E3A">
        <w:rPr>
          <w:szCs w:val="26"/>
        </w:rPr>
        <w:t xml:space="preserve">  Xcel Energy Services asserts that</w:t>
      </w:r>
      <w:r w:rsidR="00084F74">
        <w:rPr>
          <w:szCs w:val="26"/>
        </w:rPr>
        <w:t xml:space="preserve"> the Commission should not usurp</w:t>
      </w:r>
      <w:r w:rsidRPr="00C21F06" w:rsidR="00FA1E3A">
        <w:rPr>
          <w:szCs w:val="26"/>
        </w:rPr>
        <w:t xml:space="preserve"> the states’ authority to address inappropriate arbitrage between retail and wholesale consumption.</w:t>
      </w:r>
      <w:r w:rsidRPr="00D377EB" w:rsidR="00FA1E3A">
        <w:rPr>
          <w:rStyle w:val="FootnoteReference"/>
        </w:rPr>
        <w:footnoteReference w:id="114"/>
      </w:r>
      <w:r w:rsidRPr="00C21F06" w:rsidR="00FA1E3A">
        <w:rPr>
          <w:szCs w:val="26"/>
        </w:rPr>
        <w:t xml:space="preserve">  </w:t>
      </w:r>
      <w:r w:rsidR="00FA1E3A">
        <w:rPr>
          <w:szCs w:val="26"/>
        </w:rPr>
        <w:t xml:space="preserve"> </w:t>
      </w:r>
    </w:p>
    <w:p w:rsidRPr="005E3057" w:rsidR="008828CC" w:rsidP="006B591B" w:rsidRDefault="008828CC" w14:paraId="3F07A2D9" w14:textId="0C3F9D06">
      <w:pPr>
        <w:pStyle w:val="FERCparanumber"/>
      </w:pPr>
      <w:r>
        <w:rPr>
          <w:szCs w:val="26"/>
        </w:rPr>
        <w:t xml:space="preserve">Multiple United States senators urge the Commission to preserve the authority of state and local authorities over distribution utilities with respect to distributed energy resource aggregators.  They express concern that the final rule could have a negative effect on state and local authorities’ ability to regulate retail and distribution service.  They argue that, if the Commission authorizes the aggregation of distributed energy resources by entities other than the local distribution utility without authorization by the appropriate state or local regulator, the Commission would </w:t>
      </w:r>
      <w:r w:rsidR="000D77C1">
        <w:rPr>
          <w:szCs w:val="26"/>
        </w:rPr>
        <w:t xml:space="preserve">break precedent and expand Commission regulation into areas that are jurisdictional to state and localities under the FPA.  </w:t>
      </w:r>
      <w:r>
        <w:rPr>
          <w:szCs w:val="26"/>
        </w:rPr>
        <w:t>They maintain that the relevant electric retail regulatory authority is best positioned to decide whether to authorize third-party distributed energy resource aggregators to transact with retail customers.</w:t>
      </w:r>
      <w:r w:rsidR="000D77C1">
        <w:rPr>
          <w:rStyle w:val="FootnoteReference"/>
          <w:szCs w:val="26"/>
        </w:rPr>
        <w:footnoteReference w:id="115"/>
      </w:r>
      <w:r>
        <w:rPr>
          <w:szCs w:val="26"/>
        </w:rPr>
        <w:t xml:space="preserve"> </w:t>
      </w:r>
    </w:p>
    <w:p w:rsidR="006B591B" w:rsidP="00ED2928" w:rsidRDefault="006B591B" w14:paraId="57C37820" w14:textId="6C18A696">
      <w:pPr>
        <w:pStyle w:val="FERCparanumber"/>
      </w:pPr>
      <w:r>
        <w:t>Those commenters advocating for an opt-out also generally express concerns about the cost</w:t>
      </w:r>
      <w:r w:rsidR="0000161A">
        <w:t>,</w:t>
      </w:r>
      <w:r>
        <w:t xml:space="preserve"> and </w:t>
      </w:r>
      <w:r w:rsidR="00916790">
        <w:t xml:space="preserve">operational and </w:t>
      </w:r>
      <w:r>
        <w:t>reliability impacts</w:t>
      </w:r>
      <w:r w:rsidR="004B4A5D">
        <w:t>,</w:t>
      </w:r>
      <w:r>
        <w:t xml:space="preserve"> of distributed energy resource aggregations on </w:t>
      </w:r>
      <w:r w:rsidR="00916790">
        <w:t xml:space="preserve">distribution utilities and </w:t>
      </w:r>
      <w:r>
        <w:t>the distribution system.</w:t>
      </w:r>
      <w:r w:rsidRPr="00D377EB">
        <w:rPr>
          <w:rStyle w:val="FootnoteReference"/>
        </w:rPr>
        <w:footnoteReference w:id="116"/>
      </w:r>
      <w:r>
        <w:t xml:space="preserve">  With regard to cost impacts, s</w:t>
      </w:r>
      <w:r w:rsidRPr="00FD6CC2">
        <w:rPr>
          <w:color w:val="000000"/>
        </w:rPr>
        <w:t>ome</w:t>
      </w:r>
      <w:r w:rsidRPr="00A72E77">
        <w:t xml:space="preserve"> commenters suggest that costs borne by small utilities and their customer base</w:t>
      </w:r>
      <w:r>
        <w:t>s</w:t>
      </w:r>
      <w:r w:rsidRPr="00A72E77">
        <w:t xml:space="preserve"> may outweigh the benefits of </w:t>
      </w:r>
      <w:r>
        <w:t xml:space="preserve">distributed energy resource </w:t>
      </w:r>
      <w:r w:rsidRPr="00A72E77">
        <w:t>aggregation participation in RTO/ISO markets</w:t>
      </w:r>
      <w:r>
        <w:t xml:space="preserve">, and that </w:t>
      </w:r>
      <w:r w:rsidRPr="007756B2">
        <w:t>small to medium-sized distribution utilities</w:t>
      </w:r>
      <w:r>
        <w:t xml:space="preserve"> m</w:t>
      </w:r>
      <w:r w:rsidRPr="007756B2">
        <w:t>ay not have the resources needed to coordinate with distributed energy resource aggregators and RTOs</w:t>
      </w:r>
      <w:r>
        <w:t>/ISOs</w:t>
      </w:r>
      <w:r w:rsidRPr="00A72E77">
        <w:t>.</w:t>
      </w:r>
      <w:r w:rsidRPr="00D377EB">
        <w:rPr>
          <w:rStyle w:val="FootnoteReference"/>
        </w:rPr>
        <w:footnoteReference w:id="117"/>
      </w:r>
      <w:r w:rsidRPr="00A72E77">
        <w:t xml:space="preserve">  </w:t>
      </w:r>
      <w:r>
        <w:t xml:space="preserve"> In addition, NRECA argues that opt-out/opt-in provisions </w:t>
      </w:r>
      <w:r w:rsidRPr="00D3077D">
        <w:t xml:space="preserve">would lessen the compliance burden on smaller entities and </w:t>
      </w:r>
      <w:r w:rsidR="003A2FDB">
        <w:t xml:space="preserve">would be consistent with </w:t>
      </w:r>
      <w:r w:rsidR="00725728">
        <w:t xml:space="preserve">the deference to relevant electric retail regulatory authorities included in </w:t>
      </w:r>
      <w:r w:rsidRPr="008F02B6">
        <w:t>IEEE 1547</w:t>
      </w:r>
      <w:r w:rsidRPr="00D3077D">
        <w:t>.</w:t>
      </w:r>
      <w:r w:rsidRPr="00D377EB">
        <w:rPr>
          <w:rStyle w:val="FootnoteReference"/>
        </w:rPr>
        <w:footnoteReference w:id="118"/>
      </w:r>
      <w:r>
        <w:t xml:space="preserve">  </w:t>
      </w:r>
      <w:r w:rsidRPr="007756B2">
        <w:t xml:space="preserve">NRECA </w:t>
      </w:r>
      <w:r>
        <w:t>also raises concerns</w:t>
      </w:r>
      <w:r w:rsidRPr="007756B2">
        <w:t xml:space="preserve"> that distributed energy resource aggregators may “cherry-pick” the more lucrative resources in a system, undermining </w:t>
      </w:r>
      <w:r>
        <w:t xml:space="preserve">reliability and </w:t>
      </w:r>
      <w:r w:rsidRPr="007756B2">
        <w:t xml:space="preserve">the ability of utilities to develop </w:t>
      </w:r>
      <w:r>
        <w:t xml:space="preserve">and invest in </w:t>
      </w:r>
      <w:r w:rsidRPr="007756B2">
        <w:t xml:space="preserve">their own integrated </w:t>
      </w:r>
      <w:r>
        <w:t>distributed energy resources</w:t>
      </w:r>
      <w:r w:rsidRPr="007756B2">
        <w:t xml:space="preserve"> portfolio.</w:t>
      </w:r>
      <w:r w:rsidRPr="00D457DD">
        <w:rPr>
          <w:rStyle w:val="FootnoteReference"/>
        </w:rPr>
        <w:footnoteReference w:id="119"/>
      </w:r>
      <w:r>
        <w:t xml:space="preserve">  </w:t>
      </w:r>
      <w:r w:rsidRPr="00D3077D" w:rsidR="00EB285A">
        <w:t>O</w:t>
      </w:r>
      <w:r w:rsidR="00EB285A">
        <w:t xml:space="preserve">rganization of MISO States </w:t>
      </w:r>
      <w:r w:rsidRPr="00D3077D" w:rsidR="00EB285A">
        <w:t>suggests that even a temporary opt-out would allow for safe and reliable implementation with minimal disruption</w:t>
      </w:r>
      <w:r w:rsidR="00EB285A">
        <w:t xml:space="preserve"> to the </w:t>
      </w:r>
      <w:r w:rsidRPr="00D3077D" w:rsidR="00EB285A">
        <w:t>distribution system.</w:t>
      </w:r>
      <w:r w:rsidRPr="00D377EB" w:rsidR="00EB285A">
        <w:rPr>
          <w:rStyle w:val="FootnoteReference"/>
        </w:rPr>
        <w:footnoteReference w:id="120"/>
      </w:r>
    </w:p>
    <w:p w:rsidRPr="007B65AE" w:rsidR="006B591B" w:rsidP="00893483" w:rsidRDefault="006B591B" w14:paraId="00E44749" w14:textId="0EE216E3">
      <w:pPr>
        <w:pStyle w:val="FERCparanumber"/>
        <w:rPr>
          <w:szCs w:val="26"/>
        </w:rPr>
      </w:pPr>
      <w:r>
        <w:t>Some commenters argue that, to relieve smaller entities of cost and coordination burdens, the Commission should at a minimum establish an express opt-in requirement for small distribution utilities</w:t>
      </w:r>
      <w:r w:rsidR="00836BD8">
        <w:t xml:space="preserve"> similar to the one the Commission adopted in Order No. 719</w:t>
      </w:r>
      <w:r>
        <w:t>.</w:t>
      </w:r>
      <w:r w:rsidRPr="00D377EB">
        <w:rPr>
          <w:rStyle w:val="FootnoteReference"/>
        </w:rPr>
        <w:footnoteReference w:id="121"/>
      </w:r>
      <w:r>
        <w:t xml:space="preserve">  </w:t>
      </w:r>
      <w:r w:rsidRPr="006B3137">
        <w:rPr>
          <w:lang w:eastAsia="ja-JP"/>
        </w:rPr>
        <w:t xml:space="preserve">NRECA asserts that the </w:t>
      </w:r>
      <w:r w:rsidR="00467048">
        <w:rPr>
          <w:lang w:eastAsia="ja-JP"/>
        </w:rPr>
        <w:t>distributed energy resource aggregation proposals</w:t>
      </w:r>
      <w:r w:rsidRPr="006B3137">
        <w:rPr>
          <w:lang w:eastAsia="ja-JP"/>
        </w:rPr>
        <w:t xml:space="preserve"> would be costly for small cooperatives in rural, remote communities</w:t>
      </w:r>
      <w:r w:rsidR="00916790">
        <w:rPr>
          <w:lang w:eastAsia="ja-JP"/>
        </w:rPr>
        <w:t>.</w:t>
      </w:r>
      <w:r w:rsidR="00916790">
        <w:rPr>
          <w:rStyle w:val="FootnoteReference"/>
          <w:lang w:eastAsia="ja-JP"/>
        </w:rPr>
        <w:footnoteReference w:id="122"/>
      </w:r>
      <w:r>
        <w:rPr>
          <w:lang w:eastAsia="ja-JP"/>
        </w:rPr>
        <w:t xml:space="preserve"> </w:t>
      </w:r>
      <w:r w:rsidR="00916790">
        <w:rPr>
          <w:lang w:eastAsia="ja-JP"/>
        </w:rPr>
        <w:t xml:space="preserve"> </w:t>
      </w:r>
      <w:r w:rsidR="00893483">
        <w:rPr>
          <w:lang w:eastAsia="ja-JP"/>
        </w:rPr>
        <w:t xml:space="preserve">NRECA </w:t>
      </w:r>
      <w:r>
        <w:rPr>
          <w:lang w:eastAsia="ja-JP"/>
        </w:rPr>
        <w:t xml:space="preserve">and </w:t>
      </w:r>
      <w:r w:rsidR="00893483">
        <w:rPr>
          <w:lang w:eastAsia="ja-JP"/>
        </w:rPr>
        <w:t xml:space="preserve">TAPS </w:t>
      </w:r>
      <w:r w:rsidRPr="006B3137">
        <w:rPr>
          <w:lang w:eastAsia="ja-JP"/>
        </w:rPr>
        <w:t xml:space="preserve">recommend that </w:t>
      </w:r>
      <w:r w:rsidR="00893483">
        <w:rPr>
          <w:lang w:eastAsia="ja-JP"/>
        </w:rPr>
        <w:t>the Commission require express permission from</w:t>
      </w:r>
      <w:r w:rsidRPr="006B3137">
        <w:rPr>
          <w:lang w:eastAsia="ja-JP"/>
        </w:rPr>
        <w:t xml:space="preserve"> </w:t>
      </w:r>
      <w:r>
        <w:rPr>
          <w:lang w:eastAsia="ja-JP"/>
        </w:rPr>
        <w:t>the relevant electric retail regulatory authority</w:t>
      </w:r>
      <w:r w:rsidRPr="006B3137">
        <w:rPr>
          <w:lang w:eastAsia="ja-JP"/>
        </w:rPr>
        <w:t xml:space="preserve"> </w:t>
      </w:r>
      <w:r w:rsidR="00893483">
        <w:rPr>
          <w:lang w:eastAsia="ja-JP"/>
        </w:rPr>
        <w:t xml:space="preserve">before the RTO/ISO may accept bids from </w:t>
      </w:r>
      <w:r>
        <w:rPr>
          <w:lang w:eastAsia="ja-JP"/>
        </w:rPr>
        <w:t>distributed energy resource</w:t>
      </w:r>
      <w:r w:rsidRPr="006B3137">
        <w:rPr>
          <w:lang w:eastAsia="ja-JP"/>
        </w:rPr>
        <w:t xml:space="preserve"> aggregation</w:t>
      </w:r>
      <w:r>
        <w:rPr>
          <w:lang w:eastAsia="ja-JP"/>
        </w:rPr>
        <w:t>s</w:t>
      </w:r>
      <w:r w:rsidRPr="006B3137">
        <w:rPr>
          <w:lang w:eastAsia="ja-JP"/>
        </w:rPr>
        <w:t xml:space="preserve"> </w:t>
      </w:r>
      <w:r w:rsidR="00893483">
        <w:rPr>
          <w:lang w:eastAsia="ja-JP"/>
        </w:rPr>
        <w:t xml:space="preserve">located </w:t>
      </w:r>
      <w:r w:rsidRPr="006B3137">
        <w:rPr>
          <w:lang w:eastAsia="ja-JP"/>
        </w:rPr>
        <w:t xml:space="preserve">on </w:t>
      </w:r>
      <w:r>
        <w:rPr>
          <w:lang w:eastAsia="ja-JP"/>
        </w:rPr>
        <w:t xml:space="preserve">the system of </w:t>
      </w:r>
      <w:r w:rsidRPr="006B3137">
        <w:rPr>
          <w:lang w:eastAsia="ja-JP"/>
        </w:rPr>
        <w:t xml:space="preserve">a utility that distributes 4 million MWh or less, </w:t>
      </w:r>
      <w:r w:rsidR="006C0499">
        <w:rPr>
          <w:lang w:eastAsia="ja-JP"/>
        </w:rPr>
        <w:t>employing the same size threshold as</w:t>
      </w:r>
      <w:r w:rsidRPr="006B3137">
        <w:rPr>
          <w:lang w:eastAsia="ja-JP"/>
        </w:rPr>
        <w:t xml:space="preserve"> the small utility opt-</w:t>
      </w:r>
      <w:r>
        <w:rPr>
          <w:lang w:eastAsia="ja-JP"/>
        </w:rPr>
        <w:t>in</w:t>
      </w:r>
      <w:r w:rsidRPr="006B3137">
        <w:rPr>
          <w:lang w:eastAsia="ja-JP"/>
        </w:rPr>
        <w:t xml:space="preserve"> allowed in Order No. 719-A.</w:t>
      </w:r>
      <w:r w:rsidRPr="00DF690E">
        <w:rPr>
          <w:b/>
          <w:bCs/>
          <w:vertAlign w:val="superscript"/>
          <w:lang w:eastAsia="ja-JP"/>
        </w:rPr>
        <w:footnoteReference w:id="123"/>
      </w:r>
      <w:r>
        <w:rPr>
          <w:lang w:eastAsia="ja-JP"/>
        </w:rPr>
        <w:t xml:space="preserve">  </w:t>
      </w:r>
    </w:p>
    <w:p w:rsidRPr="008F02B6" w:rsidR="006B591B" w:rsidP="006B591B" w:rsidRDefault="006B591B" w14:paraId="508F75F7" w14:textId="08BBCB05">
      <w:pPr>
        <w:pStyle w:val="FERCparanumber"/>
      </w:pPr>
      <w:r>
        <w:t xml:space="preserve">In contrast, </w:t>
      </w:r>
      <w:r>
        <w:rPr>
          <w:color w:val="000000"/>
        </w:rPr>
        <w:t>o</w:t>
      </w:r>
      <w:r>
        <w:t xml:space="preserve">ther </w:t>
      </w:r>
      <w:r w:rsidRPr="00A72E77">
        <w:t>commenters caution against adopting the Order No. 719 construct</w:t>
      </w:r>
      <w:r>
        <w:t>.</w:t>
      </w:r>
      <w:r>
        <w:rPr>
          <w:rStyle w:val="FootnoteReference"/>
        </w:rPr>
        <w:footnoteReference w:id="124"/>
      </w:r>
      <w:r>
        <w:t xml:space="preserve">  Many of those commenters argue that an opt-out is not necessary because</w:t>
      </w:r>
      <w:r w:rsidRPr="00AF12C1">
        <w:rPr>
          <w:lang w:bidi="he-IL"/>
        </w:rPr>
        <w:t xml:space="preserve"> the Commission has exclusive jurisdiction over sales from </w:t>
      </w:r>
      <w:r>
        <w:rPr>
          <w:lang w:bidi="he-IL"/>
        </w:rPr>
        <w:t>distributed energy resource</w:t>
      </w:r>
      <w:r w:rsidRPr="00AF12C1">
        <w:rPr>
          <w:lang w:bidi="he-IL"/>
        </w:rPr>
        <w:t xml:space="preserve"> aggregators into </w:t>
      </w:r>
      <w:r>
        <w:rPr>
          <w:lang w:bidi="he-IL"/>
        </w:rPr>
        <w:t>RTO/ISO markets</w:t>
      </w:r>
      <w:r w:rsidRPr="00AF12C1">
        <w:t>.</w:t>
      </w:r>
      <w:r w:rsidRPr="00D377EB">
        <w:rPr>
          <w:rStyle w:val="FootnoteReference"/>
        </w:rPr>
        <w:footnoteReference w:id="125"/>
      </w:r>
      <w:r w:rsidRPr="00AF12C1">
        <w:t xml:space="preserve">  </w:t>
      </w:r>
      <w:r>
        <w:t>Moreover, several commenters argue that</w:t>
      </w:r>
      <w:r w:rsidRPr="00A72E77">
        <w:t xml:space="preserve"> the </w:t>
      </w:r>
      <w:r>
        <w:t>responsibility for integrating</w:t>
      </w:r>
      <w:r w:rsidRPr="00A72E77">
        <w:t xml:space="preserve"> emerging technologies into </w:t>
      </w:r>
      <w:r>
        <w:t>RTO/ISO</w:t>
      </w:r>
      <w:r w:rsidRPr="00A72E77">
        <w:t xml:space="preserve"> markets rests with the Commission (while</w:t>
      </w:r>
      <w:r w:rsidR="00BD7290">
        <w:t xml:space="preserve"> the state</w:t>
      </w:r>
      <w:r w:rsidR="00F8222E">
        <w:t>s</w:t>
      </w:r>
      <w:r w:rsidR="00BD7290">
        <w:t xml:space="preserve"> are responsible for</w:t>
      </w:r>
      <w:r w:rsidRPr="00A72E77">
        <w:t xml:space="preserve"> </w:t>
      </w:r>
      <w:r>
        <w:t xml:space="preserve">managing </w:t>
      </w:r>
      <w:r w:rsidRPr="00A72E77">
        <w:t>the impacts on the distribution system)</w:t>
      </w:r>
      <w:r>
        <w:t xml:space="preserve"> and that </w:t>
      </w:r>
      <w:r w:rsidRPr="00A72E77">
        <w:t xml:space="preserve">the </w:t>
      </w:r>
      <w:r>
        <w:t xml:space="preserve">Order No. 719 </w:t>
      </w:r>
      <w:r w:rsidRPr="00A72E77">
        <w:t>opt-out provision ha</w:t>
      </w:r>
      <w:r>
        <w:t>s</w:t>
      </w:r>
      <w:r w:rsidRPr="00A72E77">
        <w:t xml:space="preserve"> effectively prevented the development of demand response in the Midwest</w:t>
      </w:r>
      <w:r>
        <w:t xml:space="preserve"> and</w:t>
      </w:r>
      <w:r w:rsidRPr="00A72E77">
        <w:t xml:space="preserve"> led to </w:t>
      </w:r>
      <w:r>
        <w:t xml:space="preserve">higher </w:t>
      </w:r>
      <w:r w:rsidRPr="00A72E77">
        <w:t>wholesale rates.</w:t>
      </w:r>
      <w:r w:rsidRPr="00D377EB">
        <w:rPr>
          <w:rStyle w:val="FootnoteReference"/>
        </w:rPr>
        <w:footnoteReference w:id="126"/>
      </w:r>
      <w:r>
        <w:t xml:space="preserve">  In addition, some commenters argue that providing states with an opt-out would be inconsistent with the Commission’s denial of such an opt-out from electric storage participation in Order No. 841.</w:t>
      </w:r>
      <w:r w:rsidRPr="00D377EB">
        <w:rPr>
          <w:rStyle w:val="FootnoteReference"/>
        </w:rPr>
        <w:footnoteReference w:id="127"/>
      </w:r>
      <w:r>
        <w:t xml:space="preserve">  </w:t>
      </w:r>
      <w:r>
        <w:rPr>
          <w:vertAlign w:val="superscript"/>
        </w:rPr>
        <w:t xml:space="preserve">  </w:t>
      </w:r>
    </w:p>
    <w:p w:rsidR="006B591B" w:rsidP="006B591B" w:rsidRDefault="006B591B" w14:paraId="2AAD5249" w14:textId="5DC15A3D">
      <w:pPr>
        <w:pStyle w:val="FERCparanumber"/>
      </w:pPr>
      <w:r>
        <w:t xml:space="preserve">With respect to the Commission’s authority, some commenters assert </w:t>
      </w:r>
      <w:r w:rsidRPr="005777A8">
        <w:rPr>
          <w:szCs w:val="26"/>
        </w:rPr>
        <w:t xml:space="preserve">that </w:t>
      </w:r>
      <w:r w:rsidR="00055EDF">
        <w:rPr>
          <w:szCs w:val="26"/>
        </w:rPr>
        <w:t>o</w:t>
      </w:r>
      <w:r w:rsidR="006C3C3A">
        <w:rPr>
          <w:szCs w:val="26"/>
        </w:rPr>
        <w:t>n</w:t>
      </w:r>
      <w:r w:rsidR="00055EDF">
        <w:rPr>
          <w:szCs w:val="26"/>
        </w:rPr>
        <w:t xml:space="preserve">ly the Commission </w:t>
      </w:r>
      <w:r w:rsidR="006C3C3A">
        <w:rPr>
          <w:szCs w:val="26"/>
        </w:rPr>
        <w:t>has jurisdiction to</w:t>
      </w:r>
      <w:r w:rsidR="00055EDF">
        <w:rPr>
          <w:szCs w:val="26"/>
        </w:rPr>
        <w:t xml:space="preserve"> d</w:t>
      </w:r>
      <w:r w:rsidR="006C3C3A">
        <w:rPr>
          <w:szCs w:val="26"/>
        </w:rPr>
        <w:t xml:space="preserve">etermine </w:t>
      </w:r>
      <w:r w:rsidRPr="005777A8">
        <w:rPr>
          <w:szCs w:val="26"/>
        </w:rPr>
        <w:t>eligibility for wholesale market participation</w:t>
      </w:r>
      <w:r w:rsidRPr="00D377EB">
        <w:rPr>
          <w:rStyle w:val="FootnoteReference"/>
        </w:rPr>
        <w:footnoteReference w:id="128"/>
      </w:r>
      <w:r w:rsidRPr="005777A8">
        <w:rPr>
          <w:szCs w:val="26"/>
        </w:rPr>
        <w:t xml:space="preserve"> and that </w:t>
      </w:r>
      <w:r>
        <w:t>limiting or conditioning wholesale market participation</w:t>
      </w:r>
      <w:r w:rsidRPr="005777A8">
        <w:rPr>
          <w:szCs w:val="26"/>
        </w:rPr>
        <w:t xml:space="preserve"> through </w:t>
      </w:r>
      <w:r>
        <w:t>retail tariffs</w:t>
      </w:r>
      <w:r w:rsidRPr="00D377EB">
        <w:rPr>
          <w:rStyle w:val="FootnoteReference"/>
        </w:rPr>
        <w:footnoteReference w:id="129"/>
      </w:r>
      <w:r>
        <w:t xml:space="preserve"> or distribution interconnection agreements</w:t>
      </w:r>
      <w:r w:rsidRPr="00D377EB">
        <w:rPr>
          <w:rStyle w:val="FootnoteReference"/>
        </w:rPr>
        <w:footnoteReference w:id="130"/>
      </w:r>
      <w:r>
        <w:t xml:space="preserve"> would interfere with </w:t>
      </w:r>
      <w:r w:rsidRPr="005777A8">
        <w:rPr>
          <w:szCs w:val="26"/>
        </w:rPr>
        <w:t xml:space="preserve">that jurisdiction.  </w:t>
      </w:r>
      <w:r w:rsidRPr="00A50DBE">
        <w:rPr>
          <w:rFonts w:eastAsia="Times New Roman"/>
          <w:color w:val="000000"/>
        </w:rPr>
        <w:t>Advanced Energy Management assert</w:t>
      </w:r>
      <w:r>
        <w:rPr>
          <w:rFonts w:eastAsia="Times New Roman"/>
          <w:color w:val="000000"/>
        </w:rPr>
        <w:t>s</w:t>
      </w:r>
      <w:r w:rsidRPr="00A50DBE">
        <w:rPr>
          <w:rFonts w:eastAsia="Times New Roman"/>
          <w:color w:val="000000"/>
        </w:rPr>
        <w:t xml:space="preserve"> that because selling injections of electric energy in wholesale markets is governed under the FPA</w:t>
      </w:r>
      <w:r>
        <w:rPr>
          <w:rFonts w:eastAsia="Times New Roman"/>
          <w:color w:val="000000"/>
        </w:rPr>
        <w:t xml:space="preserve"> and distributed energy resources</w:t>
      </w:r>
      <w:r w:rsidRPr="00A50DBE">
        <w:rPr>
          <w:rFonts w:eastAsia="Times New Roman"/>
          <w:color w:val="000000"/>
        </w:rPr>
        <w:t xml:space="preserve"> </w:t>
      </w:r>
      <w:r>
        <w:rPr>
          <w:rFonts w:eastAsia="Times New Roman"/>
          <w:color w:val="000000"/>
        </w:rPr>
        <w:t>are</w:t>
      </w:r>
      <w:r w:rsidRPr="00A50DBE">
        <w:rPr>
          <w:rFonts w:eastAsia="Times New Roman"/>
          <w:color w:val="000000"/>
        </w:rPr>
        <w:t xml:space="preserve"> not always behind</w:t>
      </w:r>
      <w:r>
        <w:rPr>
          <w:rFonts w:eastAsia="Times New Roman"/>
          <w:color w:val="000000"/>
        </w:rPr>
        <w:t xml:space="preserve"> </w:t>
      </w:r>
      <w:r w:rsidRPr="00A50DBE">
        <w:rPr>
          <w:rFonts w:eastAsia="Times New Roman"/>
          <w:color w:val="000000"/>
        </w:rPr>
        <w:t>the</w:t>
      </w:r>
      <w:r>
        <w:rPr>
          <w:rFonts w:eastAsia="Times New Roman"/>
          <w:color w:val="000000"/>
        </w:rPr>
        <w:t xml:space="preserve"> </w:t>
      </w:r>
      <w:r w:rsidRPr="00A50DBE">
        <w:rPr>
          <w:rFonts w:eastAsia="Times New Roman"/>
          <w:color w:val="000000"/>
        </w:rPr>
        <w:t>meter</w:t>
      </w:r>
      <w:r>
        <w:rPr>
          <w:rFonts w:eastAsia="Times New Roman"/>
          <w:color w:val="000000"/>
        </w:rPr>
        <w:t>,</w:t>
      </w:r>
      <w:r w:rsidRPr="00A50DBE">
        <w:rPr>
          <w:rFonts w:eastAsia="Times New Roman"/>
          <w:color w:val="000000"/>
        </w:rPr>
        <w:t xml:space="preserve"> there should not be a blanket opt-out available to </w:t>
      </w:r>
      <w:r>
        <w:rPr>
          <w:rFonts w:eastAsia="Times New Roman"/>
          <w:color w:val="000000"/>
        </w:rPr>
        <w:t>relevant electric retail regulatory authoritie</w:t>
      </w:r>
      <w:r w:rsidRPr="00A50DBE">
        <w:rPr>
          <w:rFonts w:eastAsia="Times New Roman"/>
          <w:color w:val="000000"/>
        </w:rPr>
        <w:t>s.</w:t>
      </w:r>
      <w:r w:rsidRPr="00367C29">
        <w:rPr>
          <w:rStyle w:val="FootnoteReference"/>
        </w:rPr>
        <w:footnoteReference w:id="131"/>
      </w:r>
      <w:r>
        <w:rPr>
          <w:rFonts w:eastAsia="Times New Roman"/>
          <w:color w:val="000000"/>
        </w:rPr>
        <w:t xml:space="preserve">  </w:t>
      </w:r>
    </w:p>
    <w:p w:rsidRPr="00F70ADC" w:rsidR="006B591B" w:rsidP="006B591B" w:rsidRDefault="006B591B" w14:paraId="563A7962" w14:textId="506EC166">
      <w:pPr>
        <w:pStyle w:val="FERCparanumber"/>
      </w:pPr>
      <w:r>
        <w:t xml:space="preserve">However, some commenters recognize </w:t>
      </w:r>
      <w:r w:rsidRPr="00FF1AD4">
        <w:t>that states do have the right to implement retail tariffs that disqualify a resource from participating in the state program if the resource elects to participate in RTO/ISO markets</w:t>
      </w:r>
      <w:r w:rsidRPr="005777A8">
        <w:rPr>
          <w:rFonts w:ascii="TimesNewRomanPSMT" w:hAnsi="TimesNewRomanPSMT" w:cs="TimesNewRomanPSMT"/>
          <w:sz w:val="24"/>
          <w:szCs w:val="24"/>
        </w:rPr>
        <w:t>.</w:t>
      </w:r>
      <w:r w:rsidRPr="00D377EB">
        <w:rPr>
          <w:rStyle w:val="FootnoteReference"/>
        </w:rPr>
        <w:footnoteReference w:id="132"/>
      </w:r>
      <w:r w:rsidRPr="005777A8">
        <w:rPr>
          <w:rFonts w:ascii="TimesNewRomanPSMT" w:hAnsi="TimesNewRomanPSMT" w:cs="TimesNewRomanPSMT"/>
          <w:sz w:val="24"/>
          <w:szCs w:val="24"/>
        </w:rPr>
        <w:t xml:space="preserve">  </w:t>
      </w:r>
      <w:r>
        <w:t>Several commenters caution that, if the Commission does consider an opt-out, it must be narrowly tailored.</w:t>
      </w:r>
      <w:r w:rsidRPr="00D377EB">
        <w:rPr>
          <w:rStyle w:val="FootnoteReference"/>
        </w:rPr>
        <w:footnoteReference w:id="133"/>
      </w:r>
      <w:r>
        <w:t xml:space="preserve">  </w:t>
      </w:r>
      <w:r w:rsidRPr="001E51C2">
        <w:t xml:space="preserve">Harvard Environmental Policy Initiative points to the Commission’s proposed coordination provisions to demonstrate that the Commission will not preempt state authority over distribution </w:t>
      </w:r>
      <w:r w:rsidR="009A6465">
        <w:t>system</w:t>
      </w:r>
      <w:r w:rsidRPr="001E51C2">
        <w:t xml:space="preserve"> planning or create new authority for the Commission to allow </w:t>
      </w:r>
      <w:r>
        <w:t>distributed energy resource</w:t>
      </w:r>
      <w:r w:rsidRPr="001E51C2">
        <w:t>s to connect to a distribution system without a utility’s approval or knowledge.</w:t>
      </w:r>
      <w:r>
        <w:rPr>
          <w:rStyle w:val="FootnoteReference"/>
        </w:rPr>
        <w:footnoteReference w:id="134"/>
      </w:r>
      <w:r>
        <w:t xml:space="preserve">  </w:t>
      </w:r>
    </w:p>
    <w:p w:rsidR="006B591B" w:rsidP="006B591B" w:rsidRDefault="006B591B" w14:paraId="1C4F8DA7" w14:textId="2768427A">
      <w:pPr>
        <w:pStyle w:val="FERCparanumber"/>
      </w:pPr>
      <w:r>
        <w:t xml:space="preserve">In response to concerns about the impact of distributed energy resource aggregations on the distribution system, several commenters argue that distributed energy resource </w:t>
      </w:r>
      <w:r w:rsidR="003B285A">
        <w:t xml:space="preserve">aggregation </w:t>
      </w:r>
      <w:r>
        <w:t xml:space="preserve">participation in RTO/ISO markets does not introduce additional reliability or cost concerns beyond those </w:t>
      </w:r>
      <w:r w:rsidR="003F2A16">
        <w:t>that</w:t>
      </w:r>
      <w:r>
        <w:t xml:space="preserve"> are addressed through the interconnection process.</w:t>
      </w:r>
      <w:r w:rsidRPr="00D377EB">
        <w:rPr>
          <w:rStyle w:val="FootnoteReference"/>
        </w:rPr>
        <w:footnoteReference w:id="135"/>
      </w:r>
      <w:r>
        <w:t xml:space="preserve">  </w:t>
      </w:r>
      <w:r>
        <w:rPr>
          <w:szCs w:val="26"/>
        </w:rPr>
        <w:t xml:space="preserve">In contrast with commenters </w:t>
      </w:r>
      <w:r w:rsidR="007B598B">
        <w:rPr>
          <w:szCs w:val="26"/>
        </w:rPr>
        <w:t>that</w:t>
      </w:r>
      <w:r>
        <w:rPr>
          <w:szCs w:val="26"/>
        </w:rPr>
        <w:t xml:space="preserve"> suggest that distributed energy resource aggregations introduce reliability or cost concerns, </w:t>
      </w:r>
      <w:r>
        <w:t>Advanced Energy Economy argues that an opt-out would limit</w:t>
      </w:r>
      <w:r w:rsidRPr="00D6001B">
        <w:t xml:space="preserve"> </w:t>
      </w:r>
      <w:r>
        <w:t>RTO/ISO</w:t>
      </w:r>
      <w:r w:rsidRPr="00D6001B">
        <w:t xml:space="preserve"> visibility </w:t>
      </w:r>
      <w:r>
        <w:t xml:space="preserve">into distributed energy resource operations, thereby preventing RTO/ISO operators from using them to maintain reliability and improve resilience, and would </w:t>
      </w:r>
      <w:r w:rsidRPr="00D6001B">
        <w:t>limit an RTO</w:t>
      </w:r>
      <w:r>
        <w:t>’s/ISO’</w:t>
      </w:r>
      <w:r w:rsidRPr="00D6001B">
        <w:t xml:space="preserve">s ability to efficiently optimize </w:t>
      </w:r>
      <w:r>
        <w:t xml:space="preserve">all of the </w:t>
      </w:r>
      <w:r w:rsidRPr="00D6001B">
        <w:t xml:space="preserve">resources </w:t>
      </w:r>
      <w:r>
        <w:t>available in its region</w:t>
      </w:r>
      <w:r w:rsidRPr="00D6001B">
        <w:t xml:space="preserve">, </w:t>
      </w:r>
      <w:r>
        <w:t>risking increased</w:t>
      </w:r>
      <w:r w:rsidRPr="00D6001B">
        <w:t xml:space="preserve"> costs to consumers</w:t>
      </w:r>
      <w:r>
        <w:t>.</w:t>
      </w:r>
      <w:r w:rsidRPr="00D377EB">
        <w:rPr>
          <w:rStyle w:val="FootnoteReference"/>
        </w:rPr>
        <w:footnoteReference w:id="136"/>
      </w:r>
      <w:r>
        <w:t xml:space="preserve">  </w:t>
      </w:r>
    </w:p>
    <w:p w:rsidR="006B591B" w:rsidP="006B591B" w:rsidRDefault="006B591B" w14:paraId="1F2994F9" w14:textId="71A29119">
      <w:pPr>
        <w:pStyle w:val="Heading4"/>
      </w:pPr>
      <w:bookmarkStart w:name="_bmk13" w:id="22"/>
      <w:r>
        <w:t>C</w:t>
      </w:r>
      <w:bookmarkEnd w:id="22"/>
      <w:r>
        <w:t>ommission Determination</w:t>
      </w:r>
    </w:p>
    <w:p w:rsidR="00365490" w:rsidP="006B591B" w:rsidRDefault="005538F2" w14:paraId="2FBE82A5" w14:textId="4488A6E1">
      <w:pPr>
        <w:pStyle w:val="FERCparanumber"/>
        <w:rPr>
          <w:szCs w:val="26"/>
        </w:rPr>
      </w:pPr>
      <w:r>
        <w:rPr>
          <w:szCs w:val="26"/>
        </w:rPr>
        <w:t>W</w:t>
      </w:r>
      <w:r w:rsidR="006B591B">
        <w:rPr>
          <w:szCs w:val="26"/>
        </w:rPr>
        <w:t xml:space="preserve">e decline to </w:t>
      </w:r>
      <w:r w:rsidR="00EB3344">
        <w:rPr>
          <w:szCs w:val="26"/>
        </w:rPr>
        <w:t>include</w:t>
      </w:r>
      <w:r w:rsidR="006B591B">
        <w:rPr>
          <w:szCs w:val="26"/>
        </w:rPr>
        <w:t xml:space="preserve"> a mechanism for </w:t>
      </w:r>
      <w:r w:rsidR="005A2400">
        <w:rPr>
          <w:szCs w:val="26"/>
        </w:rPr>
        <w:t>all</w:t>
      </w:r>
      <w:r w:rsidR="006B591B">
        <w:rPr>
          <w:szCs w:val="26"/>
        </w:rPr>
        <w:t xml:space="preserve"> relevant electric retail regulatory authoritie</w:t>
      </w:r>
      <w:r w:rsidRPr="00420BFA" w:rsidR="006B591B">
        <w:rPr>
          <w:szCs w:val="26"/>
        </w:rPr>
        <w:t xml:space="preserve">s </w:t>
      </w:r>
      <w:r w:rsidR="006B591B">
        <w:rPr>
          <w:szCs w:val="26"/>
        </w:rPr>
        <w:t xml:space="preserve">to prohibit </w:t>
      </w:r>
      <w:r w:rsidR="0030027D">
        <w:rPr>
          <w:szCs w:val="26"/>
        </w:rPr>
        <w:t xml:space="preserve">all </w:t>
      </w:r>
      <w:r w:rsidR="006B591B">
        <w:rPr>
          <w:szCs w:val="26"/>
        </w:rPr>
        <w:t>distributed energy resources</w:t>
      </w:r>
      <w:r w:rsidRPr="00420BFA" w:rsidR="006B591B">
        <w:rPr>
          <w:szCs w:val="26"/>
        </w:rPr>
        <w:t xml:space="preserve"> </w:t>
      </w:r>
      <w:r w:rsidR="006B591B">
        <w:rPr>
          <w:szCs w:val="26"/>
        </w:rPr>
        <w:t xml:space="preserve">from participating </w:t>
      </w:r>
      <w:r w:rsidRPr="00420BFA" w:rsidR="006B591B">
        <w:rPr>
          <w:szCs w:val="26"/>
        </w:rPr>
        <w:t xml:space="preserve">in </w:t>
      </w:r>
      <w:r w:rsidR="006B591B">
        <w:rPr>
          <w:szCs w:val="26"/>
        </w:rPr>
        <w:t xml:space="preserve">the </w:t>
      </w:r>
      <w:r w:rsidRPr="00420BFA" w:rsidR="006B591B">
        <w:rPr>
          <w:szCs w:val="26"/>
        </w:rPr>
        <w:t>RTO/ISO markets</w:t>
      </w:r>
      <w:r w:rsidR="006B591B">
        <w:rPr>
          <w:szCs w:val="26"/>
        </w:rPr>
        <w:t xml:space="preserve"> through distributed energy resource aggregations (i.e., to </w:t>
      </w:r>
      <w:r w:rsidR="007D0D59">
        <w:rPr>
          <w:szCs w:val="26"/>
        </w:rPr>
        <w:t>opt out</w:t>
      </w:r>
      <w:r w:rsidR="006B591B">
        <w:rPr>
          <w:szCs w:val="26"/>
        </w:rPr>
        <w:t>)</w:t>
      </w:r>
      <w:r w:rsidR="0030027D">
        <w:rPr>
          <w:szCs w:val="26"/>
        </w:rPr>
        <w:t>.  However</w:t>
      </w:r>
      <w:r w:rsidRPr="00295A19" w:rsidR="00295A19">
        <w:rPr>
          <w:szCs w:val="26"/>
        </w:rPr>
        <w:t xml:space="preserve">, we modify the NOPR proposal </w:t>
      </w:r>
      <w:r w:rsidRPr="00295A19" w:rsidR="00F257C1">
        <w:rPr>
          <w:szCs w:val="26"/>
        </w:rPr>
        <w:t xml:space="preserve">in recognition of the potential indirect costs borne by smaller </w:t>
      </w:r>
      <w:r w:rsidR="00E772D2">
        <w:rPr>
          <w:szCs w:val="26"/>
        </w:rPr>
        <w:t>utilities</w:t>
      </w:r>
      <w:r w:rsidRPr="00295A19" w:rsidR="00F257C1">
        <w:rPr>
          <w:szCs w:val="26"/>
        </w:rPr>
        <w:t xml:space="preserve"> due to this </w:t>
      </w:r>
      <w:r w:rsidRPr="00D51270" w:rsidR="00D51270">
        <w:rPr>
          <w:szCs w:val="26"/>
        </w:rPr>
        <w:t>final rule</w:t>
      </w:r>
      <w:r w:rsidR="00F257C1">
        <w:rPr>
          <w:szCs w:val="26"/>
        </w:rPr>
        <w:t>.  More specifically</w:t>
      </w:r>
      <w:r w:rsidRPr="00295A19" w:rsidR="00295A19">
        <w:rPr>
          <w:szCs w:val="26"/>
        </w:rPr>
        <w:t xml:space="preserve">, </w:t>
      </w:r>
      <w:r w:rsidR="00F257C1">
        <w:rPr>
          <w:szCs w:val="26"/>
        </w:rPr>
        <w:t>and</w:t>
      </w:r>
      <w:r w:rsidRPr="00295A19" w:rsidR="00295A19">
        <w:rPr>
          <w:szCs w:val="26"/>
        </w:rPr>
        <w:t xml:space="preserve"> as discussed </w:t>
      </w:r>
      <w:r w:rsidR="00703562">
        <w:rPr>
          <w:szCs w:val="26"/>
        </w:rPr>
        <w:t>further</w:t>
      </w:r>
      <w:r w:rsidRPr="00295A19" w:rsidR="00295A19">
        <w:rPr>
          <w:szCs w:val="26"/>
        </w:rPr>
        <w:t xml:space="preserve"> below</w:t>
      </w:r>
      <w:r w:rsidR="00F257C1">
        <w:rPr>
          <w:szCs w:val="26"/>
        </w:rPr>
        <w:t xml:space="preserve">, we add § </w:t>
      </w:r>
      <w:r w:rsidRPr="00C14B3D" w:rsidR="00F257C1">
        <w:t>35.28(g)(1</w:t>
      </w:r>
      <w:r w:rsidR="00CD5DB1">
        <w:t>2</w:t>
      </w:r>
      <w:r w:rsidRPr="00C14B3D" w:rsidR="00F257C1">
        <w:t>)(iv)</w:t>
      </w:r>
      <w:r w:rsidR="00F257C1">
        <w:t xml:space="preserve"> to the Commission’s regulations </w:t>
      </w:r>
      <w:r w:rsidR="00F257C1">
        <w:rPr>
          <w:szCs w:val="26"/>
        </w:rPr>
        <w:t>to provide that RTOs/ISOs may not accept bids from distributed energy resource aggregators aggregating customers of small utilities</w:t>
      </w:r>
      <w:r w:rsidR="00F257C1">
        <w:rPr>
          <w:rStyle w:val="FootnoteReference"/>
          <w:szCs w:val="26"/>
        </w:rPr>
        <w:footnoteReference w:id="137"/>
      </w:r>
      <w:r w:rsidR="00F257C1">
        <w:rPr>
          <w:szCs w:val="26"/>
        </w:rPr>
        <w:t xml:space="preserve"> unless the relevant electric retail regulatory authority allows such customers of small utilities to participate in distributed energy resource aggregations (i.e., to opt in)</w:t>
      </w:r>
      <w:r w:rsidR="006B591B">
        <w:rPr>
          <w:szCs w:val="26"/>
        </w:rPr>
        <w:t xml:space="preserve">.  </w:t>
      </w:r>
    </w:p>
    <w:p w:rsidRPr="0084099D" w:rsidR="00B54FA2" w:rsidP="00BF0CCB" w:rsidRDefault="00365490" w14:paraId="48346A37" w14:textId="031A60A5">
      <w:pPr>
        <w:pStyle w:val="FERCparanumber"/>
        <w:rPr>
          <w:szCs w:val="26"/>
        </w:rPr>
      </w:pPr>
      <w:r>
        <w:rPr>
          <w:szCs w:val="26"/>
        </w:rPr>
        <w:t>W</w:t>
      </w:r>
      <w:r w:rsidR="006B591B">
        <w:rPr>
          <w:szCs w:val="26"/>
        </w:rPr>
        <w:t>e disagree with</w:t>
      </w:r>
      <w:r w:rsidRPr="00420BFA" w:rsidR="006B591B">
        <w:rPr>
          <w:szCs w:val="26"/>
        </w:rPr>
        <w:t xml:space="preserve"> </w:t>
      </w:r>
      <w:r w:rsidR="00726780">
        <w:rPr>
          <w:szCs w:val="26"/>
        </w:rPr>
        <w:t xml:space="preserve">the </w:t>
      </w:r>
      <w:r w:rsidR="006B591B">
        <w:rPr>
          <w:szCs w:val="26"/>
        </w:rPr>
        <w:t>suggest</w:t>
      </w:r>
      <w:r w:rsidR="00726780">
        <w:rPr>
          <w:szCs w:val="26"/>
        </w:rPr>
        <w:t>ion</w:t>
      </w:r>
      <w:r w:rsidR="006B591B">
        <w:rPr>
          <w:szCs w:val="26"/>
        </w:rPr>
        <w:t xml:space="preserve"> that </w:t>
      </w:r>
      <w:r w:rsidRPr="00420BFA" w:rsidR="006B591B">
        <w:rPr>
          <w:szCs w:val="26"/>
        </w:rPr>
        <w:t xml:space="preserve">the Commission is legally </w:t>
      </w:r>
      <w:r w:rsidR="0030027D">
        <w:rPr>
          <w:szCs w:val="26"/>
        </w:rPr>
        <w:t>required</w:t>
      </w:r>
      <w:r w:rsidRPr="00420BFA" w:rsidR="0030027D">
        <w:rPr>
          <w:szCs w:val="26"/>
        </w:rPr>
        <w:t xml:space="preserve"> </w:t>
      </w:r>
      <w:r w:rsidRPr="00420BFA" w:rsidR="006B591B">
        <w:rPr>
          <w:szCs w:val="26"/>
        </w:rPr>
        <w:t xml:space="preserve">to </w:t>
      </w:r>
      <w:r w:rsidR="006B591B">
        <w:rPr>
          <w:szCs w:val="26"/>
        </w:rPr>
        <w:t>grant</w:t>
      </w:r>
      <w:r w:rsidRPr="00420BFA" w:rsidR="006B591B">
        <w:rPr>
          <w:szCs w:val="26"/>
        </w:rPr>
        <w:t xml:space="preserve"> an opt-out</w:t>
      </w:r>
      <w:r w:rsidRPr="00F83048" w:rsidR="00F83048">
        <w:t xml:space="preserve"> </w:t>
      </w:r>
      <w:r w:rsidR="007A199D">
        <w:t xml:space="preserve">that </w:t>
      </w:r>
      <w:r w:rsidR="00EE3335">
        <w:t xml:space="preserve">enables </w:t>
      </w:r>
      <w:r w:rsidRPr="00F83048" w:rsidR="00F83048">
        <w:rPr>
          <w:szCs w:val="26"/>
        </w:rPr>
        <w:t xml:space="preserve">all relevant electric retail regulatory authorities to prohibit </w:t>
      </w:r>
      <w:r w:rsidR="009A5BF3">
        <w:rPr>
          <w:szCs w:val="26"/>
        </w:rPr>
        <w:t xml:space="preserve">all </w:t>
      </w:r>
      <w:r w:rsidRPr="00F83048" w:rsidR="00F83048">
        <w:rPr>
          <w:szCs w:val="26"/>
        </w:rPr>
        <w:t>distributed energy resources from participating in the RTO/ISO markets through distributed energy resource aggregations</w:t>
      </w:r>
      <w:r w:rsidR="006B591B">
        <w:rPr>
          <w:szCs w:val="26"/>
        </w:rPr>
        <w:t xml:space="preserve">.  </w:t>
      </w:r>
      <w:r w:rsidRPr="00D53564" w:rsidR="006B591B">
        <w:rPr>
          <w:szCs w:val="26"/>
        </w:rPr>
        <w:t>The Commission has exclusive jurisdiction</w:t>
      </w:r>
      <w:r w:rsidR="006B591B">
        <w:rPr>
          <w:szCs w:val="26"/>
        </w:rPr>
        <w:t xml:space="preserve"> </w:t>
      </w:r>
      <w:r w:rsidRPr="00D53564" w:rsidR="006B591B">
        <w:rPr>
          <w:szCs w:val="26"/>
        </w:rPr>
        <w:t>over the wholesale markets and the criteria for participation in those markets, including</w:t>
      </w:r>
      <w:r w:rsidR="006B591B">
        <w:rPr>
          <w:szCs w:val="26"/>
        </w:rPr>
        <w:t xml:space="preserve"> </w:t>
      </w:r>
      <w:r w:rsidRPr="00D53564" w:rsidR="006B591B">
        <w:rPr>
          <w:szCs w:val="26"/>
        </w:rPr>
        <w:t>the wholesale market rules for participation of resources connected at or below</w:t>
      </w:r>
      <w:r w:rsidR="006B591B">
        <w:rPr>
          <w:szCs w:val="26"/>
        </w:rPr>
        <w:t xml:space="preserve"> </w:t>
      </w:r>
      <w:r w:rsidRPr="00D53564" w:rsidR="006B591B">
        <w:rPr>
          <w:szCs w:val="26"/>
        </w:rPr>
        <w:t>distribution-level voltages</w:t>
      </w:r>
      <w:r w:rsidR="006B591B">
        <w:rPr>
          <w:szCs w:val="26"/>
        </w:rPr>
        <w:t>.</w:t>
      </w:r>
      <w:r w:rsidR="006B591B">
        <w:rPr>
          <w:rStyle w:val="FootnoteReference"/>
          <w:szCs w:val="26"/>
        </w:rPr>
        <w:footnoteReference w:id="138"/>
      </w:r>
      <w:r w:rsidR="006B591B">
        <w:rPr>
          <w:szCs w:val="26"/>
        </w:rPr>
        <w:t xml:space="preserve">  </w:t>
      </w:r>
      <w:r w:rsidRPr="005C7470" w:rsidR="006B591B">
        <w:t xml:space="preserve">As the Commission previously </w:t>
      </w:r>
      <w:r w:rsidR="006B591B">
        <w:t>has found</w:t>
      </w:r>
      <w:r w:rsidRPr="005C7470" w:rsidR="006B591B">
        <w:t xml:space="preserve">, </w:t>
      </w:r>
      <w:bookmarkStart w:name="_Hlk42763873" w:id="23"/>
      <w:r w:rsidRPr="005C7470" w:rsidR="006B591B">
        <w:t>establishing the criteria for participation in RTO/ISO markets, including with respect to resources located on the distribution system or behind the meter, is essential to the Commission’s ability to fulfill its statutory responsibility to ensure that wholesale rates are just and reasonable</w:t>
      </w:r>
      <w:bookmarkEnd w:id="23"/>
      <w:r w:rsidRPr="005C7470" w:rsidR="006B591B">
        <w:t>.</w:t>
      </w:r>
      <w:r w:rsidR="006B591B">
        <w:rPr>
          <w:rStyle w:val="FootnoteReference"/>
        </w:rPr>
        <w:footnoteReference w:id="139"/>
      </w:r>
    </w:p>
    <w:p w:rsidRPr="004B6A2C" w:rsidR="004B6A2C" w:rsidP="00BF0CCB" w:rsidRDefault="00D725A5" w14:paraId="7761D58E" w14:textId="12F88F35">
      <w:pPr>
        <w:pStyle w:val="FERCparanumber"/>
        <w:rPr>
          <w:szCs w:val="26"/>
        </w:rPr>
      </w:pPr>
      <w:r>
        <w:t>T</w:t>
      </w:r>
      <w:r w:rsidRPr="0084374D">
        <w:t>h</w:t>
      </w:r>
      <w:r>
        <w:t xml:space="preserve">is </w:t>
      </w:r>
      <w:r w:rsidRPr="00D51270" w:rsidR="00D51270">
        <w:t>final rule</w:t>
      </w:r>
      <w:r w:rsidRPr="0084374D">
        <w:t xml:space="preserve"> </w:t>
      </w:r>
      <w:r w:rsidR="004D4A7E">
        <w:t>addresse</w:t>
      </w:r>
      <w:r w:rsidR="009A5BF3">
        <w:t>s</w:t>
      </w:r>
      <w:r w:rsidR="004D4A7E">
        <w:t xml:space="preserve"> rules for </w:t>
      </w:r>
      <w:r w:rsidR="009A5BF3">
        <w:t xml:space="preserve">participation </w:t>
      </w:r>
      <w:r w:rsidRPr="0084374D">
        <w:t xml:space="preserve">in </w:t>
      </w:r>
      <w:r>
        <w:t>RTO/ISO</w:t>
      </w:r>
      <w:r w:rsidRPr="0084374D">
        <w:t xml:space="preserve"> markets </w:t>
      </w:r>
      <w:r w:rsidR="003B7367">
        <w:t>by</w:t>
      </w:r>
      <w:r w:rsidRPr="0084374D">
        <w:t xml:space="preserve"> </w:t>
      </w:r>
      <w:r>
        <w:t>distributed energy resource</w:t>
      </w:r>
      <w:r w:rsidRPr="0084374D">
        <w:t xml:space="preserve"> aggregators.  </w:t>
      </w:r>
      <w:r w:rsidR="00FA007F">
        <w:t>L</w:t>
      </w:r>
      <w:r>
        <w:t>ike t</w:t>
      </w:r>
      <w:r w:rsidRPr="0084374D">
        <w:t>he Commission</w:t>
      </w:r>
      <w:r w:rsidR="00BB672D">
        <w:t>’s</w:t>
      </w:r>
      <w:r>
        <w:t xml:space="preserve"> rules governing</w:t>
      </w:r>
      <w:r w:rsidRPr="0084374D">
        <w:t xml:space="preserve"> demand response </w:t>
      </w:r>
      <w:r w:rsidR="006A0B8D">
        <w:t xml:space="preserve">and electric storage resource </w:t>
      </w:r>
      <w:r w:rsidRPr="0084374D">
        <w:t>participation in RTO/ISO markets, th</w:t>
      </w:r>
      <w:r>
        <w:t xml:space="preserve">is </w:t>
      </w:r>
      <w:r w:rsidRPr="00D51270" w:rsidR="00D51270">
        <w:t>final rule</w:t>
      </w:r>
      <w:r w:rsidRPr="0084374D">
        <w:t xml:space="preserve"> </w:t>
      </w:r>
      <w:r w:rsidRPr="00E2664E">
        <w:t>“addresses—and addresses only—transactions occurring on the wholesale market</w:t>
      </w:r>
      <w:r>
        <w:t>.</w:t>
      </w:r>
      <w:r w:rsidRPr="00E2664E">
        <w:t>”</w:t>
      </w:r>
      <w:r>
        <w:rPr>
          <w:rStyle w:val="FootnoteReference"/>
        </w:rPr>
        <w:footnoteReference w:id="140"/>
      </w:r>
      <w:r>
        <w:t xml:space="preserve"> </w:t>
      </w:r>
      <w:r w:rsidR="006B591B">
        <w:t xml:space="preserve"> Thus, </w:t>
      </w:r>
      <w:r w:rsidRPr="00CE7E0F" w:rsidR="006B591B">
        <w:t xml:space="preserve">we </w:t>
      </w:r>
      <w:r w:rsidR="006B591B">
        <w:t xml:space="preserve">continue to </w:t>
      </w:r>
      <w:r w:rsidRPr="00CE7E0F" w:rsidR="006B591B">
        <w:t>find that the FPA and relevant precedent does not legally compel the Commission to adopt a</w:t>
      </w:r>
      <w:r w:rsidR="006B591B">
        <w:t xml:space="preserve"> relevant electric retail regulatory authority</w:t>
      </w:r>
      <w:r w:rsidRPr="00CE7E0F" w:rsidR="006B591B">
        <w:t xml:space="preserve"> opt-out with respect to participation in RTO/ISO markets by </w:t>
      </w:r>
      <w:r w:rsidR="003111A0">
        <w:t xml:space="preserve">all </w:t>
      </w:r>
      <w:r w:rsidRPr="00CE7E0F" w:rsidR="006B591B">
        <w:t>resources interconnected on a distribution system or located</w:t>
      </w:r>
      <w:r w:rsidR="006B591B">
        <w:t xml:space="preserve"> behind a retail meter.</w:t>
      </w:r>
      <w:r w:rsidR="006B591B">
        <w:rPr>
          <w:rStyle w:val="FootnoteReference"/>
        </w:rPr>
        <w:footnoteReference w:id="141"/>
      </w:r>
      <w:r w:rsidR="006B591B">
        <w:t xml:space="preserve">  </w:t>
      </w:r>
      <w:bookmarkStart w:name="_Hlk42763919" w:id="24"/>
      <w:r w:rsidRPr="00A37133" w:rsidR="00A37133">
        <w:t>As the United States Court of Appeals for the District of Columbia Circuit</w:t>
      </w:r>
      <w:r w:rsidR="000E3D16">
        <w:t xml:space="preserve"> (D.C. Circuit)</w:t>
      </w:r>
      <w:r w:rsidRPr="00A37133" w:rsidR="00A37133">
        <w:t xml:space="preserve"> recently explained</w:t>
      </w:r>
      <w:r w:rsidR="00A37133">
        <w:t>,</w:t>
      </w:r>
      <w:r w:rsidR="005B0790">
        <w:t xml:space="preserve"> the Commission has jurisdiction to decide which entities may participate in wholesale markets,</w:t>
      </w:r>
      <w:r w:rsidRPr="0084374D" w:rsidR="005B0790">
        <w:t xml:space="preserve"> </w:t>
      </w:r>
      <w:r w:rsidRPr="006F4A5C" w:rsidR="006F4A5C">
        <w:t xml:space="preserve">which means that </w:t>
      </w:r>
      <w:r w:rsidR="005B0790">
        <w:t xml:space="preserve">a </w:t>
      </w:r>
      <w:r w:rsidRPr="009D12CB" w:rsidR="005B0790">
        <w:rPr>
          <w:szCs w:val="26"/>
        </w:rPr>
        <w:t>relevant electric retail regulatory authority</w:t>
      </w:r>
      <w:r w:rsidRPr="0084374D" w:rsidR="005B0790">
        <w:t xml:space="preserve"> cannot broadly prohibit </w:t>
      </w:r>
      <w:r w:rsidR="005B0790">
        <w:t xml:space="preserve">the </w:t>
      </w:r>
      <w:r w:rsidRPr="0084374D" w:rsidR="005B0790">
        <w:t>participation</w:t>
      </w:r>
      <w:r w:rsidR="005B0790">
        <w:t xml:space="preserve"> </w:t>
      </w:r>
      <w:r w:rsidR="009E6B50">
        <w:t xml:space="preserve">in RTO/ISO markets </w:t>
      </w:r>
      <w:r w:rsidR="005B0790">
        <w:t xml:space="preserve">of </w:t>
      </w:r>
      <w:r w:rsidR="009E6B50">
        <w:t xml:space="preserve">all </w:t>
      </w:r>
      <w:r w:rsidR="005B0790">
        <w:t>distributed energy resources</w:t>
      </w:r>
      <w:r w:rsidRPr="0084374D" w:rsidR="005B0790">
        <w:t xml:space="preserve"> </w:t>
      </w:r>
      <w:r w:rsidR="005B0790">
        <w:t xml:space="preserve">or </w:t>
      </w:r>
      <w:r w:rsidR="009E6B50">
        <w:t xml:space="preserve">of all </w:t>
      </w:r>
      <w:r w:rsidR="005B0790">
        <w:t>distributed energy resource aggregators</w:t>
      </w:r>
      <w:r w:rsidR="00A52AC7">
        <w:t xml:space="preserve"> </w:t>
      </w:r>
      <w:r w:rsidR="00F47956">
        <w:t xml:space="preserve">as </w:t>
      </w:r>
      <w:r w:rsidR="00AE4684">
        <w:t>doing so</w:t>
      </w:r>
      <w:r w:rsidR="00F47956">
        <w:t xml:space="preserve"> would</w:t>
      </w:r>
      <w:r w:rsidRPr="00A52AC7" w:rsidR="00A52AC7">
        <w:t xml:space="preserve"> interfere with the Commission's statutory obligation to ensure that wholesale electricity markets produce just and reasonable rates</w:t>
      </w:r>
      <w:r w:rsidR="005B0790">
        <w:t>.</w:t>
      </w:r>
      <w:r w:rsidR="005B0790">
        <w:rPr>
          <w:rStyle w:val="FootnoteReference"/>
        </w:rPr>
        <w:footnoteReference w:id="142"/>
      </w:r>
      <w:bookmarkEnd w:id="24"/>
    </w:p>
    <w:p w:rsidRPr="0077688D" w:rsidR="0077688D" w:rsidP="007E4818" w:rsidRDefault="00722626" w14:paraId="24A8758C" w14:textId="32EE4C4A">
      <w:pPr>
        <w:pStyle w:val="FERCparanumber"/>
        <w:rPr>
          <w:szCs w:val="26"/>
        </w:rPr>
      </w:pPr>
      <w:r>
        <w:t>A</w:t>
      </w:r>
      <w:r w:rsidR="006B591B">
        <w:t>s commenters point out,</w:t>
      </w:r>
      <w:r w:rsidRPr="009D12CB" w:rsidR="006B591B">
        <w:rPr>
          <w:rFonts w:cstheme="minorBidi"/>
        </w:rPr>
        <w:t xml:space="preserve"> </w:t>
      </w:r>
      <w:r w:rsidRPr="004B0759" w:rsidR="006B591B">
        <w:t xml:space="preserve">the Commission </w:t>
      </w:r>
      <w:r w:rsidR="00E733E9">
        <w:t>in Order No. 719</w:t>
      </w:r>
      <w:r w:rsidR="00BB672D">
        <w:t xml:space="preserve"> </w:t>
      </w:r>
      <w:r w:rsidRPr="004B0759" w:rsidR="006B591B">
        <w:t>granted</w:t>
      </w:r>
      <w:r w:rsidR="006B591B">
        <w:t xml:space="preserve"> </w:t>
      </w:r>
      <w:r w:rsidRPr="009D12CB" w:rsidR="006B591B">
        <w:rPr>
          <w:szCs w:val="26"/>
        </w:rPr>
        <w:t>relevant electric retail regulatory authorities</w:t>
      </w:r>
      <w:r w:rsidR="006B591B">
        <w:t xml:space="preserve"> </w:t>
      </w:r>
      <w:r w:rsidRPr="004B0759" w:rsidR="006B591B">
        <w:t>an opt-out from allowing r</w:t>
      </w:r>
      <w:r w:rsidR="00307E35">
        <w:t>etail customer</w:t>
      </w:r>
      <w:r w:rsidRPr="004B0759" w:rsidR="006B591B">
        <w:t xml:space="preserve">s to participate </w:t>
      </w:r>
      <w:r w:rsidR="00BB672D">
        <w:t xml:space="preserve">directly </w:t>
      </w:r>
      <w:r w:rsidR="00307E35">
        <w:t>in</w:t>
      </w:r>
      <w:r w:rsidRPr="004B0759" w:rsidR="006B591B">
        <w:t xml:space="preserve"> wholesale </w:t>
      </w:r>
      <w:r w:rsidR="00BB672D">
        <w:t xml:space="preserve">markets through aggregations of </w:t>
      </w:r>
      <w:r w:rsidRPr="004B0759" w:rsidR="006B591B">
        <w:t>demand response</w:t>
      </w:r>
      <w:r w:rsidR="00B2632A">
        <w:t xml:space="preserve"> </w:t>
      </w:r>
      <w:r w:rsidR="00BB672D">
        <w:t>resources</w:t>
      </w:r>
      <w:r>
        <w:t>.</w:t>
      </w:r>
      <w:r w:rsidR="006B591B">
        <w:rPr>
          <w:rStyle w:val="FootnoteReference"/>
        </w:rPr>
        <w:footnoteReference w:id="143"/>
      </w:r>
      <w:r w:rsidRPr="004B0759" w:rsidR="006B591B">
        <w:t xml:space="preserve"> </w:t>
      </w:r>
      <w:r w:rsidR="00BB672D">
        <w:t xml:space="preserve"> </w:t>
      </w:r>
      <w:r>
        <w:t xml:space="preserve">As </w:t>
      </w:r>
      <w:r w:rsidR="00E95D0C">
        <w:t>noted</w:t>
      </w:r>
      <w:r>
        <w:t xml:space="preserve"> above,</w:t>
      </w:r>
      <w:r w:rsidRPr="004B0759" w:rsidR="006B591B">
        <w:t xml:space="preserve"> the Commission was not obligated to </w:t>
      </w:r>
      <w:r w:rsidR="00E733E9">
        <w:t>provide such an opt-out</w:t>
      </w:r>
      <w:r w:rsidR="004A1C77">
        <w:t>,</w:t>
      </w:r>
      <w:r w:rsidR="008B0B92">
        <w:t xml:space="preserve"> but rather did so as an exercise of </w:t>
      </w:r>
      <w:r w:rsidR="009F4903">
        <w:t>its discretion</w:t>
      </w:r>
      <w:r w:rsidRPr="004B0759" w:rsidR="006B591B">
        <w:t>.</w:t>
      </w:r>
      <w:r w:rsidRPr="004B0759" w:rsidR="006B591B">
        <w:rPr>
          <w:b/>
          <w:vertAlign w:val="superscript"/>
        </w:rPr>
        <w:footnoteReference w:id="144"/>
      </w:r>
      <w:r w:rsidRPr="004B0759" w:rsidR="006B591B">
        <w:t xml:space="preserve">  </w:t>
      </w:r>
      <w:r w:rsidR="007058AF">
        <w:t>Consistent with that previous exercise of the Commission’s discretion</w:t>
      </w:r>
      <w:r w:rsidR="006B591B">
        <w:t xml:space="preserve">, we </w:t>
      </w:r>
      <w:r w:rsidRPr="00040D1C" w:rsidR="006B591B">
        <w:t>clarify</w:t>
      </w:r>
      <w:r w:rsidR="006B591B">
        <w:t xml:space="preserve"> </w:t>
      </w:r>
      <w:r w:rsidRPr="00040D1C" w:rsidR="006B591B">
        <w:t>that th</w:t>
      </w:r>
      <w:r w:rsidR="006B591B">
        <w:t xml:space="preserve">is </w:t>
      </w:r>
      <w:r w:rsidRPr="00D51270" w:rsidR="00D51270">
        <w:t>final rule</w:t>
      </w:r>
      <w:r w:rsidRPr="00040D1C" w:rsidR="006B591B">
        <w:t xml:space="preserve"> </w:t>
      </w:r>
      <w:r w:rsidR="006B591B">
        <w:t>does</w:t>
      </w:r>
      <w:r w:rsidRPr="00040D1C" w:rsidR="006B591B">
        <w:t xml:space="preserve"> not affect the ability of </w:t>
      </w:r>
      <w:r w:rsidRPr="009D12CB" w:rsidR="006B591B">
        <w:rPr>
          <w:szCs w:val="26"/>
        </w:rPr>
        <w:t>relevant electric retail regulatory authoritie</w:t>
      </w:r>
      <w:r w:rsidRPr="00040D1C" w:rsidR="006B591B">
        <w:t xml:space="preserve">s to prohibit </w:t>
      </w:r>
      <w:r w:rsidR="006B591B">
        <w:t>retail customers</w:t>
      </w:r>
      <w:r w:rsidR="00246FAF">
        <w:t>’</w:t>
      </w:r>
      <w:r w:rsidR="006B591B">
        <w:t xml:space="preserve"> demand response </w:t>
      </w:r>
      <w:r w:rsidR="00246FAF">
        <w:t xml:space="preserve">from being bid into </w:t>
      </w:r>
      <w:r w:rsidRPr="00040D1C" w:rsidR="006B591B">
        <w:t>RTO/ISO markets</w:t>
      </w:r>
      <w:r w:rsidR="00246FAF">
        <w:t xml:space="preserve"> by aggregators</w:t>
      </w:r>
      <w:r w:rsidRPr="00040D1C" w:rsidR="006B591B">
        <w:t>.</w:t>
      </w:r>
      <w:r w:rsidRPr="00040D1C" w:rsidR="006B591B">
        <w:rPr>
          <w:b/>
          <w:vertAlign w:val="superscript"/>
        </w:rPr>
        <w:footnoteReference w:id="145"/>
      </w:r>
      <w:r w:rsidR="0077688D">
        <w:t xml:space="preserve">  </w:t>
      </w:r>
    </w:p>
    <w:p w:rsidRPr="007E4818" w:rsidR="006B591B" w:rsidP="007E4818" w:rsidRDefault="005F6E63" w14:paraId="7EB40D9F" w14:textId="4EA8F245">
      <w:pPr>
        <w:pStyle w:val="FERCparanumber"/>
        <w:rPr>
          <w:szCs w:val="26"/>
        </w:rPr>
      </w:pPr>
      <w:r>
        <w:t>However</w:t>
      </w:r>
      <w:r w:rsidR="00083ADF">
        <w:t xml:space="preserve">, </w:t>
      </w:r>
      <w:r w:rsidR="003F3534">
        <w:t>u</w:t>
      </w:r>
      <w:r w:rsidR="0096054D">
        <w:t xml:space="preserve">nlike aggregators of </w:t>
      </w:r>
      <w:r w:rsidRPr="00FB5283" w:rsidR="00FB5283">
        <w:t>demand response</w:t>
      </w:r>
      <w:r w:rsidR="0096054D">
        <w:t>, distributed energy resource aggregators</w:t>
      </w:r>
      <w:r w:rsidRPr="00FB5283" w:rsidR="00FB5283">
        <w:t xml:space="preserve"> are capable of engaging in sales for resale of electricity and those </w:t>
      </w:r>
      <w:r w:rsidR="00F77342">
        <w:t>distributed energy resource aggregators</w:t>
      </w:r>
      <w:r w:rsidRPr="00FB5283" w:rsidR="00FB5283">
        <w:t xml:space="preserve"> making </w:t>
      </w:r>
      <w:r w:rsidR="008279AB">
        <w:t>such</w:t>
      </w:r>
      <w:r w:rsidRPr="00FB5283" w:rsidR="00FB5283">
        <w:t xml:space="preserve"> sales in the RTO/ISO markets are public utilities subject to the Commission’s jurisdiction.</w:t>
      </w:r>
      <w:r w:rsidR="00140547">
        <w:rPr>
          <w:rStyle w:val="FootnoteReference"/>
        </w:rPr>
        <w:footnoteReference w:id="146"/>
      </w:r>
      <w:r w:rsidR="003F3534">
        <w:t xml:space="preserve">  </w:t>
      </w:r>
      <w:r w:rsidRPr="007E4818" w:rsidR="0077688D">
        <w:rPr>
          <w:szCs w:val="26"/>
        </w:rPr>
        <w:t xml:space="preserve">We recognize </w:t>
      </w:r>
      <w:r w:rsidRPr="00D522E2" w:rsidR="0077688D">
        <w:rPr>
          <w:szCs w:val="26"/>
        </w:rPr>
        <w:t>that the participation of distributed energy resource aggregators in RTO/ISO markets necessarily has effects on the distribution system,</w:t>
      </w:r>
      <w:r w:rsidR="0077688D">
        <w:rPr>
          <w:rStyle w:val="FootnoteReference"/>
          <w:szCs w:val="26"/>
        </w:rPr>
        <w:footnoteReference w:id="147"/>
      </w:r>
      <w:r w:rsidRPr="007E4818" w:rsidR="0077688D">
        <w:rPr>
          <w:szCs w:val="26"/>
        </w:rPr>
        <w:t xml:space="preserve"> and</w:t>
      </w:r>
      <w:r w:rsidR="00370563">
        <w:rPr>
          <w:szCs w:val="26"/>
        </w:rPr>
        <w:t>,</w:t>
      </w:r>
      <w:r w:rsidRPr="007E4818" w:rsidR="0077688D">
        <w:rPr>
          <w:szCs w:val="26"/>
        </w:rPr>
        <w:t xml:space="preserve"> as in Order No. 841,</w:t>
      </w:r>
      <w:r w:rsidRPr="00D522E2" w:rsidR="0077688D">
        <w:rPr>
          <w:szCs w:val="26"/>
        </w:rPr>
        <w:t xml:space="preserve"> we have considered those effects in evaluating whether to exercise our discretion to grant an opt-out.  </w:t>
      </w:r>
      <w:bookmarkStart w:name="_Hlk48034616" w:id="25"/>
      <w:r w:rsidR="00F8667D">
        <w:rPr>
          <w:szCs w:val="26"/>
        </w:rPr>
        <w:t>Upon such consideration</w:t>
      </w:r>
      <w:r w:rsidRPr="0077688D" w:rsidR="00887C6E">
        <w:rPr>
          <w:szCs w:val="26"/>
        </w:rPr>
        <w:t xml:space="preserve">, we find that </w:t>
      </w:r>
      <w:bookmarkStart w:name="_Hlk46736739" w:id="26"/>
      <w:r w:rsidRPr="0077688D" w:rsidR="00887C6E">
        <w:rPr>
          <w:szCs w:val="26"/>
        </w:rPr>
        <w:t xml:space="preserve">the benefits of allowing distributed energy resource </w:t>
      </w:r>
      <w:r w:rsidR="0077688D">
        <w:rPr>
          <w:szCs w:val="26"/>
        </w:rPr>
        <w:t xml:space="preserve">aggregators broader </w:t>
      </w:r>
      <w:r w:rsidRPr="0077688D" w:rsidR="00887C6E">
        <w:rPr>
          <w:szCs w:val="26"/>
        </w:rPr>
        <w:t>access</w:t>
      </w:r>
      <w:r w:rsidR="0077688D">
        <w:rPr>
          <w:szCs w:val="26"/>
        </w:rPr>
        <w:t xml:space="preserve"> to</w:t>
      </w:r>
      <w:r w:rsidRPr="0077688D" w:rsidR="00887C6E">
        <w:rPr>
          <w:szCs w:val="26"/>
        </w:rPr>
        <w:t xml:space="preserve"> the wholesale market outweigh </w:t>
      </w:r>
      <w:r w:rsidR="00AC79A4">
        <w:rPr>
          <w:szCs w:val="26"/>
        </w:rPr>
        <w:t>the</w:t>
      </w:r>
      <w:r w:rsidRPr="0077688D" w:rsidR="00887C6E">
        <w:rPr>
          <w:szCs w:val="26"/>
        </w:rPr>
        <w:t xml:space="preserve"> policy considerations in favor of an opt-out</w:t>
      </w:r>
      <w:bookmarkEnd w:id="26"/>
      <w:r w:rsidRPr="0077688D" w:rsidR="00887C6E">
        <w:rPr>
          <w:szCs w:val="26"/>
        </w:rPr>
        <w:t xml:space="preserve">.  </w:t>
      </w:r>
      <w:bookmarkEnd w:id="25"/>
      <w:r w:rsidR="00AA1FDF">
        <w:rPr>
          <w:szCs w:val="26"/>
        </w:rPr>
        <w:t>Specifically, w</w:t>
      </w:r>
      <w:r w:rsidRPr="0077688D" w:rsidR="00887C6E">
        <w:rPr>
          <w:szCs w:val="26"/>
        </w:rPr>
        <w:t xml:space="preserve">e find that the </w:t>
      </w:r>
      <w:bookmarkStart w:name="_Hlk46737127" w:id="27"/>
      <w:r w:rsidR="0077688D">
        <w:rPr>
          <w:szCs w:val="26"/>
        </w:rPr>
        <w:t xml:space="preserve">reliability, transparency, and market-related </w:t>
      </w:r>
      <w:r w:rsidRPr="0077688D" w:rsidR="00887C6E">
        <w:rPr>
          <w:szCs w:val="26"/>
        </w:rPr>
        <w:t xml:space="preserve">benefits of removing barriers to the participation of </w:t>
      </w:r>
      <w:r w:rsidRPr="0077688D" w:rsidR="007D54D1">
        <w:rPr>
          <w:szCs w:val="26"/>
        </w:rPr>
        <w:t>distributed energy resource aggregators</w:t>
      </w:r>
      <w:r w:rsidRPr="0077688D" w:rsidR="00887C6E">
        <w:rPr>
          <w:szCs w:val="26"/>
        </w:rPr>
        <w:t xml:space="preserve"> in RTO/ISO markets </w:t>
      </w:r>
      <w:bookmarkEnd w:id="27"/>
      <w:r w:rsidRPr="0077688D" w:rsidR="00887C6E">
        <w:rPr>
          <w:szCs w:val="26"/>
        </w:rPr>
        <w:t>are significant</w:t>
      </w:r>
      <w:r w:rsidR="00177B9C">
        <w:rPr>
          <w:szCs w:val="26"/>
        </w:rPr>
        <w:t xml:space="preserve">. </w:t>
      </w:r>
      <w:r w:rsidRPr="0077688D" w:rsidR="00887C6E">
        <w:rPr>
          <w:szCs w:val="26"/>
        </w:rPr>
        <w:t xml:space="preserve"> </w:t>
      </w:r>
      <w:r w:rsidR="00177B9C">
        <w:rPr>
          <w:szCs w:val="26"/>
        </w:rPr>
        <w:t>C</w:t>
      </w:r>
      <w:r w:rsidRPr="0077688D" w:rsidR="007D54D1">
        <w:rPr>
          <w:szCs w:val="26"/>
        </w:rPr>
        <w:t>onsidering</w:t>
      </w:r>
      <w:r w:rsidRPr="0077688D" w:rsidR="00887C6E">
        <w:rPr>
          <w:szCs w:val="26"/>
        </w:rPr>
        <w:t xml:space="preserve"> those benefits,</w:t>
      </w:r>
      <w:r w:rsidR="00F80FBE">
        <w:rPr>
          <w:rStyle w:val="FootnoteReference"/>
          <w:szCs w:val="26"/>
        </w:rPr>
        <w:footnoteReference w:id="148"/>
      </w:r>
      <w:r w:rsidRPr="0077688D" w:rsidR="00887C6E">
        <w:rPr>
          <w:szCs w:val="26"/>
        </w:rPr>
        <w:t xml:space="preserve"> we are not persuaded </w:t>
      </w:r>
      <w:r w:rsidR="00537EA3">
        <w:rPr>
          <w:szCs w:val="26"/>
        </w:rPr>
        <w:t xml:space="preserve">that </w:t>
      </w:r>
      <w:r w:rsidRPr="000921F6" w:rsidR="000921F6">
        <w:rPr>
          <w:szCs w:val="26"/>
        </w:rPr>
        <w:t>concerns about</w:t>
      </w:r>
      <w:r w:rsidR="00110CB6">
        <w:rPr>
          <w:szCs w:val="26"/>
        </w:rPr>
        <w:t xml:space="preserve"> potential</w:t>
      </w:r>
      <w:r w:rsidRPr="000921F6" w:rsidR="000921F6">
        <w:rPr>
          <w:szCs w:val="26"/>
        </w:rPr>
        <w:t xml:space="preserve"> effects on the distribution system </w:t>
      </w:r>
      <w:r w:rsidR="00537EA3">
        <w:rPr>
          <w:szCs w:val="26"/>
        </w:rPr>
        <w:t>justify</w:t>
      </w:r>
      <w:r w:rsidRPr="0077688D" w:rsidR="00887C6E">
        <w:rPr>
          <w:szCs w:val="26"/>
        </w:rPr>
        <w:t xml:space="preserve"> adopt</w:t>
      </w:r>
      <w:r w:rsidR="00537EA3">
        <w:rPr>
          <w:szCs w:val="26"/>
        </w:rPr>
        <w:t>ing</w:t>
      </w:r>
      <w:r w:rsidRPr="0077688D" w:rsidR="00887C6E">
        <w:rPr>
          <w:szCs w:val="26"/>
        </w:rPr>
        <w:t xml:space="preserve"> an opt-out that could </w:t>
      </w:r>
      <w:r w:rsidR="00DA1EDB">
        <w:rPr>
          <w:szCs w:val="26"/>
        </w:rPr>
        <w:t xml:space="preserve">substantially </w:t>
      </w:r>
      <w:r w:rsidRPr="0077688D" w:rsidR="00887C6E">
        <w:rPr>
          <w:szCs w:val="26"/>
        </w:rPr>
        <w:t>limit that participation.</w:t>
      </w:r>
      <w:r w:rsidRPr="006F4A5C" w:rsidR="006F4A5C">
        <w:rPr>
          <w:b/>
          <w:szCs w:val="26"/>
          <w:vertAlign w:val="superscript"/>
        </w:rPr>
        <w:footnoteReference w:id="149"/>
      </w:r>
      <w:r w:rsidRPr="0077688D" w:rsidR="007D54D1">
        <w:rPr>
          <w:szCs w:val="26"/>
        </w:rPr>
        <w:t xml:space="preserve">  A</w:t>
      </w:r>
      <w:r w:rsidRPr="0077688D" w:rsidR="00887C6E">
        <w:rPr>
          <w:szCs w:val="26"/>
        </w:rPr>
        <w:t xml:space="preserve">s discussed </w:t>
      </w:r>
      <w:r w:rsidRPr="0077688D" w:rsidR="007D54D1">
        <w:rPr>
          <w:szCs w:val="26"/>
        </w:rPr>
        <w:t>below</w:t>
      </w:r>
      <w:r w:rsidRPr="0077688D" w:rsidR="00887C6E">
        <w:rPr>
          <w:szCs w:val="26"/>
        </w:rPr>
        <w:t xml:space="preserve">, there are several ways that </w:t>
      </w:r>
      <w:r w:rsidRPr="0077688D" w:rsidR="007D54D1">
        <w:rPr>
          <w:szCs w:val="26"/>
        </w:rPr>
        <w:t>relevant electric retail regulatory authoritie</w:t>
      </w:r>
      <w:r w:rsidRPr="0077688D" w:rsidR="00887C6E">
        <w:rPr>
          <w:szCs w:val="26"/>
        </w:rPr>
        <w:t xml:space="preserve">s may address any </w:t>
      </w:r>
      <w:r w:rsidR="00537EA3">
        <w:rPr>
          <w:szCs w:val="26"/>
        </w:rPr>
        <w:t xml:space="preserve">such concerns </w:t>
      </w:r>
      <w:r w:rsidRPr="0077688D" w:rsidR="00887C6E">
        <w:rPr>
          <w:szCs w:val="26"/>
        </w:rPr>
        <w:t>without broadly prohibiting the participation of distribut</w:t>
      </w:r>
      <w:r w:rsidRPr="0077688D" w:rsidR="007D54D1">
        <w:rPr>
          <w:szCs w:val="26"/>
        </w:rPr>
        <w:t>ed energy</w:t>
      </w:r>
      <w:r w:rsidRPr="0077688D" w:rsidR="00887C6E">
        <w:rPr>
          <w:szCs w:val="26"/>
        </w:rPr>
        <w:t xml:space="preserve"> resource</w:t>
      </w:r>
      <w:r w:rsidR="005E2A33">
        <w:rPr>
          <w:szCs w:val="26"/>
        </w:rPr>
        <w:t>s or distributed energy resource</w:t>
      </w:r>
      <w:r w:rsidRPr="0077688D" w:rsidR="007D54D1">
        <w:rPr>
          <w:szCs w:val="26"/>
        </w:rPr>
        <w:t xml:space="preserve"> aggregat</w:t>
      </w:r>
      <w:r w:rsidR="004C1DCE">
        <w:rPr>
          <w:szCs w:val="26"/>
        </w:rPr>
        <w:t xml:space="preserve">ors </w:t>
      </w:r>
      <w:r w:rsidRPr="0077688D" w:rsidR="00887C6E">
        <w:rPr>
          <w:szCs w:val="26"/>
        </w:rPr>
        <w:t>in RTO/ISO markets.</w:t>
      </w:r>
      <w:r w:rsidRPr="0077688D" w:rsidR="007D54D1">
        <w:rPr>
          <w:szCs w:val="26"/>
        </w:rPr>
        <w:t xml:space="preserve">  </w:t>
      </w:r>
      <w:r w:rsidR="003F3534">
        <w:t xml:space="preserve">Therefore, we do not find it appropriate </w:t>
      </w:r>
      <w:r w:rsidR="007F38BE">
        <w:t>and</w:t>
      </w:r>
      <w:r w:rsidR="003F3534">
        <w:t xml:space="preserve"> </w:t>
      </w:r>
      <w:r w:rsidR="007F38BE">
        <w:t xml:space="preserve">thus decline to </w:t>
      </w:r>
      <w:r w:rsidR="003F3534">
        <w:t xml:space="preserve">exercise discretion to adopt a broad opt-out with respect to distributed energy resource aggregations in this </w:t>
      </w:r>
      <w:r w:rsidRPr="00D51270" w:rsidR="00D51270">
        <w:t>final rule</w:t>
      </w:r>
      <w:r w:rsidR="003F3534">
        <w:t xml:space="preserve">.  </w:t>
      </w:r>
    </w:p>
    <w:p w:rsidR="001A7A8B" w:rsidP="00216489" w:rsidRDefault="006B591B" w14:paraId="51F4ED02" w14:textId="1848E34B">
      <w:pPr>
        <w:pStyle w:val="FERCparanumber"/>
      </w:pPr>
      <w:r w:rsidRPr="0084374D">
        <w:t xml:space="preserve"> </w:t>
      </w:r>
      <w:r w:rsidR="00C27932">
        <w:t>We</w:t>
      </w:r>
      <w:r w:rsidR="00C9314E">
        <w:t xml:space="preserve"> continue to recognize the important role </w:t>
      </w:r>
      <w:r w:rsidR="0084099D">
        <w:t xml:space="preserve">that state and local authorities play with respect to distributed energy resources and their potential aggregation.  </w:t>
      </w:r>
      <w:r w:rsidRPr="00AF5255" w:rsidR="00AF5255">
        <w:t>This final rule does not curtail that authority.  As in Order No. 841, the</w:t>
      </w:r>
      <w:r w:rsidRPr="0084374D">
        <w:t xml:space="preserve"> reforms </w:t>
      </w:r>
      <w:r w:rsidR="0084099D">
        <w:t>adopted in th</w:t>
      </w:r>
      <w:r w:rsidR="00772115">
        <w:t>is</w:t>
      </w:r>
      <w:r w:rsidR="0084099D">
        <w:t xml:space="preserve"> </w:t>
      </w:r>
      <w:r w:rsidRPr="00D51270" w:rsidR="00D51270">
        <w:t>final rule</w:t>
      </w:r>
      <w:r w:rsidRPr="0084374D" w:rsidR="0084099D">
        <w:t xml:space="preserve"> </w:t>
      </w:r>
      <w:r w:rsidRPr="0084374D">
        <w:t xml:space="preserve">do not preclude or limit </w:t>
      </w:r>
      <w:r>
        <w:t>state or local</w:t>
      </w:r>
      <w:r w:rsidRPr="0084374D">
        <w:t xml:space="preserve"> regulation of</w:t>
      </w:r>
      <w:r w:rsidR="00804DFD">
        <w:t>:</w:t>
      </w:r>
      <w:r w:rsidRPr="0084374D">
        <w:t xml:space="preserve">  </w:t>
      </w:r>
      <w:r w:rsidR="00220C81">
        <w:t>retail rates</w:t>
      </w:r>
      <w:r w:rsidR="00782D3C">
        <w:t>;</w:t>
      </w:r>
      <w:r w:rsidR="00220C81">
        <w:t xml:space="preserve"> </w:t>
      </w:r>
      <w:r w:rsidRPr="0084374D">
        <w:t>distribution system planning</w:t>
      </w:r>
      <w:r w:rsidR="00D5701D">
        <w:t>,</w:t>
      </w:r>
      <w:r w:rsidRPr="0084374D">
        <w:t xml:space="preserve"> </w:t>
      </w:r>
      <w:r w:rsidR="00736F8F">
        <w:t xml:space="preserve">distribution system </w:t>
      </w:r>
      <w:r w:rsidRPr="0084374D">
        <w:t>operations</w:t>
      </w:r>
      <w:r w:rsidR="00B0694A">
        <w:t>,</w:t>
      </w:r>
      <w:r w:rsidRPr="0084374D">
        <w:t xml:space="preserve"> </w:t>
      </w:r>
      <w:r w:rsidR="00D5701D">
        <w:t>or</w:t>
      </w:r>
      <w:r w:rsidRPr="0084374D">
        <w:t xml:space="preserve"> </w:t>
      </w:r>
      <w:r w:rsidR="00736F8F">
        <w:t xml:space="preserve">distribution system </w:t>
      </w:r>
      <w:r w:rsidRPr="0084374D">
        <w:t>reliability</w:t>
      </w:r>
      <w:r w:rsidR="00D5701D">
        <w:t>;</w:t>
      </w:r>
      <w:r w:rsidRPr="0084374D">
        <w:t xml:space="preserve"> </w:t>
      </w:r>
      <w:r>
        <w:t>distributed energy resource</w:t>
      </w:r>
      <w:r w:rsidRPr="0084374D">
        <w:t xml:space="preserve"> facility siting</w:t>
      </w:r>
      <w:r w:rsidR="00D5701D">
        <w:t>;</w:t>
      </w:r>
      <w:r w:rsidRPr="0084374D">
        <w:t xml:space="preserve"> and interconnection</w:t>
      </w:r>
      <w:r w:rsidR="00D5701D">
        <w:t xml:space="preserve"> of resources </w:t>
      </w:r>
      <w:r w:rsidR="00F31EF8">
        <w:t>to</w:t>
      </w:r>
      <w:r w:rsidR="00D5701D">
        <w:t xml:space="preserve"> the </w:t>
      </w:r>
      <w:r w:rsidRPr="00783EAF" w:rsidR="00D5701D">
        <w:t xml:space="preserve">distribution system that are not subject </w:t>
      </w:r>
      <w:r w:rsidRPr="00783EAF" w:rsidR="007E7AE1">
        <w:t xml:space="preserve">to </w:t>
      </w:r>
      <w:r w:rsidRPr="00783EAF" w:rsidR="00D5701D">
        <w:t>Commission jurisdiction, as discussed further</w:t>
      </w:r>
      <w:r w:rsidR="00D5701D">
        <w:t xml:space="preserve"> below</w:t>
      </w:r>
      <w:r w:rsidRPr="0084374D">
        <w:t>.</w:t>
      </w:r>
      <w:r w:rsidRPr="00AF5255" w:rsidR="00AF5255">
        <w:rPr>
          <w:b/>
          <w:vertAlign w:val="superscript"/>
        </w:rPr>
        <w:footnoteReference w:id="150"/>
      </w:r>
      <w:r w:rsidRPr="0084374D" w:rsidDel="00AE09DE">
        <w:t xml:space="preserve"> </w:t>
      </w:r>
      <w:r w:rsidR="00713A43">
        <w:t xml:space="preserve"> In addition</w:t>
      </w:r>
      <w:r w:rsidRPr="00AE116C" w:rsidR="00AE116C">
        <w:t>,</w:t>
      </w:r>
      <w:r w:rsidRPr="00AE116C" w:rsidDel="00AE09DE" w:rsidR="00AE116C">
        <w:t xml:space="preserve"> </w:t>
      </w:r>
      <w:r w:rsidRPr="00AE116C" w:rsidR="00AE116C">
        <w:t>and again as recognized in Order No. 841</w:t>
      </w:r>
      <w:r w:rsidR="00713A43">
        <w:t>,</w:t>
      </w:r>
      <w:r w:rsidRPr="0084374D" w:rsidDel="00AE09DE">
        <w:t xml:space="preserve"> </w:t>
      </w:r>
      <w:r>
        <w:t>under a relevant electric retail regulatory authority’s jurisdiction over its retail programs, such a regulatory authority</w:t>
      </w:r>
      <w:r w:rsidRPr="0084374D">
        <w:t xml:space="preserve"> </w:t>
      </w:r>
      <w:r>
        <w:t>is able</w:t>
      </w:r>
      <w:r w:rsidRPr="0084374D">
        <w:t xml:space="preserve"> to condition a </w:t>
      </w:r>
      <w:r>
        <w:t>distributed energy resource</w:t>
      </w:r>
      <w:r w:rsidRPr="0084374D">
        <w:t xml:space="preserve">’s participation </w:t>
      </w:r>
      <w:r w:rsidRPr="00216489">
        <w:rPr>
          <w:iCs/>
        </w:rPr>
        <w:t>in a retail distributed energy resource program</w:t>
      </w:r>
      <w:r w:rsidRPr="0084374D">
        <w:t xml:space="preserve"> on th</w:t>
      </w:r>
      <w:r>
        <w:t>at resource</w:t>
      </w:r>
      <w:r w:rsidRPr="0084374D">
        <w:t xml:space="preserve"> not also participating in the RTO/ISO markets.</w:t>
      </w:r>
      <w:r>
        <w:rPr>
          <w:rStyle w:val="FootnoteReference"/>
        </w:rPr>
        <w:footnoteReference w:id="151"/>
      </w:r>
      <w:r w:rsidRPr="0084374D">
        <w:t xml:space="preserve">  This </w:t>
      </w:r>
      <w:r>
        <w:t>sh</w:t>
      </w:r>
      <w:r w:rsidRPr="0084374D">
        <w:t>ould a</w:t>
      </w:r>
      <w:r w:rsidRPr="00216489">
        <w:rPr>
          <w:szCs w:val="26"/>
        </w:rPr>
        <w:t>llow a retail regulatory authorit</w:t>
      </w:r>
      <w:r>
        <w:t>y</w:t>
      </w:r>
      <w:r w:rsidRPr="0084374D">
        <w:t xml:space="preserve"> </w:t>
      </w:r>
      <w:r>
        <w:t xml:space="preserve">to address </w:t>
      </w:r>
      <w:r w:rsidR="00F15D46">
        <w:t xml:space="preserve">any </w:t>
      </w:r>
      <w:r w:rsidR="00983A43">
        <w:t xml:space="preserve">specific </w:t>
      </w:r>
      <w:r>
        <w:t>concerns</w:t>
      </w:r>
      <w:r w:rsidRPr="0084374D">
        <w:t xml:space="preserve">.  </w:t>
      </w:r>
    </w:p>
    <w:p w:rsidRPr="00596D7B" w:rsidR="006B591B" w:rsidP="00216489" w:rsidRDefault="006B591B" w14:paraId="0B688B12" w14:textId="3D68E019">
      <w:pPr>
        <w:pStyle w:val="FERCparanumber"/>
      </w:pPr>
      <w:r w:rsidRPr="00216489">
        <w:rPr>
          <w:szCs w:val="26"/>
        </w:rPr>
        <w:t xml:space="preserve">As to </w:t>
      </w:r>
      <w:r w:rsidRPr="00A0626A">
        <w:rPr>
          <w:szCs w:val="26"/>
        </w:rPr>
        <w:t>commenters’ concerns regarding cost impacts on the distribution system, we note that</w:t>
      </w:r>
      <w:r w:rsidRPr="00216489" w:rsidR="005663A2">
        <w:rPr>
          <w:szCs w:val="26"/>
        </w:rPr>
        <w:t>,</w:t>
      </w:r>
      <w:r w:rsidRPr="00216489">
        <w:rPr>
          <w:szCs w:val="26"/>
        </w:rPr>
        <w:t xml:space="preserve"> in Order No. 841, </w:t>
      </w:r>
      <w:r w:rsidR="00DF0269">
        <w:rPr>
          <w:szCs w:val="26"/>
        </w:rPr>
        <w:t>w</w:t>
      </w:r>
      <w:r w:rsidRPr="00DF0269" w:rsidR="00DF0269">
        <w:rPr>
          <w:szCs w:val="26"/>
        </w:rPr>
        <w:t>ith respect to concerns about electric storage resources' use of the distribution system</w:t>
      </w:r>
      <w:r w:rsidR="00DF0269">
        <w:rPr>
          <w:szCs w:val="26"/>
        </w:rPr>
        <w:t xml:space="preserve">, </w:t>
      </w:r>
      <w:r w:rsidRPr="00216489">
        <w:rPr>
          <w:szCs w:val="26"/>
        </w:rPr>
        <w:t xml:space="preserve">the Commission </w:t>
      </w:r>
      <w:r w:rsidR="00F00722">
        <w:rPr>
          <w:szCs w:val="26"/>
        </w:rPr>
        <w:t>observed</w:t>
      </w:r>
      <w:r w:rsidRPr="00D56AAE" w:rsidR="00D56AAE">
        <w:rPr>
          <w:szCs w:val="26"/>
        </w:rPr>
        <w:t xml:space="preserve"> that, in </w:t>
      </w:r>
      <w:r w:rsidRPr="00D56AAE" w:rsidR="00D56AAE">
        <w:rPr>
          <w:i/>
          <w:iCs/>
          <w:szCs w:val="26"/>
        </w:rPr>
        <w:t>PJM Interconnection L.L.C.</w:t>
      </w:r>
      <w:r w:rsidRPr="00D56AAE" w:rsidR="00D56AAE">
        <w:rPr>
          <w:szCs w:val="26"/>
        </w:rPr>
        <w:t>, the Commission permitted a distribution utility to assess a wholesale distribution charge to an electric storage resource participating in the PJM markets</w:t>
      </w:r>
      <w:r w:rsidR="00DF0269">
        <w:rPr>
          <w:szCs w:val="26"/>
        </w:rPr>
        <w:t>.  C</w:t>
      </w:r>
      <w:r w:rsidRPr="00D56AAE" w:rsidR="00D56AAE">
        <w:rPr>
          <w:szCs w:val="26"/>
        </w:rPr>
        <w:t>onsistent with th</w:t>
      </w:r>
      <w:r w:rsidR="004001A1">
        <w:rPr>
          <w:szCs w:val="26"/>
        </w:rPr>
        <w:t>is</w:t>
      </w:r>
      <w:r w:rsidRPr="00D56AAE" w:rsidR="00D56AAE">
        <w:rPr>
          <w:szCs w:val="26"/>
        </w:rPr>
        <w:t xml:space="preserve"> precedent, </w:t>
      </w:r>
      <w:r w:rsidR="00DF0269">
        <w:rPr>
          <w:szCs w:val="26"/>
        </w:rPr>
        <w:t xml:space="preserve">the Commission </w:t>
      </w:r>
      <w:r w:rsidRPr="00216489">
        <w:rPr>
          <w:szCs w:val="26"/>
        </w:rPr>
        <w:t>found that it may be appropriate, on a case-by-case basis, for distribution utilities to assess a charge on electric storage resources</w:t>
      </w:r>
      <w:r w:rsidR="00420AE3">
        <w:rPr>
          <w:szCs w:val="26"/>
        </w:rPr>
        <w:t xml:space="preserve"> </w:t>
      </w:r>
      <w:r w:rsidRPr="00D56AAE" w:rsidR="00420AE3">
        <w:rPr>
          <w:szCs w:val="26"/>
        </w:rPr>
        <w:t>similar to those assessed to the market participant in that proceeding</w:t>
      </w:r>
      <w:r w:rsidRPr="00216489">
        <w:rPr>
          <w:szCs w:val="26"/>
        </w:rPr>
        <w:t>.</w:t>
      </w:r>
      <w:r w:rsidRPr="007A657D">
        <w:rPr>
          <w:rStyle w:val="FootnoteReference"/>
        </w:rPr>
        <w:footnoteReference w:id="152"/>
      </w:r>
      <w:r w:rsidRPr="00216489">
        <w:rPr>
          <w:szCs w:val="26"/>
        </w:rPr>
        <w:t xml:space="preserve">  Consistent with that </w:t>
      </w:r>
      <w:r w:rsidRPr="00216489" w:rsidR="00007C81">
        <w:rPr>
          <w:szCs w:val="26"/>
        </w:rPr>
        <w:t>conclusion</w:t>
      </w:r>
      <w:r w:rsidRPr="00216489">
        <w:rPr>
          <w:szCs w:val="26"/>
        </w:rPr>
        <w:t xml:space="preserve">, we find that it may also be appropriate, on a case-by-case basis, </w:t>
      </w:r>
      <w:r w:rsidRPr="00A0626A">
        <w:rPr>
          <w:szCs w:val="26"/>
        </w:rPr>
        <w:t xml:space="preserve">for distribution utilities to assess a </w:t>
      </w:r>
      <w:r w:rsidR="002E309C">
        <w:rPr>
          <w:szCs w:val="26"/>
        </w:rPr>
        <w:t xml:space="preserve">wholesale distribution charge </w:t>
      </w:r>
      <w:r w:rsidRPr="00216489">
        <w:rPr>
          <w:szCs w:val="26"/>
        </w:rPr>
        <w:t>on distributed energy resource</w:t>
      </w:r>
      <w:r w:rsidR="00F15D46">
        <w:rPr>
          <w:szCs w:val="26"/>
        </w:rPr>
        <w:t xml:space="preserve"> aggregator</w:t>
      </w:r>
      <w:r w:rsidRPr="00216489">
        <w:rPr>
          <w:szCs w:val="26"/>
        </w:rPr>
        <w:t xml:space="preserve">s participating in </w:t>
      </w:r>
      <w:r w:rsidR="00F15D46">
        <w:rPr>
          <w:szCs w:val="26"/>
        </w:rPr>
        <w:t>RTO/ISO markets</w:t>
      </w:r>
      <w:r w:rsidRPr="00216489">
        <w:rPr>
          <w:szCs w:val="26"/>
        </w:rPr>
        <w:t xml:space="preserve">. </w:t>
      </w:r>
    </w:p>
    <w:p w:rsidRPr="000E426E" w:rsidR="006B591B" w:rsidP="006B591B" w:rsidRDefault="003F2FAC" w14:paraId="44ABDA73" w14:textId="5460DE68">
      <w:pPr>
        <w:pStyle w:val="FERCparanumber"/>
      </w:pPr>
      <w:r>
        <w:t>Moreover</w:t>
      </w:r>
      <w:r w:rsidRPr="00062216" w:rsidR="006B591B">
        <w:t xml:space="preserve">, </w:t>
      </w:r>
      <w:r w:rsidR="00980BF6">
        <w:t xml:space="preserve">we recognize that, where appropriate, </w:t>
      </w:r>
      <w:r w:rsidRPr="00062216" w:rsidR="006B591B">
        <w:t>the Commission previously has taken steps to address a</w:t>
      </w:r>
      <w:r w:rsidR="006B591B">
        <w:t xml:space="preserve"> potential</w:t>
      </w:r>
      <w:r w:rsidRPr="00062216" w:rsidR="006B591B">
        <w:t xml:space="preserve"> burden imposed by a </w:t>
      </w:r>
      <w:r w:rsidR="006B591B">
        <w:t xml:space="preserve">Commission </w:t>
      </w:r>
      <w:r w:rsidR="00980BF6">
        <w:t>final rule</w:t>
      </w:r>
      <w:r w:rsidRPr="00062216" w:rsidR="00980BF6">
        <w:t xml:space="preserve"> </w:t>
      </w:r>
      <w:r w:rsidRPr="00062216" w:rsidR="006B591B">
        <w:t xml:space="preserve">on smaller entities.  For instance, the Commission </w:t>
      </w:r>
      <w:r w:rsidR="006B591B">
        <w:t xml:space="preserve">has </w:t>
      </w:r>
      <w:r w:rsidRPr="00062216" w:rsidR="006B591B">
        <w:t>distinguished small utilities whose total electric output for the preceding fiscal year did not exceed 4 million MWh</w:t>
      </w:r>
      <w:r w:rsidR="006B591B">
        <w:rPr>
          <w:rStyle w:val="FootnoteReference"/>
        </w:rPr>
        <w:footnoteReference w:id="153"/>
      </w:r>
      <w:r w:rsidRPr="00062216" w:rsidR="006B591B">
        <w:t xml:space="preserve"> for purposes of granting waivers from Order No. 889’s</w:t>
      </w:r>
      <w:r w:rsidRPr="00062216" w:rsidR="006B591B">
        <w:rPr>
          <w:rStyle w:val="FootnoteReference"/>
        </w:rPr>
        <w:footnoteReference w:id="154"/>
      </w:r>
      <w:r w:rsidRPr="00062216" w:rsidR="006B591B">
        <w:t xml:space="preserve"> standards of conduct for transmission providers</w:t>
      </w:r>
      <w:r w:rsidRPr="00062216" w:rsidR="006B591B">
        <w:rPr>
          <w:rStyle w:val="FootnoteReference"/>
        </w:rPr>
        <w:footnoteReference w:id="155"/>
      </w:r>
      <w:r w:rsidRPr="00062216" w:rsidR="006B591B">
        <w:t xml:space="preserve"> and determining whether a specific cooperative should be considered a non-public utility outside the scope of a refund obligation involving the California energy crisis.</w:t>
      </w:r>
      <w:r w:rsidRPr="00062216" w:rsidR="006B591B">
        <w:rPr>
          <w:rStyle w:val="FootnoteReference"/>
        </w:rPr>
        <w:footnoteReference w:id="156"/>
      </w:r>
      <w:r w:rsidRPr="00062216" w:rsidR="006B591B">
        <w:t xml:space="preserve"> </w:t>
      </w:r>
      <w:r w:rsidR="006B591B">
        <w:t xml:space="preserve"> In </w:t>
      </w:r>
      <w:r w:rsidRPr="000E426E" w:rsidR="006B591B">
        <w:t>Order No. 719-A</w:t>
      </w:r>
      <w:r w:rsidR="006B591B">
        <w:t>, the Commission</w:t>
      </w:r>
      <w:r w:rsidRPr="000E426E" w:rsidR="006B591B">
        <w:t xml:space="preserve"> provided an opt-in for small utilities, which require</w:t>
      </w:r>
      <w:r w:rsidR="006B591B">
        <w:t>s</w:t>
      </w:r>
      <w:r w:rsidRPr="000E426E" w:rsidR="006B591B">
        <w:t xml:space="preserve"> the </w:t>
      </w:r>
      <w:r w:rsidR="006B591B">
        <w:t>relevant electric retail regulatory authority</w:t>
      </w:r>
      <w:r w:rsidRPr="000E426E" w:rsidR="006B591B">
        <w:t xml:space="preserve"> to give affirmative permission for the demand response of customers of utilities that distributed 4 million MWh or less in the previous fiscal year to be bid into </w:t>
      </w:r>
      <w:r w:rsidR="006B591B">
        <w:t>RTO/ISO</w:t>
      </w:r>
      <w:r w:rsidRPr="000E426E" w:rsidR="006B591B">
        <w:t xml:space="preserve"> markets by an aggregator of those retail customers.</w:t>
      </w:r>
      <w:r w:rsidRPr="000E426E" w:rsidR="006B591B">
        <w:rPr>
          <w:b/>
          <w:vertAlign w:val="superscript"/>
        </w:rPr>
        <w:footnoteReference w:id="157"/>
      </w:r>
    </w:p>
    <w:p w:rsidRPr="000C2E90" w:rsidR="000C2E90" w:rsidP="006B591B" w:rsidRDefault="00DA1EDB" w14:paraId="53AFE40A" w14:textId="77777777">
      <w:pPr>
        <w:pStyle w:val="FERCparanumber"/>
      </w:pPr>
      <w:bookmarkStart w:name="_Hlk48034780" w:id="28"/>
      <w:r>
        <w:rPr>
          <w:szCs w:val="26"/>
        </w:rPr>
        <w:t xml:space="preserve">Notwithstanding our finding that the benefits of this final rule outweigh </w:t>
      </w:r>
      <w:r w:rsidR="00AC79A4">
        <w:rPr>
          <w:szCs w:val="26"/>
        </w:rPr>
        <w:t>the</w:t>
      </w:r>
      <w:r>
        <w:rPr>
          <w:szCs w:val="26"/>
        </w:rPr>
        <w:t xml:space="preserve"> policy considerations in favor of a broad opt-out, we </w:t>
      </w:r>
      <w:r w:rsidR="007D06D0">
        <w:rPr>
          <w:szCs w:val="26"/>
        </w:rPr>
        <w:t xml:space="preserve">acknowledge </w:t>
      </w:r>
      <w:r w:rsidR="00EF0945">
        <w:rPr>
          <w:szCs w:val="26"/>
        </w:rPr>
        <w:t xml:space="preserve">that this final rule may place </w:t>
      </w:r>
      <w:r w:rsidRPr="001803C4" w:rsidR="00EF0945">
        <w:rPr>
          <w:szCs w:val="26"/>
        </w:rPr>
        <w:t xml:space="preserve">a </w:t>
      </w:r>
      <w:r w:rsidRPr="001803C4" w:rsidR="007D06D0">
        <w:rPr>
          <w:szCs w:val="26"/>
        </w:rPr>
        <w:t xml:space="preserve">potentially </w:t>
      </w:r>
      <w:r w:rsidRPr="001803C4" w:rsidR="00C05A79">
        <w:rPr>
          <w:szCs w:val="26"/>
        </w:rPr>
        <w:t>greater burden on smaller utility systems</w:t>
      </w:r>
      <w:r w:rsidR="00C05A79">
        <w:rPr>
          <w:szCs w:val="26"/>
        </w:rPr>
        <w:t>.</w:t>
      </w:r>
      <w:r w:rsidR="00F20E38">
        <w:rPr>
          <w:rStyle w:val="FootnoteReference"/>
          <w:szCs w:val="26"/>
        </w:rPr>
        <w:footnoteReference w:id="158"/>
      </w:r>
      <w:r w:rsidR="00C05A79">
        <w:rPr>
          <w:szCs w:val="26"/>
        </w:rPr>
        <w:t xml:space="preserve">  </w:t>
      </w:r>
      <w:r w:rsidR="007D06D0">
        <w:rPr>
          <w:szCs w:val="26"/>
        </w:rPr>
        <w:t>Recognizing this potential</w:t>
      </w:r>
      <w:r w:rsidR="005F7768">
        <w:rPr>
          <w:szCs w:val="26"/>
        </w:rPr>
        <w:t>ly</w:t>
      </w:r>
      <w:r w:rsidR="007D06D0">
        <w:rPr>
          <w:szCs w:val="26"/>
        </w:rPr>
        <w:t xml:space="preserve"> greater burden on small utility systems</w:t>
      </w:r>
      <w:r w:rsidR="006B591B">
        <w:rPr>
          <w:szCs w:val="26"/>
        </w:rPr>
        <w:t xml:space="preserve">, we will exercise our discretion to include </w:t>
      </w:r>
      <w:r w:rsidR="007F352C">
        <w:rPr>
          <w:szCs w:val="26"/>
        </w:rPr>
        <w:t xml:space="preserve">in this final rule </w:t>
      </w:r>
      <w:r w:rsidR="006B591B">
        <w:rPr>
          <w:szCs w:val="26"/>
        </w:rPr>
        <w:t>a</w:t>
      </w:r>
      <w:r w:rsidR="007F352C">
        <w:rPr>
          <w:szCs w:val="26"/>
        </w:rPr>
        <w:t>n</w:t>
      </w:r>
      <w:r w:rsidR="006B591B">
        <w:rPr>
          <w:szCs w:val="26"/>
        </w:rPr>
        <w:t xml:space="preserve"> opt-in mechanism for small utilities </w:t>
      </w:r>
      <w:bookmarkEnd w:id="28"/>
      <w:r w:rsidR="007F352C">
        <w:rPr>
          <w:szCs w:val="26"/>
        </w:rPr>
        <w:t>similar to that provided</w:t>
      </w:r>
      <w:r w:rsidR="006B591B">
        <w:rPr>
          <w:szCs w:val="26"/>
        </w:rPr>
        <w:t xml:space="preserve"> in </w:t>
      </w:r>
      <w:r w:rsidR="007F352C">
        <w:rPr>
          <w:szCs w:val="26"/>
        </w:rPr>
        <w:t>Order No. 719-A</w:t>
      </w:r>
      <w:r w:rsidR="006B591B">
        <w:rPr>
          <w:szCs w:val="26"/>
        </w:rPr>
        <w:t xml:space="preserve">.  Specifically, we </w:t>
      </w:r>
      <w:r w:rsidR="003B4E17">
        <w:rPr>
          <w:szCs w:val="26"/>
        </w:rPr>
        <w:t>determine that</w:t>
      </w:r>
      <w:r w:rsidR="006B591B">
        <w:rPr>
          <w:szCs w:val="26"/>
        </w:rPr>
        <w:t xml:space="preserve"> customers of utilities </w:t>
      </w:r>
      <w:r w:rsidRPr="000E426E" w:rsidR="006B591B">
        <w:t>that distributed 4 million MWh or less</w:t>
      </w:r>
      <w:r w:rsidR="006B591B">
        <w:rPr>
          <w:szCs w:val="26"/>
        </w:rPr>
        <w:t xml:space="preserve"> </w:t>
      </w:r>
      <w:r w:rsidRPr="000E426E" w:rsidR="006B591B">
        <w:t xml:space="preserve">in the previous fiscal year </w:t>
      </w:r>
      <w:r w:rsidR="006B591B">
        <w:rPr>
          <w:szCs w:val="26"/>
        </w:rPr>
        <w:t xml:space="preserve">may not participate in distributed energy resource aggregations unless the relevant electric retail regulatory authority </w:t>
      </w:r>
      <w:r w:rsidR="005F3C7D">
        <w:rPr>
          <w:szCs w:val="26"/>
        </w:rPr>
        <w:t xml:space="preserve">affirmatively </w:t>
      </w:r>
      <w:r w:rsidR="006B591B">
        <w:rPr>
          <w:szCs w:val="26"/>
        </w:rPr>
        <w:t xml:space="preserve">allows such customers to participate in distributed energy resource aggregations.  </w:t>
      </w:r>
    </w:p>
    <w:p w:rsidRPr="00E76032" w:rsidR="003854D8" w:rsidP="006B591B" w:rsidRDefault="006B591B" w14:paraId="6CE68A3A" w14:textId="7B69E4C3">
      <w:pPr>
        <w:pStyle w:val="FERCparanumber"/>
      </w:pPr>
      <w:r>
        <w:rPr>
          <w:szCs w:val="26"/>
        </w:rPr>
        <w:t xml:space="preserve">We </w:t>
      </w:r>
      <w:r w:rsidR="001819B0">
        <w:rPr>
          <w:szCs w:val="26"/>
        </w:rPr>
        <w:t>therefore</w:t>
      </w:r>
      <w:r>
        <w:rPr>
          <w:szCs w:val="26"/>
        </w:rPr>
        <w:t xml:space="preserve"> direct </w:t>
      </w:r>
      <w:r w:rsidR="00540A54">
        <w:rPr>
          <w:szCs w:val="26"/>
        </w:rPr>
        <w:t>each</w:t>
      </w:r>
      <w:r>
        <w:rPr>
          <w:szCs w:val="26"/>
        </w:rPr>
        <w:t xml:space="preserve"> RTO/ISO to amend </w:t>
      </w:r>
      <w:r w:rsidR="00540A54">
        <w:rPr>
          <w:szCs w:val="26"/>
        </w:rPr>
        <w:t>its</w:t>
      </w:r>
      <w:r>
        <w:rPr>
          <w:szCs w:val="26"/>
        </w:rPr>
        <w:t xml:space="preserve"> market rules as necessary to </w:t>
      </w:r>
      <w:r w:rsidR="00EE6EEB">
        <w:rPr>
          <w:szCs w:val="26"/>
        </w:rPr>
        <w:t xml:space="preserve">(1) </w:t>
      </w:r>
      <w:r>
        <w:rPr>
          <w:szCs w:val="26"/>
        </w:rPr>
        <w:t xml:space="preserve">accept bids </w:t>
      </w:r>
      <w:r w:rsidRPr="00A80C8F" w:rsidR="00EE6EEB">
        <w:rPr>
          <w:szCs w:val="26"/>
        </w:rPr>
        <w:t>from a</w:t>
      </w:r>
      <w:r w:rsidR="00EE6EEB">
        <w:rPr>
          <w:szCs w:val="26"/>
        </w:rPr>
        <w:t xml:space="preserve"> distributed energy resource </w:t>
      </w:r>
      <w:r w:rsidRPr="00A80C8F" w:rsidR="00EE6EEB">
        <w:rPr>
          <w:szCs w:val="26"/>
        </w:rPr>
        <w:t xml:space="preserve">aggregator </w:t>
      </w:r>
      <w:r w:rsidR="00EE6EEB">
        <w:rPr>
          <w:szCs w:val="26"/>
        </w:rPr>
        <w:t xml:space="preserve">if its aggregation includes distributed energy resources that are customers </w:t>
      </w:r>
      <w:r w:rsidRPr="00A80C8F" w:rsidR="00EE6EEB">
        <w:rPr>
          <w:szCs w:val="26"/>
        </w:rPr>
        <w:t xml:space="preserve">of utilities that distributed more than 4 million </w:t>
      </w:r>
      <w:r w:rsidR="00EE6EEB">
        <w:rPr>
          <w:szCs w:val="26"/>
        </w:rPr>
        <w:t>MWh</w:t>
      </w:r>
      <w:r w:rsidRPr="00A80C8F" w:rsidR="00EE6EEB">
        <w:rPr>
          <w:szCs w:val="26"/>
        </w:rPr>
        <w:t xml:space="preserve"> in the previous fiscal year</w:t>
      </w:r>
      <w:r w:rsidR="00EE6EEB">
        <w:rPr>
          <w:szCs w:val="26"/>
        </w:rPr>
        <w:t xml:space="preserve">, and (2) not </w:t>
      </w:r>
      <w:r>
        <w:rPr>
          <w:szCs w:val="26"/>
        </w:rPr>
        <w:t>accept bids from distributed energy resource aggregators</w:t>
      </w:r>
      <w:r w:rsidR="00EE6EEB">
        <w:rPr>
          <w:szCs w:val="26"/>
        </w:rPr>
        <w:t xml:space="preserve"> if its aggregation includes distributed energy resources that are customers of utilities that distributed 4 million MWh or less in the previous fiscal year, unless the relevant electric retail regulatory authority permits such customers to be bid into RTO/ISO markets by a distributed energy resource aggregator.</w:t>
      </w:r>
      <w:r w:rsidR="001C12FE">
        <w:rPr>
          <w:szCs w:val="26"/>
        </w:rPr>
        <w:t xml:space="preserve">  </w:t>
      </w:r>
      <w:r w:rsidRPr="001C12FE" w:rsidR="001C12FE">
        <w:rPr>
          <w:szCs w:val="26"/>
        </w:rPr>
        <w:t>We conclude that this opt-in mechanism appropriately balances the benefits that distributed energy resource aggregation can provide to RTO/ISO markets with a recognition of the burdens that such aggregation may create for small utilities in particular.  Accordingly, we find that adopting this mechanism helps to ensure that any “negative effects” of this final rule are “outweighed by the benefits,”</w:t>
      </w:r>
      <w:r w:rsidRPr="001C12FE" w:rsidR="001C12FE">
        <w:rPr>
          <w:b/>
          <w:szCs w:val="26"/>
          <w:vertAlign w:val="superscript"/>
        </w:rPr>
        <w:footnoteReference w:id="159"/>
      </w:r>
      <w:r w:rsidRPr="001C12FE" w:rsidR="001C12FE">
        <w:rPr>
          <w:szCs w:val="26"/>
        </w:rPr>
        <w:t xml:space="preserve"> listed above,</w:t>
      </w:r>
      <w:r w:rsidRPr="001C12FE" w:rsidR="001C12FE">
        <w:rPr>
          <w:b/>
          <w:szCs w:val="26"/>
          <w:vertAlign w:val="superscript"/>
        </w:rPr>
        <w:footnoteReference w:id="160"/>
      </w:r>
      <w:r w:rsidRPr="001C12FE" w:rsidR="001C12FE">
        <w:rPr>
          <w:szCs w:val="26"/>
        </w:rPr>
        <w:t xml:space="preserve"> that it provides to RTO/ISO markets. </w:t>
      </w:r>
    </w:p>
    <w:p w:rsidRPr="008F01ED" w:rsidR="008F01ED" w:rsidP="003854D8" w:rsidRDefault="003854D8" w14:paraId="1DA48933" w14:textId="02D991B9">
      <w:pPr>
        <w:pStyle w:val="FERCparanumber"/>
      </w:pPr>
      <w:r w:rsidRPr="003854D8">
        <w:rPr>
          <w:szCs w:val="26"/>
        </w:rPr>
        <w:t xml:space="preserve">On compliance, we require each RTO/ISO to explain how it will implement this </w:t>
      </w:r>
      <w:r w:rsidRPr="009A4C71">
        <w:rPr>
          <w:szCs w:val="26"/>
        </w:rPr>
        <w:t>small utility opt-in. We note that</w:t>
      </w:r>
      <w:r w:rsidRPr="009A4C71">
        <w:rPr>
          <w:b/>
          <w:bCs/>
          <w:szCs w:val="26"/>
        </w:rPr>
        <w:t> </w:t>
      </w:r>
      <w:r w:rsidRPr="009A4C71">
        <w:rPr>
          <w:szCs w:val="26"/>
        </w:rPr>
        <w:t>a</w:t>
      </w:r>
      <w:r w:rsidRPr="009A4C71" w:rsidR="008F01ED">
        <w:rPr>
          <w:szCs w:val="26"/>
        </w:rPr>
        <w:t xml:space="preserve">n RTO/ISO may choose to </w:t>
      </w:r>
      <w:r w:rsidRPr="009A4C71">
        <w:rPr>
          <w:szCs w:val="26"/>
        </w:rPr>
        <w:t>implement this requirement</w:t>
      </w:r>
      <w:r w:rsidRPr="003854D8">
        <w:rPr>
          <w:szCs w:val="26"/>
        </w:rPr>
        <w:t xml:space="preserve"> in a similar manner as it currently implements the small utility opt-in provision under </w:t>
      </w:r>
      <w:r w:rsidR="005279E7">
        <w:rPr>
          <w:szCs w:val="26"/>
        </w:rPr>
        <w:t xml:space="preserve">Order </w:t>
      </w:r>
      <w:r w:rsidRPr="003854D8">
        <w:rPr>
          <w:szCs w:val="26"/>
        </w:rPr>
        <w:t>No. 719-A.</w:t>
      </w:r>
      <w:r w:rsidRPr="003854D8" w:rsidDel="003854D8">
        <w:rPr>
          <w:szCs w:val="26"/>
          <w:highlight w:val="green"/>
        </w:rPr>
        <w:t xml:space="preserve"> </w:t>
      </w:r>
    </w:p>
    <w:p w:rsidRPr="004E00D3" w:rsidR="006B591B" w:rsidP="006B591B" w:rsidRDefault="001161C8" w14:paraId="0FE84E5D" w14:textId="568E5458">
      <w:pPr>
        <w:pStyle w:val="FERCparanumber"/>
      </w:pPr>
      <w:r>
        <w:rPr>
          <w:szCs w:val="26"/>
        </w:rPr>
        <w:t xml:space="preserve">Although </w:t>
      </w:r>
      <w:r w:rsidR="00B64A51">
        <w:rPr>
          <w:szCs w:val="26"/>
        </w:rPr>
        <w:t xml:space="preserve">the Small Business Administration </w:t>
      </w:r>
      <w:r w:rsidR="002C3C18">
        <w:rPr>
          <w:szCs w:val="26"/>
        </w:rPr>
        <w:t xml:space="preserve">(SBA) </w:t>
      </w:r>
      <w:r w:rsidR="00B64A51">
        <w:rPr>
          <w:szCs w:val="26"/>
        </w:rPr>
        <w:t xml:space="preserve">no longer defines </w:t>
      </w:r>
      <w:r w:rsidR="00B57ECC">
        <w:rPr>
          <w:szCs w:val="26"/>
        </w:rPr>
        <w:t xml:space="preserve">small utilities </w:t>
      </w:r>
      <w:r w:rsidR="00854D1F">
        <w:rPr>
          <w:szCs w:val="26"/>
        </w:rPr>
        <w:t xml:space="preserve">based on </w:t>
      </w:r>
      <w:r w:rsidR="002B1E9D">
        <w:rPr>
          <w:szCs w:val="26"/>
        </w:rPr>
        <w:t xml:space="preserve">total electric output </w:t>
      </w:r>
      <w:r w:rsidR="000939EB">
        <w:rPr>
          <w:szCs w:val="26"/>
        </w:rPr>
        <w:t xml:space="preserve">for the preceding fiscal year </w:t>
      </w:r>
      <w:r w:rsidR="002B1E9D">
        <w:rPr>
          <w:szCs w:val="26"/>
        </w:rPr>
        <w:t xml:space="preserve">of </w:t>
      </w:r>
      <w:r>
        <w:rPr>
          <w:szCs w:val="26"/>
        </w:rPr>
        <w:t xml:space="preserve">4 million MWh </w:t>
      </w:r>
      <w:r w:rsidR="002B1E9D">
        <w:rPr>
          <w:szCs w:val="26"/>
        </w:rPr>
        <w:t>or less,</w:t>
      </w:r>
      <w:r w:rsidR="002C3C18">
        <w:rPr>
          <w:rStyle w:val="FootnoteReference"/>
          <w:szCs w:val="26"/>
        </w:rPr>
        <w:footnoteReference w:id="161"/>
      </w:r>
      <w:r w:rsidR="002B1E9D">
        <w:rPr>
          <w:szCs w:val="26"/>
        </w:rPr>
        <w:t xml:space="preserve"> </w:t>
      </w:r>
      <w:r w:rsidR="00713367">
        <w:rPr>
          <w:szCs w:val="26"/>
        </w:rPr>
        <w:t xml:space="preserve">we </w:t>
      </w:r>
      <w:r w:rsidR="00B64A51">
        <w:rPr>
          <w:szCs w:val="26"/>
        </w:rPr>
        <w:t xml:space="preserve">use this </w:t>
      </w:r>
      <w:r w:rsidR="002C3C18">
        <w:rPr>
          <w:szCs w:val="26"/>
        </w:rPr>
        <w:t xml:space="preserve">standard for purposes of this </w:t>
      </w:r>
      <w:r w:rsidRPr="00D51270" w:rsidR="00D51270">
        <w:rPr>
          <w:szCs w:val="26"/>
        </w:rPr>
        <w:t>final rule</w:t>
      </w:r>
      <w:r w:rsidR="003E088E">
        <w:rPr>
          <w:szCs w:val="26"/>
        </w:rPr>
        <w:t xml:space="preserve">, as </w:t>
      </w:r>
      <w:r w:rsidR="00A32525">
        <w:rPr>
          <w:szCs w:val="26"/>
        </w:rPr>
        <w:t>it</w:t>
      </w:r>
      <w:r w:rsidR="00C240BF">
        <w:rPr>
          <w:szCs w:val="26"/>
        </w:rPr>
        <w:t xml:space="preserve"> is consistent with the Commission’s use of this standard for the opt-in</w:t>
      </w:r>
      <w:r w:rsidR="00E7223D">
        <w:rPr>
          <w:szCs w:val="26"/>
        </w:rPr>
        <w:t xml:space="preserve"> </w:t>
      </w:r>
      <w:r w:rsidR="00B20CA2">
        <w:rPr>
          <w:szCs w:val="26"/>
        </w:rPr>
        <w:t xml:space="preserve">adopted </w:t>
      </w:r>
      <w:r w:rsidR="00E7223D">
        <w:rPr>
          <w:szCs w:val="26"/>
        </w:rPr>
        <w:t>in Order No. 719</w:t>
      </w:r>
      <w:r w:rsidR="003854D8">
        <w:rPr>
          <w:szCs w:val="26"/>
        </w:rPr>
        <w:t>-A</w:t>
      </w:r>
      <w:r w:rsidR="00BD4DC0">
        <w:rPr>
          <w:szCs w:val="26"/>
        </w:rPr>
        <w:t>,</w:t>
      </w:r>
      <w:r w:rsidR="00D96415">
        <w:rPr>
          <w:rStyle w:val="FootnoteReference"/>
          <w:szCs w:val="26"/>
        </w:rPr>
        <w:footnoteReference w:id="162"/>
      </w:r>
      <w:r w:rsidR="00BD4DC0">
        <w:rPr>
          <w:szCs w:val="26"/>
        </w:rPr>
        <w:t xml:space="preserve"> and </w:t>
      </w:r>
      <w:r w:rsidR="00D85197">
        <w:rPr>
          <w:szCs w:val="26"/>
        </w:rPr>
        <w:t xml:space="preserve">is supported by </w:t>
      </w:r>
      <w:r w:rsidR="00161793">
        <w:rPr>
          <w:szCs w:val="26"/>
        </w:rPr>
        <w:t xml:space="preserve">commenters </w:t>
      </w:r>
      <w:r w:rsidR="00117188">
        <w:rPr>
          <w:szCs w:val="26"/>
        </w:rPr>
        <w:t>asking</w:t>
      </w:r>
      <w:r w:rsidR="00D85197">
        <w:rPr>
          <w:szCs w:val="26"/>
        </w:rPr>
        <w:t xml:space="preserve"> </w:t>
      </w:r>
      <w:r w:rsidR="001E3EAF">
        <w:rPr>
          <w:szCs w:val="26"/>
        </w:rPr>
        <w:t xml:space="preserve">the Commission </w:t>
      </w:r>
      <w:r w:rsidR="00971796">
        <w:rPr>
          <w:szCs w:val="26"/>
        </w:rPr>
        <w:t xml:space="preserve">to </w:t>
      </w:r>
      <w:r w:rsidR="000661B9">
        <w:rPr>
          <w:szCs w:val="26"/>
        </w:rPr>
        <w:t>include</w:t>
      </w:r>
      <w:r w:rsidR="001E3EAF">
        <w:rPr>
          <w:szCs w:val="26"/>
        </w:rPr>
        <w:t xml:space="preserve"> an opt-in as part of this rule.</w:t>
      </w:r>
      <w:r w:rsidR="00876AB6">
        <w:rPr>
          <w:rStyle w:val="FootnoteReference"/>
          <w:szCs w:val="26"/>
        </w:rPr>
        <w:footnoteReference w:id="163"/>
      </w:r>
      <w:r w:rsidR="004F5195">
        <w:rPr>
          <w:szCs w:val="26"/>
        </w:rPr>
        <w:t xml:space="preserve"> </w:t>
      </w:r>
    </w:p>
    <w:p w:rsidR="006B591B" w:rsidP="006B591B" w:rsidRDefault="006B591B" w14:paraId="5E12FE6E" w14:textId="2BDBABC3">
      <w:pPr>
        <w:pStyle w:val="Heading3"/>
      </w:pPr>
      <w:bookmarkStart w:name="_bmk14" w:id="29"/>
      <w:r>
        <w:t>I</w:t>
      </w:r>
      <w:bookmarkEnd w:id="29"/>
      <w:r>
        <w:t>nterconnection</w:t>
      </w:r>
    </w:p>
    <w:p w:rsidR="00234941" w:rsidP="006B591B" w:rsidRDefault="004D52D6" w14:paraId="467C05E2" w14:textId="599045FA">
      <w:pPr>
        <w:pStyle w:val="FERCparanumber"/>
      </w:pPr>
      <w:r>
        <w:t>T</w:t>
      </w:r>
      <w:r w:rsidR="006B591B">
        <w:t xml:space="preserve">he NOPR did not </w:t>
      </w:r>
      <w:r>
        <w:t xml:space="preserve">propose </w:t>
      </w:r>
      <w:r w:rsidR="006B591B">
        <w:t xml:space="preserve">any </w:t>
      </w:r>
      <w:r w:rsidR="00764C5D">
        <w:t xml:space="preserve">changes to RTO/ISO </w:t>
      </w:r>
      <w:r w:rsidRPr="00B54F71" w:rsidR="00B54F71">
        <w:t xml:space="preserve">policies and procedures </w:t>
      </w:r>
      <w:r w:rsidR="00764C5D">
        <w:t xml:space="preserve">for </w:t>
      </w:r>
      <w:r w:rsidRPr="00B54F71" w:rsidR="00B54F71">
        <w:t>the interconnection of distributed energy resources</w:t>
      </w:r>
      <w:r w:rsidR="00EC0E77">
        <w:t xml:space="preserve">. </w:t>
      </w:r>
      <w:r w:rsidRPr="00A957B5" w:rsidR="006B591B">
        <w:t xml:space="preserve"> </w:t>
      </w:r>
      <w:r w:rsidR="007D4332">
        <w:t>However</w:t>
      </w:r>
      <w:r w:rsidRPr="00A957B5" w:rsidR="006B591B">
        <w:t xml:space="preserve">, </w:t>
      </w:r>
      <w:r w:rsidR="006B591B">
        <w:t>the Commission stated that c</w:t>
      </w:r>
      <w:r w:rsidRPr="00A957B5" w:rsidR="006B591B">
        <w:t>omments demonstrate</w:t>
      </w:r>
      <w:r w:rsidR="006B591B">
        <w:t>d</w:t>
      </w:r>
      <w:r w:rsidRPr="00A957B5" w:rsidR="006B591B">
        <w:t xml:space="preserve"> that current </w:t>
      </w:r>
      <w:r w:rsidR="006B591B">
        <w:t>RTO/ISO</w:t>
      </w:r>
      <w:r w:rsidRPr="00A957B5" w:rsidR="006B591B">
        <w:t xml:space="preserve"> market rules often limit the services </w:t>
      </w:r>
      <w:r w:rsidR="00D424A1">
        <w:t xml:space="preserve">that </w:t>
      </w:r>
      <w:r w:rsidRPr="00A957B5" w:rsidR="006B591B">
        <w:t xml:space="preserve">distributed energy resources are eligible to provide, </w:t>
      </w:r>
      <w:r w:rsidR="006B591B">
        <w:t>including</w:t>
      </w:r>
      <w:r w:rsidRPr="00A957B5" w:rsidR="006B591B">
        <w:t xml:space="preserve"> by imposing prohibitively expensive or otherwise burdensome </w:t>
      </w:r>
      <w:r w:rsidR="006B591B">
        <w:t xml:space="preserve">interconnection </w:t>
      </w:r>
      <w:r w:rsidRPr="00A957B5" w:rsidR="006B591B">
        <w:t>requirements.</w:t>
      </w:r>
      <w:r w:rsidR="006B591B">
        <w:rPr>
          <w:rStyle w:val="FootnoteReference"/>
        </w:rPr>
        <w:footnoteReference w:id="164"/>
      </w:r>
      <w:r w:rsidR="006B591B">
        <w:t xml:space="preserve">  The Commission also recognized that </w:t>
      </w:r>
      <w:r w:rsidR="00600CE2">
        <w:t xml:space="preserve">RTO/ISO </w:t>
      </w:r>
      <w:r w:rsidRPr="00A957B5" w:rsidR="006B591B">
        <w:t xml:space="preserve">demand response models often prohibit distributed energy resources from injecting power back onto the grid </w:t>
      </w:r>
      <w:r w:rsidR="006B591B">
        <w:t>in part because they are not studied in the interconnection process.</w:t>
      </w:r>
      <w:r w:rsidR="006B591B">
        <w:rPr>
          <w:rStyle w:val="FootnoteReference"/>
        </w:rPr>
        <w:footnoteReference w:id="165"/>
      </w:r>
    </w:p>
    <w:p w:rsidRPr="00A957B5" w:rsidR="006B591B" w:rsidP="006B591B" w:rsidRDefault="00234941" w14:paraId="35B843F0" w14:textId="343F20F0">
      <w:pPr>
        <w:pStyle w:val="FERCparanumber"/>
      </w:pPr>
      <w:r w:rsidRPr="00234941">
        <w:t xml:space="preserve"> </w:t>
      </w:r>
      <w:r>
        <w:t xml:space="preserve">On September 5, 2019, </w:t>
      </w:r>
      <w:r w:rsidRPr="007D0FE8">
        <w:t xml:space="preserve">Commission staff </w:t>
      </w:r>
      <w:r>
        <w:t>issued data requests to each of the six</w:t>
      </w:r>
      <w:r w:rsidRPr="007D0FE8">
        <w:t xml:space="preserve"> RTOs/ISOs </w:t>
      </w:r>
      <w:r>
        <w:t xml:space="preserve">seeking information </w:t>
      </w:r>
      <w:r w:rsidRPr="007D0FE8">
        <w:t xml:space="preserve">regarding their </w:t>
      </w:r>
      <w:bookmarkStart w:name="_Hlk36013128" w:id="30"/>
      <w:r w:rsidRPr="007D0FE8">
        <w:t>policies and procedures</w:t>
      </w:r>
      <w:r>
        <w:t xml:space="preserve"> </w:t>
      </w:r>
      <w:r w:rsidRPr="007D0FE8">
        <w:t>that affect the interconnection of distributed energy resources</w:t>
      </w:r>
      <w:bookmarkEnd w:id="30"/>
      <w:r w:rsidRPr="007D0FE8">
        <w:t>.</w:t>
      </w:r>
      <w:r>
        <w:t xml:space="preserve">  </w:t>
      </w:r>
      <w:r w:rsidR="00BF0E2B">
        <w:t>The RTOs/ISOs filed their responses in October 2019, and several commenters subsequently submitted reply comments.</w:t>
      </w:r>
    </w:p>
    <w:p w:rsidR="006B591B" w:rsidP="006B591B" w:rsidRDefault="006B591B" w14:paraId="79130FE5" w14:textId="42EA00A4">
      <w:pPr>
        <w:pStyle w:val="Heading4"/>
      </w:pPr>
      <w:bookmarkStart w:name="_bmk15" w:id="31"/>
      <w:r>
        <w:t>C</w:t>
      </w:r>
      <w:bookmarkEnd w:id="31"/>
      <w:r>
        <w:t>omments</w:t>
      </w:r>
      <w:r w:rsidR="00150B37">
        <w:t xml:space="preserve"> and </w:t>
      </w:r>
      <w:r w:rsidRPr="00150B37" w:rsidR="00150B37">
        <w:t>Data Request Responses</w:t>
      </w:r>
    </w:p>
    <w:p w:rsidR="006B591B" w:rsidP="006B591B" w:rsidRDefault="006B591B" w14:paraId="6B55CFDB" w14:textId="61215F62">
      <w:pPr>
        <w:pStyle w:val="FERCparanumber"/>
      </w:pPr>
      <w:r>
        <w:t xml:space="preserve">Several commenters state that </w:t>
      </w:r>
      <w:r w:rsidR="00B716B5">
        <w:t>any</w:t>
      </w:r>
      <w:r>
        <w:t xml:space="preserve"> </w:t>
      </w:r>
      <w:r w:rsidR="00F73B50">
        <w:t>f</w:t>
      </w:r>
      <w:r>
        <w:t xml:space="preserve">inal </w:t>
      </w:r>
      <w:r w:rsidR="00F73B50">
        <w:t>r</w:t>
      </w:r>
      <w:r>
        <w:t xml:space="preserve">ule should make clear that the interconnection of resources on </w:t>
      </w:r>
      <w:r w:rsidR="00B45B49">
        <w:t>a</w:t>
      </w:r>
      <w:r>
        <w:t xml:space="preserve"> state-jurisdictional distribution system remains the responsibility of the distribution utilities and the states.</w:t>
      </w:r>
      <w:r>
        <w:rPr>
          <w:rStyle w:val="FootnoteReference"/>
        </w:rPr>
        <w:footnoteReference w:id="166"/>
      </w:r>
      <w:r>
        <w:t xml:space="preserve">  The Maryland and New Jersey Commissions seek confirmation that state jurisdiction would remain unchanged as to the siting and costs associated with interconnecting resources to the distribution system, and would apply to all resources, including distributed energy resources, having or seeking interconnection or access to the wholesale market.</w:t>
      </w:r>
      <w:r>
        <w:rPr>
          <w:rStyle w:val="FootnoteReference"/>
        </w:rPr>
        <w:footnoteReference w:id="167"/>
      </w:r>
      <w:r>
        <w:t xml:space="preserve">  The Maryland and New Jersey Commissions request that the Commission confirm that, in the context of interconnection requests for wholesale market access, states will continue to have discretion to review distribution utility company tariffs to justify how costs are allocated or how the resources and their proposed interconnection locations benefit ultimate ratepayers.</w:t>
      </w:r>
      <w:r>
        <w:rPr>
          <w:rStyle w:val="FootnoteReference"/>
        </w:rPr>
        <w:footnoteReference w:id="168"/>
      </w:r>
      <w:r>
        <w:t xml:space="preserve">  </w:t>
      </w:r>
      <w:r>
        <w:rPr>
          <w:szCs w:val="26"/>
        </w:rPr>
        <w:t xml:space="preserve">The Massachusetts Commission </w:t>
      </w:r>
      <w:r w:rsidR="00A47428">
        <w:rPr>
          <w:szCs w:val="26"/>
        </w:rPr>
        <w:t xml:space="preserve">makes </w:t>
      </w:r>
      <w:r w:rsidR="00B771EA">
        <w:rPr>
          <w:szCs w:val="26"/>
        </w:rPr>
        <w:t xml:space="preserve">similar </w:t>
      </w:r>
      <w:r w:rsidR="00F740FF">
        <w:rPr>
          <w:szCs w:val="26"/>
        </w:rPr>
        <w:t>arguments</w:t>
      </w:r>
      <w:r>
        <w:rPr>
          <w:szCs w:val="26"/>
        </w:rPr>
        <w:t>.</w:t>
      </w:r>
      <w:r>
        <w:rPr>
          <w:rStyle w:val="FootnoteReference"/>
          <w:szCs w:val="26"/>
        </w:rPr>
        <w:footnoteReference w:id="169"/>
      </w:r>
    </w:p>
    <w:p w:rsidR="006B591B" w:rsidP="00A22C50" w:rsidRDefault="00B771EA" w14:paraId="569A9A85" w14:textId="5DFB7A59">
      <w:pPr>
        <w:pStyle w:val="FERCparanumber"/>
      </w:pPr>
      <w:r>
        <w:t xml:space="preserve">In order to avoid uncertainty and litigation, </w:t>
      </w:r>
      <w:r w:rsidR="006B591B">
        <w:t xml:space="preserve">Duke Energy </w:t>
      </w:r>
      <w:r w:rsidR="001308F3">
        <w:t xml:space="preserve">and EEI </w:t>
      </w:r>
      <w:r w:rsidR="006B591B">
        <w:t xml:space="preserve">ask for additional clarity </w:t>
      </w:r>
      <w:r w:rsidR="005C2AEF">
        <w:t>with respect to</w:t>
      </w:r>
      <w:r w:rsidR="006B591B">
        <w:t xml:space="preserve"> state-versus-Commission jurisdiction affecting interconnection, distribution planning, and investments to enable distributed energy resource aggregation.</w:t>
      </w:r>
      <w:r w:rsidR="006B591B">
        <w:rPr>
          <w:rStyle w:val="FootnoteReference"/>
        </w:rPr>
        <w:footnoteReference w:id="170"/>
      </w:r>
      <w:r w:rsidR="006B591B">
        <w:t xml:space="preserve">  </w:t>
      </w:r>
      <w:r w:rsidR="00A22C50">
        <w:t xml:space="preserve">TAPS asks that any final rule make clear that, absent proper application of a Commission-jurisdictional </w:t>
      </w:r>
      <w:r w:rsidR="0011618B">
        <w:t>Generator Interconnection Agreement</w:t>
      </w:r>
      <w:r w:rsidR="00A22C50">
        <w:t>, the Commission does not seek to alter or preempt local and state rules governing interconnection to the distribution system.</w:t>
      </w:r>
      <w:r w:rsidR="00A22C50">
        <w:rPr>
          <w:rStyle w:val="FootnoteReference"/>
        </w:rPr>
        <w:footnoteReference w:id="171"/>
      </w:r>
      <w:r w:rsidR="00C36C38">
        <w:t xml:space="preserve">  </w:t>
      </w:r>
      <w:r w:rsidR="00636DE6">
        <w:t>Furthermore</w:t>
      </w:r>
      <w:r w:rsidR="005A1549">
        <w:t>,</w:t>
      </w:r>
      <w:r w:rsidR="00636DE6">
        <w:t xml:space="preserve"> TAPS asserts that, given the limited circumstances in which the Commission has the authority to require interconnection to, or deliveries over, distribution facilities, the NOPR appropriately does not attempt to establish new rules or requirements governing the details of </w:t>
      </w:r>
      <w:r w:rsidR="00003E26">
        <w:t>interconnection of</w:t>
      </w:r>
      <w:r w:rsidR="00636DE6">
        <w:t xml:space="preserve"> distribut</w:t>
      </w:r>
      <w:r w:rsidR="001779E3">
        <w:t>ed</w:t>
      </w:r>
      <w:r w:rsidR="00636DE6">
        <w:t xml:space="preserve"> </w:t>
      </w:r>
      <w:r w:rsidR="00003E26">
        <w:t>energy resources</w:t>
      </w:r>
      <w:r w:rsidR="00636DE6">
        <w:t>.</w:t>
      </w:r>
      <w:r w:rsidR="00636DE6">
        <w:rPr>
          <w:rStyle w:val="FootnoteReference"/>
        </w:rPr>
        <w:footnoteReference w:id="172"/>
      </w:r>
    </w:p>
    <w:p w:rsidR="00907245" w:rsidP="003A6E73" w:rsidRDefault="006B591B" w14:paraId="0FEB828F" w14:textId="43815F78">
      <w:pPr>
        <w:pStyle w:val="FERCparanumber"/>
        <w:rPr>
          <w:lang w:eastAsia="ja-JP"/>
        </w:rPr>
      </w:pPr>
      <w:r>
        <w:rPr>
          <w:lang w:eastAsia="ja-JP"/>
        </w:rPr>
        <w:t xml:space="preserve">As to their own interconnection procedures and experience with distributed energy resources, </w:t>
      </w:r>
      <w:r w:rsidRPr="00851063">
        <w:rPr>
          <w:lang w:eastAsia="ja-JP"/>
        </w:rPr>
        <w:t>ISO-NE, NYISO, and PJM</w:t>
      </w:r>
      <w:r w:rsidR="00DE11E5">
        <w:rPr>
          <w:lang w:eastAsia="ja-JP"/>
        </w:rPr>
        <w:t>’s data request responses</w:t>
      </w:r>
      <w:r w:rsidRPr="00851063">
        <w:rPr>
          <w:lang w:eastAsia="ja-JP"/>
        </w:rPr>
        <w:t xml:space="preserve"> reference Order Nos. 2003 and 2006 and indicate that they apply the </w:t>
      </w:r>
      <w:r>
        <w:rPr>
          <w:lang w:eastAsia="ja-JP"/>
        </w:rPr>
        <w:t>jurisdictional test for dual-use facilities established in those orders</w:t>
      </w:r>
      <w:r w:rsidRPr="00851063">
        <w:rPr>
          <w:lang w:eastAsia="ja-JP"/>
        </w:rPr>
        <w:t>.</w:t>
      </w:r>
      <w:r>
        <w:rPr>
          <w:rStyle w:val="FootnoteReference"/>
          <w:lang w:eastAsia="ja-JP"/>
        </w:rPr>
        <w:footnoteReference w:id="173"/>
      </w:r>
      <w:r w:rsidRPr="00851063">
        <w:rPr>
          <w:lang w:eastAsia="ja-JP"/>
        </w:rPr>
        <w:t xml:space="preserve">  </w:t>
      </w:r>
      <w:r w:rsidRPr="00F8425B" w:rsidR="00F8425B">
        <w:rPr>
          <w:lang w:eastAsia="ja-JP"/>
        </w:rPr>
        <w:t xml:space="preserve">As explained in more detail below, Order Nos. 2003 and 2006 established what some RTOs/ISOs have labeled the “first use” test, under which the first interconnection to a distribution facility for the purpose of making wholesale sales is not subject to Commission jurisdiction, but triggers jurisdiction for any subsequent wholesale interconnection requests to the same </w:t>
      </w:r>
      <w:r w:rsidR="002F06C5">
        <w:rPr>
          <w:lang w:eastAsia="ja-JP"/>
        </w:rPr>
        <w:t xml:space="preserve">distribution </w:t>
      </w:r>
      <w:r w:rsidRPr="00F8425B" w:rsidR="00F8425B">
        <w:rPr>
          <w:lang w:eastAsia="ja-JP"/>
        </w:rPr>
        <w:t>facility</w:t>
      </w:r>
      <w:r w:rsidR="00F8425B">
        <w:rPr>
          <w:lang w:eastAsia="ja-JP"/>
        </w:rPr>
        <w:t>.</w:t>
      </w:r>
      <w:r>
        <w:rPr>
          <w:rStyle w:val="FootnoteReference"/>
          <w:lang w:eastAsia="ja-JP"/>
        </w:rPr>
        <w:footnoteReference w:id="174"/>
      </w:r>
      <w:r w:rsidRPr="00851063">
        <w:rPr>
          <w:lang w:eastAsia="ja-JP"/>
        </w:rPr>
        <w:t xml:space="preserve">  MISO explains that no </w:t>
      </w:r>
      <w:r>
        <w:rPr>
          <w:lang w:eastAsia="ja-JP"/>
        </w:rPr>
        <w:t>distributed energy resources</w:t>
      </w:r>
      <w:r w:rsidRPr="00851063">
        <w:rPr>
          <w:lang w:eastAsia="ja-JP"/>
        </w:rPr>
        <w:t xml:space="preserve"> have requested to interconnect to distribution facilities subject to the MISO tariff but indicates that it would apply </w:t>
      </w:r>
      <w:r>
        <w:rPr>
          <w:lang w:eastAsia="ja-JP"/>
        </w:rPr>
        <w:t xml:space="preserve">the jurisdictional test in Order Nos. 2003 and 2006 </w:t>
      </w:r>
      <w:r w:rsidRPr="00851063">
        <w:rPr>
          <w:lang w:eastAsia="ja-JP"/>
        </w:rPr>
        <w:t>in processing subsequent interconnection requests to such facilities.</w:t>
      </w:r>
      <w:r>
        <w:rPr>
          <w:rStyle w:val="FootnoteReference"/>
          <w:lang w:eastAsia="ja-JP"/>
        </w:rPr>
        <w:footnoteReference w:id="175"/>
      </w:r>
      <w:r w:rsidRPr="00851063">
        <w:rPr>
          <w:lang w:eastAsia="ja-JP"/>
        </w:rPr>
        <w:t xml:space="preserve"> </w:t>
      </w:r>
      <w:r>
        <w:rPr>
          <w:lang w:eastAsia="ja-JP"/>
        </w:rPr>
        <w:t xml:space="preserve"> </w:t>
      </w:r>
      <w:r w:rsidRPr="00851063">
        <w:rPr>
          <w:lang w:eastAsia="ja-JP"/>
        </w:rPr>
        <w:t xml:space="preserve">SPP states that it would consider an interconnection to be Commission jurisdictional only if the relevant distribution facilities were under SPP’s functional control, and SPP’s data request response </w:t>
      </w:r>
      <w:r>
        <w:rPr>
          <w:lang w:eastAsia="ja-JP"/>
        </w:rPr>
        <w:t>appears</w:t>
      </w:r>
      <w:r w:rsidRPr="00851063">
        <w:rPr>
          <w:lang w:eastAsia="ja-JP"/>
        </w:rPr>
        <w:t xml:space="preserve"> to indicate that, even after the first </w:t>
      </w:r>
      <w:r w:rsidR="00F03F72">
        <w:rPr>
          <w:lang w:eastAsia="ja-JP"/>
        </w:rPr>
        <w:t xml:space="preserve">wholesale </w:t>
      </w:r>
      <w:r w:rsidRPr="00851063">
        <w:rPr>
          <w:lang w:eastAsia="ja-JP"/>
        </w:rPr>
        <w:t>use, such distribution facilities would not be subject to its tariff.</w:t>
      </w:r>
      <w:r>
        <w:rPr>
          <w:rStyle w:val="FootnoteReference"/>
          <w:lang w:eastAsia="ja-JP"/>
        </w:rPr>
        <w:footnoteReference w:id="176"/>
      </w:r>
      <w:r w:rsidRPr="00851063">
        <w:rPr>
          <w:lang w:eastAsia="ja-JP"/>
        </w:rPr>
        <w:t xml:space="preserve">  CAISO</w:t>
      </w:r>
      <w:r>
        <w:rPr>
          <w:lang w:eastAsia="ja-JP"/>
        </w:rPr>
        <w:t xml:space="preserve"> states that</w:t>
      </w:r>
      <w:r w:rsidRPr="00851063">
        <w:rPr>
          <w:lang w:eastAsia="ja-JP"/>
        </w:rPr>
        <w:t xml:space="preserve">, if a </w:t>
      </w:r>
      <w:r>
        <w:rPr>
          <w:lang w:eastAsia="ja-JP"/>
        </w:rPr>
        <w:t>distributed energy resource</w:t>
      </w:r>
      <w:r w:rsidRPr="00851063">
        <w:rPr>
          <w:lang w:eastAsia="ja-JP"/>
        </w:rPr>
        <w:t xml:space="preserve"> plans to participate in CAISO’s markets, the interconnection is Commission</w:t>
      </w:r>
      <w:r w:rsidR="00A267A4">
        <w:rPr>
          <w:lang w:eastAsia="ja-JP"/>
        </w:rPr>
        <w:t xml:space="preserve"> </w:t>
      </w:r>
      <w:r w:rsidRPr="00851063">
        <w:rPr>
          <w:lang w:eastAsia="ja-JP"/>
        </w:rPr>
        <w:t xml:space="preserve">jurisdictional pursuant to the utility distribution company’s </w:t>
      </w:r>
      <w:r w:rsidRPr="00E86647" w:rsidR="00BB5BCE">
        <w:rPr>
          <w:lang w:eastAsia="ja-JP"/>
        </w:rPr>
        <w:t>Wholesale Distribution Access Tariff</w:t>
      </w:r>
      <w:r w:rsidRPr="00851063">
        <w:rPr>
          <w:lang w:eastAsia="ja-JP"/>
        </w:rPr>
        <w:t>.</w:t>
      </w:r>
      <w:r>
        <w:rPr>
          <w:rStyle w:val="FootnoteReference"/>
          <w:lang w:eastAsia="ja-JP"/>
        </w:rPr>
        <w:footnoteReference w:id="177"/>
      </w:r>
      <w:r w:rsidRPr="00851063">
        <w:rPr>
          <w:lang w:eastAsia="ja-JP"/>
        </w:rPr>
        <w:t xml:space="preserve">  </w:t>
      </w:r>
    </w:p>
    <w:p w:rsidR="003A6E73" w:rsidP="003A6E73" w:rsidRDefault="006B591B" w14:paraId="14592A32" w14:textId="147ADBEB">
      <w:pPr>
        <w:pStyle w:val="FERCparanumber"/>
        <w:rPr>
          <w:lang w:eastAsia="ja-JP"/>
        </w:rPr>
      </w:pPr>
      <w:r>
        <w:rPr>
          <w:lang w:eastAsia="ja-JP"/>
        </w:rPr>
        <w:t xml:space="preserve">In response to CAISO’s </w:t>
      </w:r>
      <w:r w:rsidR="000B1126">
        <w:rPr>
          <w:lang w:eastAsia="ja-JP"/>
        </w:rPr>
        <w:t>data request response</w:t>
      </w:r>
      <w:r>
        <w:rPr>
          <w:lang w:eastAsia="ja-JP"/>
        </w:rPr>
        <w:t xml:space="preserve">, </w:t>
      </w:r>
      <w:r w:rsidRPr="00FA1DDE">
        <w:rPr>
          <w:lang w:eastAsia="ja-JP"/>
        </w:rPr>
        <w:t>SoCal Edison clarif</w:t>
      </w:r>
      <w:r>
        <w:rPr>
          <w:lang w:eastAsia="ja-JP"/>
        </w:rPr>
        <w:t>ies</w:t>
      </w:r>
      <w:r w:rsidRPr="00FA1DDE">
        <w:rPr>
          <w:lang w:eastAsia="ja-JP"/>
        </w:rPr>
        <w:t xml:space="preserve"> that every SoCal Edison distribution facility with which a new resource seeks interconnection pursuant to the </w:t>
      </w:r>
      <w:r w:rsidRPr="00E86647" w:rsidR="00BB5BCE">
        <w:rPr>
          <w:lang w:eastAsia="ja-JP"/>
        </w:rPr>
        <w:t>Wholesale Distribution Access Tariff</w:t>
      </w:r>
      <w:r w:rsidRPr="00FA1DDE">
        <w:rPr>
          <w:lang w:eastAsia="ja-JP"/>
        </w:rPr>
        <w:t xml:space="preserve"> is already subject to an OATT for purposes of making wholesale sales.</w:t>
      </w:r>
      <w:r w:rsidRPr="00FA1DDE">
        <w:rPr>
          <w:b/>
          <w:vertAlign w:val="superscript"/>
          <w:lang w:eastAsia="ja-JP"/>
        </w:rPr>
        <w:footnoteReference w:id="178"/>
      </w:r>
      <w:r>
        <w:rPr>
          <w:lang w:eastAsia="ja-JP"/>
        </w:rPr>
        <w:t xml:space="preserve">  Pacific Gas &amp; Electric </w:t>
      </w:r>
      <w:r w:rsidR="0010668A">
        <w:rPr>
          <w:lang w:eastAsia="ja-JP"/>
        </w:rPr>
        <w:t>states</w:t>
      </w:r>
      <w:r>
        <w:rPr>
          <w:lang w:eastAsia="ja-JP"/>
        </w:rPr>
        <w:t xml:space="preserve"> that the Commission-jurisdictional </w:t>
      </w:r>
      <w:r w:rsidRPr="00E86647" w:rsidR="00BB5BCE">
        <w:rPr>
          <w:lang w:eastAsia="ja-JP"/>
        </w:rPr>
        <w:t>Wholesale Distribution Access Tariff</w:t>
      </w:r>
      <w:r>
        <w:rPr>
          <w:lang w:eastAsia="ja-JP"/>
        </w:rPr>
        <w:t xml:space="preserve"> is not only the primary, but also should be the exclusive</w:t>
      </w:r>
      <w:r w:rsidR="003767E3">
        <w:rPr>
          <w:lang w:eastAsia="ja-JP"/>
        </w:rPr>
        <w:t>,</w:t>
      </w:r>
      <w:r>
        <w:rPr>
          <w:lang w:eastAsia="ja-JP"/>
        </w:rPr>
        <w:t xml:space="preserve"> means of interconnecting certain distributed energy resources that wish to export energy for purposes of participating in the wholesale markets.</w:t>
      </w:r>
      <w:r>
        <w:rPr>
          <w:rStyle w:val="FootnoteReference"/>
          <w:lang w:eastAsia="ja-JP"/>
        </w:rPr>
        <w:footnoteReference w:id="179"/>
      </w:r>
      <w:r>
        <w:rPr>
          <w:lang w:eastAsia="ja-JP"/>
        </w:rPr>
        <w:t xml:space="preserve">  </w:t>
      </w:r>
      <w:r w:rsidR="00F03F72">
        <w:rPr>
          <w:lang w:eastAsia="ja-JP"/>
        </w:rPr>
        <w:t>It states</w:t>
      </w:r>
      <w:r w:rsidR="00476C71">
        <w:rPr>
          <w:lang w:eastAsia="ja-JP"/>
        </w:rPr>
        <w:t xml:space="preserve"> that this is important because </w:t>
      </w:r>
      <w:r w:rsidRPr="003A6E73" w:rsidR="003A6E73">
        <w:rPr>
          <w:lang w:eastAsia="ja-JP"/>
        </w:rPr>
        <w:t>California’s Rule 21, a state-jurisdictional tariff</w:t>
      </w:r>
      <w:r w:rsidR="003A6E73">
        <w:rPr>
          <w:lang w:eastAsia="ja-JP"/>
        </w:rPr>
        <w:t xml:space="preserve">, does not currently provide a methodology to separate wholesale from </w:t>
      </w:r>
      <w:r w:rsidRPr="009A4C71" w:rsidR="003A6E73">
        <w:rPr>
          <w:lang w:eastAsia="ja-JP"/>
        </w:rPr>
        <w:t xml:space="preserve">retail use </w:t>
      </w:r>
      <w:r w:rsidRPr="009A4C71" w:rsidR="0037648D">
        <w:rPr>
          <w:lang w:eastAsia="ja-JP"/>
        </w:rPr>
        <w:t>and thus</w:t>
      </w:r>
      <w:r w:rsidRPr="009A4C71" w:rsidR="0020030F">
        <w:rPr>
          <w:lang w:eastAsia="ja-JP"/>
        </w:rPr>
        <w:t xml:space="preserve"> could</w:t>
      </w:r>
      <w:r w:rsidRPr="009A4C71" w:rsidR="0037648D">
        <w:rPr>
          <w:lang w:eastAsia="ja-JP"/>
        </w:rPr>
        <w:t xml:space="preserve"> </w:t>
      </w:r>
      <w:r w:rsidRPr="009A4C71" w:rsidR="00172795">
        <w:rPr>
          <w:lang w:eastAsia="ja-JP"/>
        </w:rPr>
        <w:t xml:space="preserve">allow </w:t>
      </w:r>
      <w:r w:rsidRPr="009A4C71" w:rsidR="003A6E73">
        <w:rPr>
          <w:lang w:eastAsia="ja-JP"/>
        </w:rPr>
        <w:t>bypass of retail rates for behind-the-meter distributed</w:t>
      </w:r>
      <w:r w:rsidR="003A6E73">
        <w:rPr>
          <w:lang w:eastAsia="ja-JP"/>
        </w:rPr>
        <w:t xml:space="preserve"> energy resources that both consume and export electricity for both retail and wholesale purposes</w:t>
      </w:r>
      <w:r w:rsidRPr="003A6E73" w:rsidR="003A6E73">
        <w:rPr>
          <w:lang w:eastAsia="ja-JP"/>
        </w:rPr>
        <w:t>.</w:t>
      </w:r>
      <w:r w:rsidR="003A6E73">
        <w:rPr>
          <w:rStyle w:val="FootnoteReference"/>
          <w:lang w:eastAsia="ja-JP"/>
        </w:rPr>
        <w:footnoteReference w:id="180"/>
      </w:r>
      <w:r w:rsidR="003A6E73">
        <w:rPr>
          <w:lang w:eastAsia="ja-JP"/>
        </w:rPr>
        <w:t xml:space="preserve">  </w:t>
      </w:r>
      <w:r w:rsidR="00476C71">
        <w:rPr>
          <w:lang w:eastAsia="ja-JP"/>
        </w:rPr>
        <w:t xml:space="preserve"> </w:t>
      </w:r>
    </w:p>
    <w:p w:rsidR="006B591B" w:rsidP="006B591B" w:rsidRDefault="006B591B" w14:paraId="7145F51B" w14:textId="039EB353">
      <w:pPr>
        <w:pStyle w:val="FERCparanumber"/>
        <w:rPr>
          <w:lang w:eastAsia="ja-JP"/>
        </w:rPr>
      </w:pPr>
      <w:r>
        <w:rPr>
          <w:lang w:eastAsia="ja-JP"/>
        </w:rPr>
        <w:t>Pacific Gas &amp; Electric notes that CAISO’s existing Demand Response Provider participation model allows existing retail loads interconnected under state-approved tariffs to participate in wholesale markets as non-exporting Proxy Demand Response resources</w:t>
      </w:r>
      <w:r w:rsidR="00C61982">
        <w:rPr>
          <w:lang w:eastAsia="ja-JP"/>
        </w:rPr>
        <w:t xml:space="preserve"> without the risk of </w:t>
      </w:r>
      <w:r w:rsidR="00DB5262">
        <w:rPr>
          <w:lang w:eastAsia="ja-JP"/>
        </w:rPr>
        <w:t xml:space="preserve">bypassing </w:t>
      </w:r>
      <w:r w:rsidR="00C61982">
        <w:rPr>
          <w:lang w:eastAsia="ja-JP"/>
        </w:rPr>
        <w:t xml:space="preserve">retail </w:t>
      </w:r>
      <w:r w:rsidR="00DB5262">
        <w:rPr>
          <w:lang w:eastAsia="ja-JP"/>
        </w:rPr>
        <w:t>rates</w:t>
      </w:r>
      <w:r>
        <w:rPr>
          <w:lang w:eastAsia="ja-JP"/>
        </w:rPr>
        <w:t>.</w:t>
      </w:r>
      <w:r>
        <w:rPr>
          <w:rStyle w:val="FootnoteReference"/>
          <w:lang w:eastAsia="ja-JP"/>
        </w:rPr>
        <w:footnoteReference w:id="181"/>
      </w:r>
      <w:r>
        <w:rPr>
          <w:lang w:eastAsia="ja-JP"/>
        </w:rPr>
        <w:t xml:space="preserve">  Pacific Gas &amp; Electric explains that it and CAISO can </w:t>
      </w:r>
      <w:r w:rsidR="00C96459">
        <w:rPr>
          <w:lang w:eastAsia="ja-JP"/>
        </w:rPr>
        <w:t xml:space="preserve">avoid the risk of retail bypass by </w:t>
      </w:r>
      <w:r>
        <w:rPr>
          <w:lang w:eastAsia="ja-JP"/>
        </w:rPr>
        <w:t>requir</w:t>
      </w:r>
      <w:r w:rsidR="00C96459">
        <w:rPr>
          <w:lang w:eastAsia="ja-JP"/>
        </w:rPr>
        <w:t>ing</w:t>
      </w:r>
      <w:r>
        <w:rPr>
          <w:lang w:eastAsia="ja-JP"/>
        </w:rPr>
        <w:t xml:space="preserve"> any individual distributed energy resources in a distributed energy resource aggregation that had previously interconnected as non-exporting resources under </w:t>
      </w:r>
      <w:r w:rsidR="00EC34A8">
        <w:rPr>
          <w:lang w:eastAsia="ja-JP"/>
        </w:rPr>
        <w:t xml:space="preserve">California’s </w:t>
      </w:r>
      <w:r>
        <w:rPr>
          <w:lang w:eastAsia="ja-JP"/>
        </w:rPr>
        <w:t xml:space="preserve">Rule 21 and that now wish to export electricity to participate in wholesale markets to seek a new interconnection pursuant to, or to convert their existing interconnection to an agreement under, the </w:t>
      </w:r>
      <w:r w:rsidRPr="00E86647" w:rsidR="00BB5BCE">
        <w:rPr>
          <w:lang w:eastAsia="ja-JP"/>
        </w:rPr>
        <w:t>Wholesale Distribution Access Tariff</w:t>
      </w:r>
      <w:r>
        <w:rPr>
          <w:lang w:eastAsia="ja-JP"/>
        </w:rPr>
        <w:t xml:space="preserve">.  Pacific Gas &amp; Electric states that </w:t>
      </w:r>
      <w:r w:rsidR="00267C88">
        <w:rPr>
          <w:lang w:eastAsia="ja-JP"/>
        </w:rPr>
        <w:t>th</w:t>
      </w:r>
      <w:r w:rsidR="0010668A">
        <w:rPr>
          <w:lang w:eastAsia="ja-JP"/>
        </w:rPr>
        <w:t>is</w:t>
      </w:r>
      <w:r w:rsidR="00267C88">
        <w:rPr>
          <w:lang w:eastAsia="ja-JP"/>
        </w:rPr>
        <w:t xml:space="preserve"> </w:t>
      </w:r>
      <w:r w:rsidRPr="004F0258">
        <w:rPr>
          <w:lang w:eastAsia="ja-JP"/>
        </w:rPr>
        <w:t xml:space="preserve">framework </w:t>
      </w:r>
      <w:r>
        <w:rPr>
          <w:lang w:eastAsia="ja-JP"/>
        </w:rPr>
        <w:t>complies with the Commission’s implementation of the jurisdictional boundaries set forth in federal law</w:t>
      </w:r>
      <w:r w:rsidRPr="004F0258">
        <w:rPr>
          <w:lang w:eastAsia="ja-JP"/>
        </w:rPr>
        <w:t>.</w:t>
      </w:r>
      <w:r w:rsidRPr="004F0258">
        <w:rPr>
          <w:b/>
          <w:vertAlign w:val="superscript"/>
          <w:lang w:eastAsia="ja-JP"/>
        </w:rPr>
        <w:footnoteReference w:id="182"/>
      </w:r>
      <w:r>
        <w:rPr>
          <w:lang w:eastAsia="ja-JP"/>
        </w:rPr>
        <w:t xml:space="preserve">  </w:t>
      </w:r>
    </w:p>
    <w:p w:rsidR="00596EA3" w:rsidP="006B591B" w:rsidRDefault="00596EA3" w14:paraId="32621432" w14:textId="7F717682">
      <w:pPr>
        <w:pStyle w:val="FERCparanumber"/>
        <w:rPr>
          <w:lang w:eastAsia="ja-JP"/>
        </w:rPr>
      </w:pPr>
      <w:r>
        <w:t>AMP asserts that some of the RTO/ISO responses erroneously state that a distribution facility becomes Commission jurisdictional when a wholesale sale occurs over that distribution facility.  AMP asserts that it is the wholesale transaction, not the distribution line itself, that is subject to the Commission’s jurisdiction.</w:t>
      </w:r>
      <w:r>
        <w:rPr>
          <w:rStyle w:val="FootnoteReference"/>
        </w:rPr>
        <w:footnoteReference w:id="183"/>
      </w:r>
      <w:r>
        <w:t xml:space="preserve">  AMP also notes that RTO/ISO processes should refer to local jurisdiction and interconnection processes in addition to state processes because decision making is </w:t>
      </w:r>
      <w:r w:rsidR="00340EB7">
        <w:t xml:space="preserve">often </w:t>
      </w:r>
      <w:r>
        <w:t xml:space="preserve">done at the local level pursuant to local jurisdictional authority separate and distinct from state regulatory authority. </w:t>
      </w:r>
    </w:p>
    <w:p w:rsidR="005F22C4" w:rsidP="005F22C4" w:rsidRDefault="005F22C4" w14:paraId="24447364" w14:textId="27CAF97C">
      <w:pPr>
        <w:pStyle w:val="FERCparanumber"/>
        <w:autoSpaceDE w:val="0"/>
        <w:autoSpaceDN w:val="0"/>
        <w:adjustRightInd w:val="0"/>
      </w:pPr>
      <w:r>
        <w:rPr>
          <w:lang w:eastAsia="ja-JP"/>
        </w:rPr>
        <w:t>S</w:t>
      </w:r>
      <w:r w:rsidRPr="00E86647">
        <w:rPr>
          <w:lang w:eastAsia="ja-JP"/>
        </w:rPr>
        <w:t xml:space="preserve">everal commenters request that the Commission revise its interconnection policy as it applies to </w:t>
      </w:r>
      <w:r>
        <w:rPr>
          <w:lang w:eastAsia="ja-JP"/>
        </w:rPr>
        <w:t>distributed energy resources</w:t>
      </w:r>
      <w:r w:rsidRPr="00E86647">
        <w:rPr>
          <w:lang w:eastAsia="ja-JP"/>
        </w:rPr>
        <w:t>.</w:t>
      </w:r>
      <w:r>
        <w:rPr>
          <w:rStyle w:val="FootnoteReference"/>
          <w:lang w:eastAsia="ja-JP"/>
        </w:rPr>
        <w:footnoteReference w:id="184"/>
      </w:r>
      <w:r w:rsidRPr="00E86647">
        <w:rPr>
          <w:lang w:eastAsia="ja-JP"/>
        </w:rPr>
        <w:t xml:space="preserve">  A</w:t>
      </w:r>
      <w:r>
        <w:rPr>
          <w:lang w:eastAsia="ja-JP"/>
        </w:rPr>
        <w:t xml:space="preserve">dvanced </w:t>
      </w:r>
      <w:r w:rsidRPr="00E86647">
        <w:rPr>
          <w:lang w:eastAsia="ja-JP"/>
        </w:rPr>
        <w:t>E</w:t>
      </w:r>
      <w:r>
        <w:rPr>
          <w:lang w:eastAsia="ja-JP"/>
        </w:rPr>
        <w:t xml:space="preserve">nergy </w:t>
      </w:r>
      <w:r w:rsidRPr="00E86647">
        <w:rPr>
          <w:lang w:eastAsia="ja-JP"/>
        </w:rPr>
        <w:t>E</w:t>
      </w:r>
      <w:r>
        <w:rPr>
          <w:lang w:eastAsia="ja-JP"/>
        </w:rPr>
        <w:t>conomy</w:t>
      </w:r>
      <w:r w:rsidRPr="00E86647">
        <w:rPr>
          <w:lang w:eastAsia="ja-JP"/>
        </w:rPr>
        <w:t xml:space="preserve"> </w:t>
      </w:r>
      <w:r>
        <w:rPr>
          <w:lang w:eastAsia="ja-JP"/>
        </w:rPr>
        <w:t>states</w:t>
      </w:r>
      <w:r w:rsidRPr="00E86647">
        <w:rPr>
          <w:lang w:eastAsia="ja-JP"/>
        </w:rPr>
        <w:t xml:space="preserve"> that</w:t>
      </w:r>
      <w:r w:rsidRPr="00EC553F">
        <w:rPr>
          <w:lang w:eastAsia="ja-JP"/>
        </w:rPr>
        <w:t xml:space="preserve"> </w:t>
      </w:r>
      <w:r w:rsidRPr="00E86647">
        <w:rPr>
          <w:lang w:eastAsia="ja-JP"/>
        </w:rPr>
        <w:t xml:space="preserve">the Commission </w:t>
      </w:r>
      <w:r>
        <w:rPr>
          <w:lang w:eastAsia="ja-JP"/>
        </w:rPr>
        <w:t>could</w:t>
      </w:r>
      <w:r w:rsidRPr="00E86647">
        <w:rPr>
          <w:lang w:eastAsia="ja-JP"/>
        </w:rPr>
        <w:t xml:space="preserve"> work with </w:t>
      </w:r>
      <w:r w:rsidRPr="009943AE">
        <w:rPr>
          <w:lang w:eastAsia="ja-JP"/>
        </w:rPr>
        <w:t>relevant electric retail regulatory authorities</w:t>
      </w:r>
      <w:r w:rsidRPr="00E86647">
        <w:rPr>
          <w:lang w:eastAsia="ja-JP"/>
        </w:rPr>
        <w:t xml:space="preserve"> and distribution utilities to address interconnection requirements through standard interconnection tariffs in </w:t>
      </w:r>
      <w:r>
        <w:rPr>
          <w:lang w:eastAsia="ja-JP"/>
        </w:rPr>
        <w:t>those</w:t>
      </w:r>
      <w:r w:rsidRPr="00E86647">
        <w:rPr>
          <w:lang w:eastAsia="ja-JP"/>
        </w:rPr>
        <w:t xml:space="preserve"> states</w:t>
      </w:r>
      <w:r>
        <w:rPr>
          <w:lang w:eastAsia="ja-JP"/>
        </w:rPr>
        <w:t xml:space="preserve"> where</w:t>
      </w:r>
      <w:r w:rsidRPr="00E86647">
        <w:rPr>
          <w:lang w:eastAsia="ja-JP"/>
        </w:rPr>
        <w:t xml:space="preserve"> </w:t>
      </w:r>
      <w:r>
        <w:rPr>
          <w:lang w:eastAsia="ja-JP"/>
        </w:rPr>
        <w:t>distributed energy resources</w:t>
      </w:r>
      <w:r w:rsidRPr="00E86647">
        <w:rPr>
          <w:lang w:eastAsia="ja-JP"/>
        </w:rPr>
        <w:t xml:space="preserve"> </w:t>
      </w:r>
      <w:r>
        <w:rPr>
          <w:lang w:eastAsia="ja-JP"/>
        </w:rPr>
        <w:t>are not classified as QFs under PURPA</w:t>
      </w:r>
      <w:r>
        <w:rPr>
          <w:rStyle w:val="FootnoteReference"/>
          <w:lang w:eastAsia="ja-JP"/>
        </w:rPr>
        <w:footnoteReference w:id="185"/>
      </w:r>
      <w:r>
        <w:rPr>
          <w:lang w:eastAsia="ja-JP"/>
        </w:rPr>
        <w:t xml:space="preserve"> and for which no retail tariff exists</w:t>
      </w:r>
      <w:r w:rsidRPr="00E86647">
        <w:rPr>
          <w:lang w:eastAsia="ja-JP"/>
        </w:rPr>
        <w:t>.</w:t>
      </w:r>
      <w:r>
        <w:rPr>
          <w:rStyle w:val="FootnoteReference"/>
          <w:lang w:eastAsia="ja-JP"/>
        </w:rPr>
        <w:footnoteReference w:id="186"/>
      </w:r>
      <w:r>
        <w:rPr>
          <w:lang w:eastAsia="ja-JP"/>
        </w:rPr>
        <w:t xml:space="preserve">  </w:t>
      </w:r>
    </w:p>
    <w:p w:rsidR="005F22C4" w:rsidP="005F22C4" w:rsidRDefault="005F22C4" w14:paraId="710B8FD4" w14:textId="3EDC4F04">
      <w:pPr>
        <w:pStyle w:val="FERCparanumber"/>
        <w:autoSpaceDE w:val="0"/>
        <w:autoSpaceDN w:val="0"/>
        <w:adjustRightInd w:val="0"/>
      </w:pPr>
      <w:r w:rsidRPr="00E86647">
        <w:rPr>
          <w:lang w:eastAsia="ja-JP"/>
        </w:rPr>
        <w:t xml:space="preserve">Eversource argues that, because the participation of </w:t>
      </w:r>
      <w:r>
        <w:rPr>
          <w:lang w:eastAsia="ja-JP"/>
        </w:rPr>
        <w:t>distributed energy resource</w:t>
      </w:r>
      <w:r w:rsidRPr="00E86647">
        <w:rPr>
          <w:lang w:eastAsia="ja-JP"/>
        </w:rPr>
        <w:t xml:space="preserve">s in RTO/ISO markets could convert a previously state-jurisdictional distribution facility into a Commission-jurisdictional distribution facility and potentially necessitate hundreds or thousands of interconnection agreement filings, the Commission should revisit the interconnection agreement filing criteria for </w:t>
      </w:r>
      <w:r>
        <w:rPr>
          <w:lang w:eastAsia="ja-JP"/>
        </w:rPr>
        <w:t>distributed energy resource</w:t>
      </w:r>
      <w:r w:rsidRPr="00E86647">
        <w:rPr>
          <w:lang w:eastAsia="ja-JP"/>
        </w:rPr>
        <w:t>s and develop a process that fairly balances the administrative burden on parties with respect for Commission</w:t>
      </w:r>
      <w:r>
        <w:rPr>
          <w:lang w:eastAsia="ja-JP"/>
        </w:rPr>
        <w:t xml:space="preserve"> and </w:t>
      </w:r>
      <w:r w:rsidRPr="00E86647">
        <w:rPr>
          <w:lang w:eastAsia="ja-JP"/>
        </w:rPr>
        <w:t>state jurisdictional lines.</w:t>
      </w:r>
      <w:r>
        <w:rPr>
          <w:rStyle w:val="FootnoteReference"/>
          <w:lang w:eastAsia="ja-JP"/>
        </w:rPr>
        <w:footnoteReference w:id="187"/>
      </w:r>
      <w:r w:rsidRPr="00E86647">
        <w:rPr>
          <w:lang w:eastAsia="ja-JP"/>
        </w:rPr>
        <w:t xml:space="preserve">  Icetec requests that the Commission reinforce the traditional bright line between Commission and state jurisdiction at the transmission–distribution boundary by confirming that </w:t>
      </w:r>
      <w:r>
        <w:rPr>
          <w:lang w:eastAsia="ja-JP"/>
        </w:rPr>
        <w:t>relevant electric retail regulatory authorities</w:t>
      </w:r>
      <w:r w:rsidRPr="00E86647">
        <w:rPr>
          <w:lang w:eastAsia="ja-JP"/>
        </w:rPr>
        <w:t xml:space="preserve"> have sole jurisdiction over the interconnection of resources to the distribution system, while ensuring that that jurisdiction may not be used to discriminatorily restrict or condition </w:t>
      </w:r>
      <w:r>
        <w:rPr>
          <w:lang w:eastAsia="ja-JP"/>
        </w:rPr>
        <w:t>distributed energy resource</w:t>
      </w:r>
      <w:r w:rsidRPr="00E86647">
        <w:rPr>
          <w:lang w:eastAsia="ja-JP"/>
        </w:rPr>
        <w:t xml:space="preserve"> participation in RTO/ISO markets.</w:t>
      </w:r>
      <w:r>
        <w:rPr>
          <w:rStyle w:val="FootnoteReference"/>
          <w:lang w:eastAsia="ja-JP"/>
        </w:rPr>
        <w:footnoteReference w:id="188"/>
      </w:r>
      <w:r w:rsidRPr="00E86647">
        <w:rPr>
          <w:lang w:eastAsia="ja-JP"/>
        </w:rPr>
        <w:t xml:space="preserve">  </w:t>
      </w:r>
    </w:p>
    <w:p w:rsidR="00CA56BF" w:rsidP="005F22C4" w:rsidRDefault="005F22C4" w14:paraId="55A6BA82" w14:textId="141A008C">
      <w:pPr>
        <w:pStyle w:val="FERCparanumber"/>
      </w:pPr>
      <w:r w:rsidRPr="0071268C">
        <w:t xml:space="preserve">Advanced Energy </w:t>
      </w:r>
      <w:r>
        <w:t>Management</w:t>
      </w:r>
      <w:r w:rsidRPr="0071268C">
        <w:t xml:space="preserve"> request</w:t>
      </w:r>
      <w:r>
        <w:t>s</w:t>
      </w:r>
      <w:r w:rsidRPr="0071268C">
        <w:t xml:space="preserve"> that the Commission recognize the clear distinction between the distribution interconnection process and the wholesale market registration process.</w:t>
      </w:r>
      <w:r>
        <w:rPr>
          <w:rStyle w:val="FootnoteReference"/>
        </w:rPr>
        <w:footnoteReference w:id="189"/>
      </w:r>
      <w:r w:rsidRPr="0071268C">
        <w:t xml:space="preserve">  Advanced Energy </w:t>
      </w:r>
      <w:r>
        <w:t>Management</w:t>
      </w:r>
      <w:r w:rsidRPr="0071268C">
        <w:t xml:space="preserve"> states that </w:t>
      </w:r>
      <w:r>
        <w:t xml:space="preserve">the </w:t>
      </w:r>
      <w:r w:rsidRPr="0071268C">
        <w:t>C</w:t>
      </w:r>
      <w:r>
        <w:t>ommission</w:t>
      </w:r>
      <w:r w:rsidRPr="0071268C">
        <w:t xml:space="preserve"> has authority over </w:t>
      </w:r>
      <w:r>
        <w:t xml:space="preserve">the </w:t>
      </w:r>
      <w:r w:rsidRPr="0071268C">
        <w:t xml:space="preserve">criteria for wholesale market registration and participation, and that state and local regulators have authority over </w:t>
      </w:r>
      <w:r>
        <w:t xml:space="preserve">the </w:t>
      </w:r>
      <w:r w:rsidRPr="0071268C">
        <w:t>criteria for a non-discriminatory distribution interconnection process</w:t>
      </w:r>
      <w:r>
        <w:t xml:space="preserve"> that ensures that interconnecting distributed energy resources that wish to participate in the wholesale market do not create distribution reliability issues</w:t>
      </w:r>
      <w:r w:rsidRPr="0071268C">
        <w:t>.</w:t>
      </w:r>
      <w:r w:rsidRPr="00367C29">
        <w:rPr>
          <w:rStyle w:val="FootnoteReference"/>
        </w:rPr>
        <w:footnoteReference w:id="190"/>
      </w:r>
      <w:r w:rsidRPr="0071268C">
        <w:t xml:space="preserve"> </w:t>
      </w:r>
      <w:r>
        <w:t xml:space="preserve"> According to Advanced Energy Management, if a distributed energy resource imposes costs on the grid when it </w:t>
      </w:r>
      <w:r w:rsidR="00D107CD">
        <w:t>inter</w:t>
      </w:r>
      <w:r>
        <w:t xml:space="preserve">connects, regardless of reason, those costs can be recovered </w:t>
      </w:r>
      <w:r w:rsidR="004C0434">
        <w:t xml:space="preserve">as </w:t>
      </w:r>
      <w:r>
        <w:t>interconnection costs under the authority of state regulators.</w:t>
      </w:r>
      <w:r>
        <w:rPr>
          <w:rStyle w:val="FootnoteReference"/>
        </w:rPr>
        <w:footnoteReference w:id="191"/>
      </w:r>
      <w:r w:rsidRPr="0071268C">
        <w:t xml:space="preserve"> </w:t>
      </w:r>
      <w:r>
        <w:t xml:space="preserve"> </w:t>
      </w:r>
    </w:p>
    <w:p w:rsidR="005F22C4" w:rsidP="00CA56BF" w:rsidRDefault="00A20BD0" w14:paraId="7CE59D99" w14:textId="24D0149C">
      <w:pPr>
        <w:pStyle w:val="FERCparanumber"/>
      </w:pPr>
      <w:r w:rsidRPr="00E86647">
        <w:rPr>
          <w:lang w:eastAsia="ja-JP"/>
        </w:rPr>
        <w:t xml:space="preserve">Stem recommends that the Commission initiate a process to revise </w:t>
      </w:r>
      <w:r w:rsidR="00095B4F">
        <w:rPr>
          <w:lang w:eastAsia="ja-JP"/>
        </w:rPr>
        <w:t xml:space="preserve">distribution utilities’ </w:t>
      </w:r>
      <w:r w:rsidRPr="00E86647">
        <w:rPr>
          <w:lang w:eastAsia="ja-JP"/>
        </w:rPr>
        <w:t xml:space="preserve">interconnection tariffs (e.g., </w:t>
      </w:r>
      <w:r w:rsidR="00095B4F">
        <w:rPr>
          <w:lang w:eastAsia="ja-JP"/>
        </w:rPr>
        <w:t xml:space="preserve">the </w:t>
      </w:r>
      <w:r w:rsidRPr="00E86647">
        <w:rPr>
          <w:lang w:eastAsia="ja-JP"/>
        </w:rPr>
        <w:t xml:space="preserve">Wholesale Distribution Access </w:t>
      </w:r>
      <w:r w:rsidRPr="00E86647" w:rsidDel="00230085">
        <w:rPr>
          <w:lang w:eastAsia="ja-JP"/>
        </w:rPr>
        <w:t>Tariff</w:t>
      </w:r>
      <w:r w:rsidR="00095B4F">
        <w:rPr>
          <w:lang w:eastAsia="ja-JP"/>
        </w:rPr>
        <w:t>s in California</w:t>
      </w:r>
      <w:r w:rsidRPr="00E86647" w:rsidDel="00230085">
        <w:rPr>
          <w:lang w:eastAsia="ja-JP"/>
        </w:rPr>
        <w:t>)</w:t>
      </w:r>
      <w:r w:rsidRPr="00E86647">
        <w:rPr>
          <w:lang w:eastAsia="ja-JP"/>
        </w:rPr>
        <w:t xml:space="preserve"> so that (1) individual </w:t>
      </w:r>
      <w:r>
        <w:rPr>
          <w:lang w:eastAsia="ja-JP"/>
        </w:rPr>
        <w:t>distributed energy resources</w:t>
      </w:r>
      <w:r w:rsidRPr="00E86647">
        <w:rPr>
          <w:lang w:eastAsia="ja-JP"/>
        </w:rPr>
        <w:t>, participating through an aggregator, are not required to do more than satisfy the local interconnection requirements in order to offer residual capability through the RTO/ISO markets</w:t>
      </w:r>
      <w:r>
        <w:rPr>
          <w:lang w:eastAsia="ja-JP"/>
        </w:rPr>
        <w:t>,</w:t>
      </w:r>
      <w:r w:rsidRPr="00E86647">
        <w:rPr>
          <w:lang w:eastAsia="ja-JP"/>
        </w:rPr>
        <w:t xml:space="preserve"> and (2) the </w:t>
      </w:r>
      <w:r w:rsidR="00E17C5F">
        <w:rPr>
          <w:lang w:eastAsia="ja-JP"/>
        </w:rPr>
        <w:t xml:space="preserve">tariffs </w:t>
      </w:r>
      <w:r w:rsidRPr="00CD651E" w:rsidR="000F2FF4">
        <w:t>accommodate the potential for coordinated dispatch of a distributed energy resource aggregatio</w:t>
      </w:r>
      <w:r w:rsidR="000F2FF4">
        <w:t>n</w:t>
      </w:r>
      <w:r w:rsidRPr="00CD651E" w:rsidR="000F2FF4">
        <w:t xml:space="preserve"> such as including limitations on aggregated behavior due to distribution system constraints</w:t>
      </w:r>
      <w:r w:rsidR="000F2FF4">
        <w:t>, which</w:t>
      </w:r>
      <w:r w:rsidRPr="00CD651E" w:rsidR="000F2FF4">
        <w:t xml:space="preserve"> would be communicated to the RTO/ISO as a reduced size resource during registration</w:t>
      </w:r>
      <w:r w:rsidR="000F2FF4">
        <w:t xml:space="preserve"> as a market participant</w:t>
      </w:r>
      <w:r w:rsidRPr="00E86647">
        <w:rPr>
          <w:lang w:eastAsia="ja-JP"/>
        </w:rPr>
        <w:t>.</w:t>
      </w:r>
      <w:r>
        <w:rPr>
          <w:rStyle w:val="FootnoteReference"/>
          <w:lang w:eastAsia="ja-JP"/>
        </w:rPr>
        <w:footnoteReference w:id="192"/>
      </w:r>
      <w:r w:rsidRPr="00E86647" w:rsidR="005F22C4">
        <w:rPr>
          <w:lang w:eastAsia="ja-JP"/>
        </w:rPr>
        <w:t xml:space="preserve"> </w:t>
      </w:r>
      <w:r w:rsidR="005F22C4">
        <w:t xml:space="preserve"> </w:t>
      </w:r>
      <w:r w:rsidRPr="0071268C" w:rsidR="005F22C4">
        <w:t xml:space="preserve">Microgrid Resource Coalition </w:t>
      </w:r>
      <w:r w:rsidR="005F22C4">
        <w:t xml:space="preserve">similarly </w:t>
      </w:r>
      <w:r w:rsidRPr="0071268C" w:rsidR="005F22C4">
        <w:t>a</w:t>
      </w:r>
      <w:r w:rsidR="005F22C4">
        <w:t>sserts that a r</w:t>
      </w:r>
      <w:r w:rsidRPr="00594AA2" w:rsidR="005F22C4">
        <w:t xml:space="preserve">esponsive </w:t>
      </w:r>
      <w:r w:rsidR="005F22C4">
        <w:t>distributed energy resource</w:t>
      </w:r>
      <w:r w:rsidRPr="00594AA2" w:rsidR="005F22C4">
        <w:t xml:space="preserve"> </w:t>
      </w:r>
      <w:r w:rsidR="005F22C4">
        <w:t xml:space="preserve">needs to </w:t>
      </w:r>
      <w:r w:rsidRPr="00594AA2" w:rsidR="005F22C4">
        <w:t>specify its expected modes of operation</w:t>
      </w:r>
      <w:r w:rsidR="005F22C4">
        <w:t xml:space="preserve"> during the interconnection process</w:t>
      </w:r>
      <w:r w:rsidRPr="00594AA2" w:rsidR="005F22C4">
        <w:t xml:space="preserve"> </w:t>
      </w:r>
      <w:r w:rsidR="005F22C4">
        <w:t>by</w:t>
      </w:r>
      <w:r w:rsidRPr="00594AA2" w:rsidR="005F22C4">
        <w:t xml:space="preserve"> establish</w:t>
      </w:r>
      <w:r w:rsidR="005F22C4">
        <w:t>ing</w:t>
      </w:r>
      <w:r w:rsidRPr="00594AA2" w:rsidR="005F22C4">
        <w:t xml:space="preserve"> </w:t>
      </w:r>
      <w:r w:rsidR="005F22C4">
        <w:t>its</w:t>
      </w:r>
      <w:r w:rsidRPr="00594AA2" w:rsidR="005F22C4">
        <w:t xml:space="preserve"> physical capabilities subject to any residual distribution system constraints</w:t>
      </w:r>
      <w:r w:rsidR="005F22C4">
        <w:t xml:space="preserve">, which will </w:t>
      </w:r>
      <w:r w:rsidRPr="00594AA2" w:rsidR="005F22C4">
        <w:t>establish the limits of its ability to provide services to the grid</w:t>
      </w:r>
      <w:r w:rsidRPr="0071268C" w:rsidR="005F22C4">
        <w:t>.</w:t>
      </w:r>
      <w:r w:rsidRPr="00367C29" w:rsidR="005F22C4">
        <w:rPr>
          <w:rStyle w:val="FootnoteReference"/>
        </w:rPr>
        <w:footnoteReference w:id="193"/>
      </w:r>
      <w:r w:rsidRPr="0071268C" w:rsidR="005F22C4">
        <w:t xml:space="preserve">  </w:t>
      </w:r>
    </w:p>
    <w:p w:rsidR="006B591B" w:rsidP="006B591B" w:rsidRDefault="006B591B" w14:paraId="23D910D6" w14:textId="314CDF05">
      <w:pPr>
        <w:pStyle w:val="FERCparanumber"/>
        <w:rPr>
          <w:lang w:eastAsia="ja-JP"/>
        </w:rPr>
      </w:pPr>
      <w:r>
        <w:rPr>
          <w:lang w:eastAsia="ja-JP"/>
        </w:rPr>
        <w:t>Public Interest Organizations argue that some RTO/ISO tariffs present significant barriers to distributed energy resource interconnection, particularly those that require individual distributed energy resource</w:t>
      </w:r>
      <w:r w:rsidR="00605B67">
        <w:rPr>
          <w:lang w:eastAsia="ja-JP"/>
        </w:rPr>
        <w:t>s</w:t>
      </w:r>
      <w:r>
        <w:rPr>
          <w:lang w:eastAsia="ja-JP"/>
        </w:rPr>
        <w:t xml:space="preserve"> to complete a wholesale interconnection process.</w:t>
      </w:r>
      <w:r w:rsidR="00756E60">
        <w:rPr>
          <w:rStyle w:val="FootnoteReference"/>
          <w:lang w:eastAsia="ja-JP"/>
        </w:rPr>
        <w:footnoteReference w:id="194"/>
      </w:r>
      <w:r>
        <w:rPr>
          <w:lang w:eastAsia="ja-JP"/>
        </w:rPr>
        <w:t xml:space="preserve">  Therefore, Public Interest Organizations propose that distributed energy resource interconnection be solely under retail jurisdiction, and that RTO/ISO purview over distributed energy resource aggregations be limited to market rules, and where cause is shown, for transmission system impacts.</w:t>
      </w:r>
      <w:r w:rsidR="00756E60">
        <w:rPr>
          <w:rStyle w:val="FootnoteReference"/>
          <w:lang w:eastAsia="ja-JP"/>
        </w:rPr>
        <w:footnoteReference w:id="195"/>
      </w:r>
      <w:r>
        <w:rPr>
          <w:lang w:eastAsia="ja-JP"/>
        </w:rPr>
        <w:t xml:space="preserve"> </w:t>
      </w:r>
    </w:p>
    <w:p w:rsidRPr="003441EA" w:rsidR="00351253" w:rsidP="00052ED6" w:rsidRDefault="001552EC" w14:paraId="5A3D7F1D" w14:textId="358BB842">
      <w:pPr>
        <w:pStyle w:val="FERCparanumber"/>
        <w:rPr>
          <w:lang w:eastAsia="ja-JP"/>
        </w:rPr>
      </w:pPr>
      <w:r>
        <w:t>Some</w:t>
      </w:r>
      <w:r w:rsidR="00351253">
        <w:t xml:space="preserve"> </w:t>
      </w:r>
      <w:r>
        <w:t xml:space="preserve">commenters </w:t>
      </w:r>
      <w:r w:rsidR="00351253">
        <w:t>contend that</w:t>
      </w:r>
      <w:r w:rsidRPr="00612587" w:rsidR="00351253">
        <w:t xml:space="preserve"> </w:t>
      </w:r>
      <w:r w:rsidR="00351253">
        <w:t xml:space="preserve">PJM’s </w:t>
      </w:r>
      <w:r w:rsidRPr="00612587" w:rsidR="00351253">
        <w:t xml:space="preserve">interconnection processes impose significant transaction costs on </w:t>
      </w:r>
      <w:r w:rsidR="002A7ACF">
        <w:t>distributed energy resources</w:t>
      </w:r>
      <w:r w:rsidR="00351253">
        <w:t>.</w:t>
      </w:r>
      <w:r w:rsidR="00351253">
        <w:rPr>
          <w:rStyle w:val="FootnoteReference"/>
        </w:rPr>
        <w:footnoteReference w:id="196"/>
      </w:r>
      <w:r w:rsidR="00351253">
        <w:t xml:space="preserve">  Icetec </w:t>
      </w:r>
      <w:r w:rsidR="00D83095">
        <w:t>asserts</w:t>
      </w:r>
      <w:r w:rsidR="00351253">
        <w:t xml:space="preserve"> that every</w:t>
      </w:r>
      <w:r w:rsidRPr="004E5DAA" w:rsidR="00351253">
        <w:t xml:space="preserve"> </w:t>
      </w:r>
      <w:r w:rsidR="00351253">
        <w:t>distributed energy resource</w:t>
      </w:r>
      <w:r w:rsidRPr="004E5DAA" w:rsidR="00351253">
        <w:t xml:space="preserve"> that wishes to participate</w:t>
      </w:r>
      <w:r w:rsidRPr="004E5DAA" w:rsidR="002A7ACF">
        <w:t xml:space="preserve"> in PJM </w:t>
      </w:r>
      <w:r w:rsidRPr="004E5DAA" w:rsidR="00351253">
        <w:t>markets, no matter how small, must go through PJM’s interconnection queue</w:t>
      </w:r>
      <w:r w:rsidR="0041766A">
        <w:t>;</w:t>
      </w:r>
      <w:r w:rsidR="00351253">
        <w:t xml:space="preserve"> that </w:t>
      </w:r>
      <w:r w:rsidR="002C16CB">
        <w:t>a</w:t>
      </w:r>
      <w:r w:rsidR="0087211D">
        <w:t>n</w:t>
      </w:r>
      <w:r w:rsidR="002C16CB">
        <w:t xml:space="preserve"> </w:t>
      </w:r>
      <w:r w:rsidR="00351253">
        <w:t>individual res</w:t>
      </w:r>
      <w:r w:rsidR="0041766A">
        <w:t>idential</w:t>
      </w:r>
      <w:r w:rsidR="00351253">
        <w:t xml:space="preserve"> owner must </w:t>
      </w:r>
      <w:r w:rsidR="0001441C">
        <w:t>file</w:t>
      </w:r>
      <w:r w:rsidR="00351253">
        <w:t xml:space="preserve"> an OATT</w:t>
      </w:r>
      <w:r w:rsidRPr="0001441C" w:rsidR="0001441C">
        <w:t xml:space="preserve"> with </w:t>
      </w:r>
      <w:r w:rsidR="0050287D">
        <w:t>the Commission</w:t>
      </w:r>
      <w:r w:rsidRPr="0001441C" w:rsidR="0001441C">
        <w:t xml:space="preserve"> registering the 120 volt wiring in </w:t>
      </w:r>
      <w:r w:rsidR="00E5174A">
        <w:t>its</w:t>
      </w:r>
      <w:r w:rsidRPr="0001441C" w:rsidR="00E5174A">
        <w:t xml:space="preserve"> </w:t>
      </w:r>
      <w:r w:rsidRPr="0001441C" w:rsidR="0001441C">
        <w:t>house as a transmission provider</w:t>
      </w:r>
      <w:r w:rsidR="009A1BC7">
        <w:t xml:space="preserve"> </w:t>
      </w:r>
      <w:r w:rsidRPr="009A1BC7" w:rsidR="009A1BC7">
        <w:t xml:space="preserve">before a third party can apply to interconnect </w:t>
      </w:r>
      <w:r w:rsidR="009F16AA">
        <w:t>distributed energy resource</w:t>
      </w:r>
      <w:r w:rsidRPr="009A1BC7" w:rsidR="009A1BC7">
        <w:t>s located behind a residential meter</w:t>
      </w:r>
      <w:r w:rsidR="0041766A">
        <w:t>;</w:t>
      </w:r>
      <w:r w:rsidR="00351253">
        <w:t xml:space="preserve"> and that </w:t>
      </w:r>
      <w:r w:rsidRPr="0071268C" w:rsidR="00351253">
        <w:t>PJM</w:t>
      </w:r>
      <w:r w:rsidR="00351253">
        <w:t xml:space="preserve"> </w:t>
      </w:r>
      <w:r w:rsidRPr="0071268C" w:rsidR="00351253">
        <w:t>refer</w:t>
      </w:r>
      <w:r w:rsidR="00351253">
        <w:t>s most</w:t>
      </w:r>
      <w:r w:rsidRPr="0071268C" w:rsidR="00351253">
        <w:t xml:space="preserve"> distribution-connected projects to distribution utilities for further study</w:t>
      </w:r>
      <w:r w:rsidR="00351253">
        <w:t>,</w:t>
      </w:r>
      <w:r w:rsidRPr="0071268C" w:rsidR="00351253">
        <w:t xml:space="preserve"> </w:t>
      </w:r>
      <w:r w:rsidRPr="004E5DAA" w:rsidR="00351253">
        <w:t xml:space="preserve">even if the </w:t>
      </w:r>
      <w:r w:rsidR="00351253">
        <w:t>resource</w:t>
      </w:r>
      <w:r w:rsidRPr="004E5DAA" w:rsidR="00351253">
        <w:t xml:space="preserve"> is already interconnected and injecting power under a</w:t>
      </w:r>
      <w:r w:rsidR="00351253">
        <w:t xml:space="preserve"> </w:t>
      </w:r>
      <w:r w:rsidRPr="004E5DAA" w:rsidR="00351253">
        <w:t>distribution interconnection tariff</w:t>
      </w:r>
      <w:r w:rsidR="00351253">
        <w:t>.</w:t>
      </w:r>
      <w:r w:rsidR="0041766A">
        <w:rPr>
          <w:rStyle w:val="FootnoteReference"/>
        </w:rPr>
        <w:footnoteReference w:id="197"/>
      </w:r>
      <w:r w:rsidR="00351253">
        <w:t xml:space="preserve">  Icetec </w:t>
      </w:r>
      <w:r w:rsidR="008B5120">
        <w:t>claims that</w:t>
      </w:r>
      <w:r w:rsidR="009D6DE7">
        <w:t>, in contrast,</w:t>
      </w:r>
      <w:r w:rsidR="008B5120">
        <w:t xml:space="preserve"> distribution utilities may operate distributed energy resources attached to their systems without going through RTO/ISO interconnection, </w:t>
      </w:r>
      <w:r w:rsidR="009D6DE7">
        <w:t>which</w:t>
      </w:r>
      <w:r w:rsidRPr="0071268C" w:rsidR="00351253">
        <w:t xml:space="preserve"> creat</w:t>
      </w:r>
      <w:r w:rsidR="00351253">
        <w:t>es</w:t>
      </w:r>
      <w:r w:rsidRPr="0071268C" w:rsidR="00351253">
        <w:t xml:space="preserve"> partially discriminatory market access</w:t>
      </w:r>
      <w:r w:rsidR="00351253">
        <w:t xml:space="preserve"> by placing </w:t>
      </w:r>
      <w:r w:rsidRPr="004E5DAA" w:rsidR="00351253">
        <w:t xml:space="preserve">merchant </w:t>
      </w:r>
      <w:r w:rsidR="00351253">
        <w:t>distributed energy resource</w:t>
      </w:r>
      <w:r w:rsidRPr="004E5DAA" w:rsidR="00351253">
        <w:t xml:space="preserve"> developers at a significant disadvantage relative to incumbent utilities</w:t>
      </w:r>
      <w:r w:rsidR="00351253">
        <w:t>.</w:t>
      </w:r>
      <w:r w:rsidR="00351253">
        <w:rPr>
          <w:rStyle w:val="FootnoteReference"/>
        </w:rPr>
        <w:footnoteReference w:id="198"/>
      </w:r>
      <w:r w:rsidR="00351253">
        <w:t xml:space="preserve">  Icetec requests that the Commission require RTOs/ISOs to accept a distributed energy resource as deliverable to the wholesale transmission system, with further studies limited to the transmission system, when it is properly connected to the distribution system under an arrangement approved by the relevant electric retail regulatory authority</w:t>
      </w:r>
      <w:r w:rsidRPr="0071268C" w:rsidR="00351253">
        <w:t>.</w:t>
      </w:r>
      <w:r w:rsidRPr="00367C29" w:rsidR="00351253">
        <w:rPr>
          <w:rStyle w:val="FootnoteReference"/>
        </w:rPr>
        <w:footnoteReference w:id="199"/>
      </w:r>
      <w:r w:rsidR="00351253">
        <w:t xml:space="preserve">  Icetec </w:t>
      </w:r>
      <w:r w:rsidR="00835807">
        <w:t xml:space="preserve">also </w:t>
      </w:r>
      <w:r w:rsidR="00351253">
        <w:t xml:space="preserve">asks the Commission to </w:t>
      </w:r>
      <w:r w:rsidR="00AB466A">
        <w:t xml:space="preserve">both </w:t>
      </w:r>
      <w:r w:rsidR="00351253">
        <w:t>allow distributed energy resources that deliver to the transmission system at a bus that is primarily load</w:t>
      </w:r>
      <w:r w:rsidR="00F47B6E">
        <w:t>-</w:t>
      </w:r>
      <w:r w:rsidR="00351253">
        <w:t xml:space="preserve">serving to participate in wholesale markets without further transmission studies and to direct RTOs/ISOs to file tariff revisions setting procedures and timelines for </w:t>
      </w:r>
      <w:r w:rsidR="006737C0">
        <w:t xml:space="preserve">interconnection </w:t>
      </w:r>
      <w:r w:rsidR="00351253">
        <w:t xml:space="preserve">studies carried out by </w:t>
      </w:r>
      <w:r w:rsidRPr="003441EA" w:rsidR="00351253">
        <w:t>distribution utilities</w:t>
      </w:r>
      <w:r w:rsidRPr="003441EA" w:rsidR="00415C23">
        <w:t xml:space="preserve"> for interconnection of distribut</w:t>
      </w:r>
      <w:r w:rsidRPr="003441EA" w:rsidR="00060D91">
        <w:t>ed</w:t>
      </w:r>
      <w:r w:rsidRPr="003441EA" w:rsidR="00415C23">
        <w:t xml:space="preserve"> energy resources </w:t>
      </w:r>
      <w:bookmarkStart w:name="_Hlk39825044" w:id="32"/>
      <w:r w:rsidRPr="003441EA" w:rsidR="00060D91">
        <w:t>intending to</w:t>
      </w:r>
      <w:r w:rsidRPr="003441EA" w:rsidR="00415C23">
        <w:t xml:space="preserve"> </w:t>
      </w:r>
      <w:r w:rsidRPr="003441EA" w:rsidR="004860BB">
        <w:t>participate in RTO/ISO markets</w:t>
      </w:r>
      <w:bookmarkEnd w:id="32"/>
      <w:r w:rsidRPr="003441EA" w:rsidR="00351253">
        <w:t>.</w:t>
      </w:r>
      <w:r w:rsidRPr="003441EA" w:rsidR="00351253">
        <w:rPr>
          <w:rStyle w:val="FootnoteReference"/>
        </w:rPr>
        <w:footnoteReference w:id="200"/>
      </w:r>
      <w:r w:rsidRPr="003441EA" w:rsidR="00351253">
        <w:t xml:space="preserve">  </w:t>
      </w:r>
    </w:p>
    <w:p w:rsidR="009F045D" w:rsidP="00052ED6" w:rsidRDefault="002A7ACF" w14:paraId="14AD4706" w14:textId="01FB41B8">
      <w:pPr>
        <w:pStyle w:val="FERCparanumber"/>
        <w:rPr>
          <w:lang w:eastAsia="ja-JP"/>
        </w:rPr>
      </w:pPr>
      <w:r>
        <w:rPr>
          <w:lang w:eastAsia="ja-JP"/>
        </w:rPr>
        <w:t xml:space="preserve">UofD/Mensah </w:t>
      </w:r>
      <w:r w:rsidR="00771189">
        <w:rPr>
          <w:lang w:eastAsia="ja-JP"/>
        </w:rPr>
        <w:t>similarly</w:t>
      </w:r>
      <w:r>
        <w:rPr>
          <w:lang w:eastAsia="ja-JP"/>
        </w:rPr>
        <w:t xml:space="preserve"> </w:t>
      </w:r>
      <w:r w:rsidR="00907245">
        <w:rPr>
          <w:lang w:eastAsia="ja-JP"/>
        </w:rPr>
        <w:t>contend that</w:t>
      </w:r>
      <w:r w:rsidR="00421A01">
        <w:rPr>
          <w:lang w:eastAsia="ja-JP"/>
        </w:rPr>
        <w:t xml:space="preserve"> </w:t>
      </w:r>
      <w:r>
        <w:rPr>
          <w:lang w:eastAsia="ja-JP"/>
        </w:rPr>
        <w:t xml:space="preserve">PJM’s </w:t>
      </w:r>
      <w:r w:rsidRPr="00C12531">
        <w:rPr>
          <w:lang w:eastAsia="ja-JP"/>
        </w:rPr>
        <w:t xml:space="preserve">existing </w:t>
      </w:r>
      <w:r>
        <w:rPr>
          <w:lang w:eastAsia="ja-JP"/>
        </w:rPr>
        <w:t xml:space="preserve">processes </w:t>
      </w:r>
      <w:r w:rsidRPr="00C12531">
        <w:rPr>
          <w:lang w:eastAsia="ja-JP"/>
        </w:rPr>
        <w:t>are unjust and unreasonable</w:t>
      </w:r>
      <w:r>
        <w:rPr>
          <w:lang w:eastAsia="ja-JP"/>
        </w:rPr>
        <w:t xml:space="preserve"> in light of barriers that they present to small resources that interconnect under state or local jurisdiction.</w:t>
      </w:r>
      <w:r>
        <w:rPr>
          <w:rStyle w:val="FootnoteReference"/>
          <w:lang w:eastAsia="ja-JP"/>
        </w:rPr>
        <w:footnoteReference w:id="201"/>
      </w:r>
      <w:r>
        <w:rPr>
          <w:lang w:eastAsia="ja-JP"/>
        </w:rPr>
        <w:t xml:space="preserve">  According to UofD/Mensah, PJM imposes a more burdensome </w:t>
      </w:r>
      <w:r w:rsidR="00421A01">
        <w:rPr>
          <w:lang w:eastAsia="ja-JP"/>
        </w:rPr>
        <w:t xml:space="preserve">market participation </w:t>
      </w:r>
      <w:r>
        <w:rPr>
          <w:lang w:eastAsia="ja-JP"/>
        </w:rPr>
        <w:t>process on resources that interconnect under state or local jurisdiction than on resources that interconnect under Commission jurisdiction.</w:t>
      </w:r>
      <w:r>
        <w:rPr>
          <w:rStyle w:val="FootnoteReference"/>
          <w:lang w:eastAsia="ja-JP"/>
        </w:rPr>
        <w:footnoteReference w:id="202"/>
      </w:r>
      <w:r>
        <w:rPr>
          <w:lang w:eastAsia="ja-JP"/>
        </w:rPr>
        <w:t xml:space="preserve">  Specifically, they </w:t>
      </w:r>
      <w:r w:rsidR="00052ED6">
        <w:rPr>
          <w:lang w:eastAsia="ja-JP"/>
        </w:rPr>
        <w:t>contend</w:t>
      </w:r>
      <w:r>
        <w:rPr>
          <w:lang w:eastAsia="ja-JP"/>
        </w:rPr>
        <w:t xml:space="preserve"> that </w:t>
      </w:r>
      <w:r w:rsidR="00052ED6">
        <w:rPr>
          <w:lang w:eastAsia="ja-JP"/>
        </w:rPr>
        <w:t>PJM’s Small Generator Interconnection Procedures use screens based only on the local distribution system rather than studies to assess safety and reliability, require PJM to provide interconnection customers that pass the screens an Interconnection Service Agreement within 15-20 days of the request, and only cost $500 - $5,000 depending on the circumstances.  They assert, however, that for non-jurisdictional interconnections</w:t>
      </w:r>
      <w:r>
        <w:rPr>
          <w:lang w:eastAsia="ja-JP"/>
        </w:rPr>
        <w:t>,</w:t>
      </w:r>
      <w:r w:rsidR="00C5696F">
        <w:rPr>
          <w:lang w:eastAsia="ja-JP"/>
        </w:rPr>
        <w:t xml:space="preserve"> </w:t>
      </w:r>
      <w:r w:rsidR="00571AF5">
        <w:rPr>
          <w:lang w:eastAsia="ja-JP"/>
        </w:rPr>
        <w:t>each resource</w:t>
      </w:r>
      <w:r>
        <w:rPr>
          <w:lang w:eastAsia="ja-JP"/>
        </w:rPr>
        <w:t xml:space="preserve"> must wait up to six months for the queue study process to begin and </w:t>
      </w:r>
      <w:r w:rsidR="00571AF5">
        <w:rPr>
          <w:lang w:eastAsia="ja-JP"/>
        </w:rPr>
        <w:t>underg</w:t>
      </w:r>
      <w:r>
        <w:rPr>
          <w:lang w:eastAsia="ja-JP"/>
        </w:rPr>
        <w:t>o a Feasibility Study and sometimes a System Impact Study, expected to take three months each, before approval.  They assert that</w:t>
      </w:r>
      <w:r w:rsidRPr="002A7ACF">
        <w:t xml:space="preserve"> </w:t>
      </w:r>
      <w:r w:rsidR="00421A01">
        <w:rPr>
          <w:lang w:eastAsia="ja-JP"/>
        </w:rPr>
        <w:t>UofD was</w:t>
      </w:r>
      <w:r>
        <w:rPr>
          <w:lang w:eastAsia="ja-JP"/>
        </w:rPr>
        <w:t xml:space="preserve"> required to provide deposits </w:t>
      </w:r>
      <w:r w:rsidR="00F4576A">
        <w:rPr>
          <w:lang w:eastAsia="ja-JP"/>
        </w:rPr>
        <w:t>totaling</w:t>
      </w:r>
      <w:r>
        <w:rPr>
          <w:lang w:eastAsia="ja-JP"/>
        </w:rPr>
        <w:t xml:space="preserve"> $27,000 for </w:t>
      </w:r>
      <w:r w:rsidR="00421A01">
        <w:rPr>
          <w:lang w:eastAsia="ja-JP"/>
        </w:rPr>
        <w:t>its</w:t>
      </w:r>
      <w:r w:rsidR="007038AE">
        <w:rPr>
          <w:lang w:eastAsia="ja-JP"/>
        </w:rPr>
        <w:t xml:space="preserve"> 933 kW </w:t>
      </w:r>
      <w:r>
        <w:rPr>
          <w:lang w:eastAsia="ja-JP"/>
        </w:rPr>
        <w:t xml:space="preserve">electric vehicle project, which is nine times the deposit </w:t>
      </w:r>
      <w:r w:rsidR="008702DE">
        <w:rPr>
          <w:lang w:eastAsia="ja-JP"/>
        </w:rPr>
        <w:t xml:space="preserve">that </w:t>
      </w:r>
      <w:r>
        <w:rPr>
          <w:lang w:eastAsia="ja-JP"/>
        </w:rPr>
        <w:t>they would have been charged if the interconnection was Commission</w:t>
      </w:r>
      <w:r w:rsidR="00AA3408">
        <w:rPr>
          <w:lang w:eastAsia="ja-JP"/>
        </w:rPr>
        <w:t xml:space="preserve"> </w:t>
      </w:r>
      <w:r>
        <w:rPr>
          <w:lang w:eastAsia="ja-JP"/>
        </w:rPr>
        <w:t>jurisdictional.</w:t>
      </w:r>
      <w:r w:rsidR="00421A01">
        <w:rPr>
          <w:lang w:eastAsia="ja-JP"/>
        </w:rPr>
        <w:t xml:space="preserve">  </w:t>
      </w:r>
    </w:p>
    <w:p w:rsidRPr="00D4573D" w:rsidR="006B591B" w:rsidP="00E4561E" w:rsidRDefault="00E13F77" w14:paraId="7624D364" w14:textId="24B1494F">
      <w:pPr>
        <w:pStyle w:val="FERCparanumber"/>
        <w:rPr>
          <w:lang w:eastAsia="ja-JP"/>
        </w:rPr>
      </w:pPr>
      <w:r>
        <w:rPr>
          <w:lang w:eastAsia="ja-JP"/>
        </w:rPr>
        <w:t xml:space="preserve">UofD/Mensah therefore request that the Commission align the RTO/ISO </w:t>
      </w:r>
      <w:r w:rsidRPr="00326A86" w:rsidR="00326A86">
        <w:rPr>
          <w:lang w:eastAsia="ja-JP"/>
        </w:rPr>
        <w:t>market participation process</w:t>
      </w:r>
      <w:r>
        <w:rPr>
          <w:lang w:eastAsia="ja-JP"/>
        </w:rPr>
        <w:t xml:space="preserve"> requirements for non-Commission-jurisdictional interconnections with the </w:t>
      </w:r>
      <w:r w:rsidR="001703FE">
        <w:rPr>
          <w:lang w:eastAsia="ja-JP"/>
        </w:rPr>
        <w:t xml:space="preserve">Commission’s </w:t>
      </w:r>
      <w:r>
        <w:rPr>
          <w:lang w:eastAsia="ja-JP"/>
        </w:rPr>
        <w:t>Small Generator Interconnection Procedures.</w:t>
      </w:r>
      <w:r>
        <w:rPr>
          <w:rStyle w:val="FootnoteReference"/>
          <w:lang w:eastAsia="ja-JP"/>
        </w:rPr>
        <w:footnoteReference w:id="203"/>
      </w:r>
      <w:r>
        <w:rPr>
          <w:lang w:eastAsia="ja-JP"/>
        </w:rPr>
        <w:t xml:space="preserve">  </w:t>
      </w:r>
      <w:r w:rsidR="006B591B">
        <w:rPr>
          <w:lang w:eastAsia="ja-JP"/>
        </w:rPr>
        <w:t>UofD/Mensah</w:t>
      </w:r>
      <w:r w:rsidR="00907245">
        <w:rPr>
          <w:lang w:eastAsia="ja-JP"/>
        </w:rPr>
        <w:t xml:space="preserve"> also </w:t>
      </w:r>
      <w:r w:rsidR="006B591B">
        <w:rPr>
          <w:lang w:eastAsia="ja-JP"/>
        </w:rPr>
        <w:t>recommend that the current distributed energy resource interconnection process be improved by permitting a subset of small, behind-the-meter resources</w:t>
      </w:r>
      <w:r w:rsidR="0092032A">
        <w:rPr>
          <w:lang w:eastAsia="ja-JP"/>
        </w:rPr>
        <w:t xml:space="preserve"> </w:t>
      </w:r>
      <w:r w:rsidR="006B591B">
        <w:rPr>
          <w:lang w:eastAsia="ja-JP"/>
        </w:rPr>
        <w:t>that already have state or local interconnection approval to be automatically approved to provide wholesale services.</w:t>
      </w:r>
      <w:r w:rsidR="006B591B">
        <w:rPr>
          <w:rStyle w:val="FootnoteReference"/>
          <w:lang w:eastAsia="ja-JP"/>
        </w:rPr>
        <w:footnoteReference w:id="204"/>
      </w:r>
      <w:r w:rsidR="006B591B">
        <w:rPr>
          <w:lang w:eastAsia="ja-JP"/>
        </w:rPr>
        <w:t xml:space="preserve">  </w:t>
      </w:r>
      <w:r w:rsidR="0092032A">
        <w:rPr>
          <w:lang w:eastAsia="ja-JP"/>
        </w:rPr>
        <w:t xml:space="preserve">For those resources not automatically approved, </w:t>
      </w:r>
      <w:r w:rsidR="006B591B">
        <w:rPr>
          <w:lang w:eastAsia="ja-JP"/>
        </w:rPr>
        <w:t xml:space="preserve">UofD/Mensah </w:t>
      </w:r>
      <w:r w:rsidR="0092032A">
        <w:rPr>
          <w:lang w:eastAsia="ja-JP"/>
        </w:rPr>
        <w:t>recommend that the Commission limit the allowable cost and time of existing RTO/ISO processes</w:t>
      </w:r>
      <w:r w:rsidR="005C2A58">
        <w:rPr>
          <w:lang w:eastAsia="ja-JP"/>
        </w:rPr>
        <w:t xml:space="preserve"> and</w:t>
      </w:r>
      <w:r w:rsidR="0092032A">
        <w:rPr>
          <w:lang w:eastAsia="ja-JP"/>
        </w:rPr>
        <w:t xml:space="preserve"> allow aggregations to be studied as a group</w:t>
      </w:r>
      <w:r w:rsidR="006B591B">
        <w:rPr>
          <w:lang w:eastAsia="ja-JP"/>
        </w:rPr>
        <w:t xml:space="preserve">.  </w:t>
      </w:r>
      <w:r w:rsidR="009F045D">
        <w:rPr>
          <w:lang w:eastAsia="ja-JP"/>
        </w:rPr>
        <w:t xml:space="preserve">Finally, </w:t>
      </w:r>
      <w:r w:rsidR="006F71DC">
        <w:rPr>
          <w:lang w:eastAsia="ja-JP"/>
        </w:rPr>
        <w:t xml:space="preserve">after correcting the non-Commission-jurisdictional interconnection process, </w:t>
      </w:r>
      <w:r w:rsidR="009F045D">
        <w:rPr>
          <w:lang w:eastAsia="ja-JP"/>
        </w:rPr>
        <w:t xml:space="preserve">UofD/Mensah recommend that the Commission </w:t>
      </w:r>
      <w:r w:rsidR="006F71DC">
        <w:rPr>
          <w:lang w:eastAsia="ja-JP"/>
        </w:rPr>
        <w:t>consider</w:t>
      </w:r>
      <w:r w:rsidR="009F045D">
        <w:rPr>
          <w:lang w:eastAsia="ja-JP"/>
        </w:rPr>
        <w:t xml:space="preserve"> declin</w:t>
      </w:r>
      <w:r w:rsidR="006F71DC">
        <w:rPr>
          <w:lang w:eastAsia="ja-JP"/>
        </w:rPr>
        <w:t>ing</w:t>
      </w:r>
      <w:r w:rsidR="009F045D">
        <w:rPr>
          <w:lang w:eastAsia="ja-JP"/>
        </w:rPr>
        <w:t xml:space="preserve"> to exercise its authority over the interconnection of distributed energy resources that seek to provide wholesale services or at least clarify the </w:t>
      </w:r>
      <w:r w:rsidRPr="009A4C71" w:rsidR="00B1551F">
        <w:rPr>
          <w:lang w:eastAsia="ja-JP"/>
        </w:rPr>
        <w:t>“</w:t>
      </w:r>
      <w:r w:rsidRPr="009A4C71" w:rsidR="009F045D">
        <w:rPr>
          <w:lang w:eastAsia="ja-JP"/>
        </w:rPr>
        <w:t>dual-use doctrine</w:t>
      </w:r>
      <w:r w:rsidRPr="009A4C71" w:rsidR="00B1551F">
        <w:rPr>
          <w:lang w:eastAsia="ja-JP"/>
        </w:rPr>
        <w:t>”</w:t>
      </w:r>
      <w:r w:rsidRPr="009A4C71" w:rsidR="009F045D">
        <w:rPr>
          <w:lang w:eastAsia="ja-JP"/>
        </w:rPr>
        <w:t xml:space="preserve"> in specific cases so that developers need not rely on RTOs/ISOs to</w:t>
      </w:r>
      <w:r w:rsidR="009F045D">
        <w:rPr>
          <w:lang w:eastAsia="ja-JP"/>
        </w:rPr>
        <w:t xml:space="preserve"> interpret it.</w:t>
      </w:r>
      <w:r w:rsidR="009F045D">
        <w:rPr>
          <w:rStyle w:val="FootnoteReference"/>
          <w:lang w:eastAsia="ja-JP"/>
        </w:rPr>
        <w:footnoteReference w:id="205"/>
      </w:r>
      <w:r w:rsidR="009F045D">
        <w:rPr>
          <w:lang w:eastAsia="ja-JP"/>
        </w:rPr>
        <w:t xml:space="preserve">  </w:t>
      </w:r>
      <w:r w:rsidR="007038AE">
        <w:rPr>
          <w:lang w:eastAsia="ja-JP"/>
        </w:rPr>
        <w:t xml:space="preserve">In response to UofD/Mensah, </w:t>
      </w:r>
      <w:r w:rsidRPr="007038AE" w:rsidR="007038AE">
        <w:rPr>
          <w:lang w:eastAsia="ja-JP"/>
        </w:rPr>
        <w:t xml:space="preserve">PJM </w:t>
      </w:r>
      <w:r w:rsidR="007038AE">
        <w:rPr>
          <w:lang w:eastAsia="ja-JP"/>
        </w:rPr>
        <w:t>notes that</w:t>
      </w:r>
      <w:r w:rsidRPr="007038AE" w:rsidR="007038AE">
        <w:rPr>
          <w:lang w:eastAsia="ja-JP"/>
        </w:rPr>
        <w:t xml:space="preserve"> </w:t>
      </w:r>
      <w:r w:rsidR="00C5060D">
        <w:rPr>
          <w:lang w:eastAsia="ja-JP"/>
        </w:rPr>
        <w:t>its stakeholder process is currently considering</w:t>
      </w:r>
      <w:r w:rsidRPr="007038AE" w:rsidR="007038AE">
        <w:rPr>
          <w:lang w:eastAsia="ja-JP"/>
        </w:rPr>
        <w:t xml:space="preserve"> reforms designed to provide a “fast-track” avenue for processing energy-only resources under 2 MW.</w:t>
      </w:r>
      <w:r w:rsidR="007038AE">
        <w:rPr>
          <w:rStyle w:val="FootnoteReference"/>
          <w:lang w:eastAsia="ja-JP"/>
        </w:rPr>
        <w:footnoteReference w:id="206"/>
      </w:r>
    </w:p>
    <w:p w:rsidR="00747756" w:rsidP="006B591B" w:rsidRDefault="00747756" w14:paraId="5FEAB7E4" w14:textId="1CA3D266">
      <w:pPr>
        <w:pStyle w:val="FERCparanumber"/>
        <w:autoSpaceDE w:val="0"/>
        <w:autoSpaceDN w:val="0"/>
        <w:adjustRightInd w:val="0"/>
      </w:pPr>
      <w:r>
        <w:rPr>
          <w:lang w:eastAsia="ja-JP"/>
        </w:rPr>
        <w:t>Advanced Energy Economy asserts that the Commission does not need to address interconnection practices in order to issue a final rule, and suggests that, if the Commission is interested in exploring a different approach for interconnection of distributed energy resources, it should do so in a separate proceeding.</w:t>
      </w:r>
      <w:r>
        <w:rPr>
          <w:rStyle w:val="FootnoteReference"/>
          <w:lang w:eastAsia="ja-JP"/>
        </w:rPr>
        <w:footnoteReference w:id="207"/>
      </w:r>
      <w:r>
        <w:rPr>
          <w:lang w:eastAsia="ja-JP"/>
        </w:rPr>
        <w:t xml:space="preserve">  Advanced Energy Economy also asserts that each of the RTOs/ISOs described processes that are generally consistent with the Commission’s long-standing “dual use” policy.</w:t>
      </w:r>
      <w:r>
        <w:rPr>
          <w:rStyle w:val="FootnoteReference"/>
          <w:lang w:eastAsia="ja-JP"/>
        </w:rPr>
        <w:footnoteReference w:id="208"/>
      </w:r>
      <w:r>
        <w:rPr>
          <w:lang w:eastAsia="ja-JP"/>
        </w:rPr>
        <w:t xml:space="preserve">  </w:t>
      </w:r>
    </w:p>
    <w:p w:rsidR="006B591B" w:rsidP="006B591B" w:rsidRDefault="00CD76B8" w14:paraId="315ED511" w14:textId="02186267">
      <w:pPr>
        <w:pStyle w:val="FERCparanumber"/>
        <w:autoSpaceDE w:val="0"/>
        <w:autoSpaceDN w:val="0"/>
        <w:adjustRightInd w:val="0"/>
      </w:pPr>
      <w:r>
        <w:t>Several</w:t>
      </w:r>
      <w:r w:rsidRPr="0071268C" w:rsidR="006B591B">
        <w:t xml:space="preserve"> commenters a</w:t>
      </w:r>
      <w:r w:rsidR="006B591B">
        <w:t>r</w:t>
      </w:r>
      <w:r w:rsidRPr="0071268C" w:rsidR="006B591B">
        <w:t>g</w:t>
      </w:r>
      <w:r w:rsidR="006B591B">
        <w:t>u</w:t>
      </w:r>
      <w:r w:rsidRPr="0071268C" w:rsidR="006B591B">
        <w:t>e that distribution interconnection requirements should address distribution-level reliability concerns</w:t>
      </w:r>
      <w:r w:rsidR="006B591B">
        <w:t xml:space="preserve"> that are raised by the interconnection of distributed energy resources to distribution systems</w:t>
      </w:r>
      <w:r w:rsidRPr="0071268C" w:rsidR="006B591B">
        <w:t>.</w:t>
      </w:r>
      <w:r w:rsidRPr="00367C29" w:rsidR="006B591B">
        <w:rPr>
          <w:rStyle w:val="FootnoteReference"/>
        </w:rPr>
        <w:footnoteReference w:id="209"/>
      </w:r>
      <w:r w:rsidRPr="0071268C" w:rsidR="006B591B">
        <w:t xml:space="preserve">  </w:t>
      </w:r>
      <w:r w:rsidRPr="009A4C71" w:rsidR="006B591B">
        <w:t xml:space="preserve">Vice Chairman </w:t>
      </w:r>
      <w:r w:rsidRPr="009A4C71">
        <w:t>Place</w:t>
      </w:r>
      <w:r w:rsidRPr="009A4C71" w:rsidR="006B591B">
        <w:t xml:space="preserve"> of the Pennsylvania Public Utilities Commission</w:t>
      </w:r>
      <w:r w:rsidRPr="0071268C" w:rsidR="006B591B">
        <w:t xml:space="preserve"> argue</w:t>
      </w:r>
      <w:r w:rsidR="006B591B">
        <w:t>s</w:t>
      </w:r>
      <w:r w:rsidRPr="0071268C" w:rsidR="006B591B">
        <w:t xml:space="preserve"> for primacy of </w:t>
      </w:r>
      <w:r w:rsidR="000C355D">
        <w:t xml:space="preserve">a </w:t>
      </w:r>
      <w:r w:rsidRPr="0071268C" w:rsidR="006B591B">
        <w:t>distribution utility</w:t>
      </w:r>
      <w:r w:rsidR="00A831AF">
        <w:t>’s</w:t>
      </w:r>
      <w:r w:rsidRPr="0071268C" w:rsidR="006B591B">
        <w:t xml:space="preserve"> interconnection requirements in determining the eligibility of </w:t>
      </w:r>
      <w:r w:rsidR="006B591B">
        <w:t>distributed energy resource</w:t>
      </w:r>
      <w:r w:rsidRPr="0071268C" w:rsidR="006B591B">
        <w:t xml:space="preserve">s to participate in </w:t>
      </w:r>
      <w:r w:rsidR="006B591B">
        <w:t>distributed energy resource</w:t>
      </w:r>
      <w:r w:rsidRPr="0071268C" w:rsidR="006B591B">
        <w:t xml:space="preserve"> aggregations, and </w:t>
      </w:r>
      <w:r w:rsidR="003B222C">
        <w:t xml:space="preserve">asserts </w:t>
      </w:r>
      <w:r w:rsidRPr="0071268C" w:rsidR="006B591B">
        <w:t xml:space="preserve">that </w:t>
      </w:r>
      <w:r w:rsidR="006B591B">
        <w:t>distributed energy resource</w:t>
      </w:r>
      <w:r w:rsidRPr="0071268C" w:rsidR="006B591B">
        <w:t xml:space="preserve"> aggregation</w:t>
      </w:r>
      <w:r w:rsidR="006B591B">
        <w:t>s</w:t>
      </w:r>
      <w:r w:rsidRPr="0071268C" w:rsidR="006B591B">
        <w:t xml:space="preserve"> may necessitate new interconnection requirements or study.</w:t>
      </w:r>
      <w:r w:rsidR="003B222C">
        <w:rPr>
          <w:rStyle w:val="FootnoteReference"/>
        </w:rPr>
        <w:footnoteReference w:id="210"/>
      </w:r>
      <w:r w:rsidRPr="0071268C" w:rsidR="006B591B">
        <w:t xml:space="preserve">  </w:t>
      </w:r>
      <w:r w:rsidRPr="009A4C71" w:rsidR="006B591B">
        <w:t>Vice Chairman Place</w:t>
      </w:r>
      <w:r w:rsidRPr="00E66DF7" w:rsidR="006B591B">
        <w:t xml:space="preserve"> asserts</w:t>
      </w:r>
      <w:r w:rsidRPr="0071268C" w:rsidR="006B591B">
        <w:t xml:space="preserve"> that distribution utilities are authorized by state regulators to protect distribution operations, </w:t>
      </w:r>
      <w:r w:rsidR="006B591B">
        <w:t>and that distributed energy resources</w:t>
      </w:r>
      <w:r w:rsidRPr="0071268C" w:rsidR="006B591B">
        <w:t xml:space="preserve"> participati</w:t>
      </w:r>
      <w:r w:rsidR="006B591B">
        <w:t>ng</w:t>
      </w:r>
      <w:r w:rsidRPr="0071268C" w:rsidR="006B591B">
        <w:t xml:space="preserve"> in aggregations will need to comply with state</w:t>
      </w:r>
      <w:r w:rsidR="004964ED">
        <w:t>-</w:t>
      </w:r>
      <w:r w:rsidRPr="0071268C" w:rsidR="006B591B">
        <w:t>level interconnection agreements.</w:t>
      </w:r>
      <w:r w:rsidRPr="00367C29" w:rsidR="006B591B">
        <w:rPr>
          <w:rStyle w:val="FootnoteReference"/>
        </w:rPr>
        <w:footnoteReference w:id="211"/>
      </w:r>
      <w:r w:rsidRPr="0071268C" w:rsidR="006B591B">
        <w:t xml:space="preserve">  </w:t>
      </w:r>
      <w:r w:rsidRPr="00B136B1" w:rsidR="008E027D">
        <w:rPr>
          <w:lang w:eastAsia="ja-JP" w:bidi="en-US"/>
        </w:rPr>
        <w:t xml:space="preserve">FirstEnergy argues </w:t>
      </w:r>
      <w:r w:rsidR="008E027D">
        <w:rPr>
          <w:lang w:eastAsia="ja-JP" w:bidi="en-US"/>
        </w:rPr>
        <w:t>that s</w:t>
      </w:r>
      <w:r w:rsidRPr="00B136B1" w:rsidR="008E027D">
        <w:rPr>
          <w:lang w:eastAsia="ja-JP" w:bidi="en-US"/>
        </w:rPr>
        <w:t xml:space="preserve">tates </w:t>
      </w:r>
      <w:r w:rsidR="008E027D">
        <w:rPr>
          <w:lang w:eastAsia="ja-JP" w:bidi="en-US"/>
        </w:rPr>
        <w:t>must address the development of distributed energy resource interconnection standards and technical requirements</w:t>
      </w:r>
      <w:r w:rsidR="00FE6F53">
        <w:rPr>
          <w:lang w:eastAsia="ja-JP" w:bidi="en-US"/>
        </w:rPr>
        <w:t>, and</w:t>
      </w:r>
      <w:r w:rsidRPr="00B136B1" w:rsidR="008E027D">
        <w:rPr>
          <w:lang w:eastAsia="ja-JP" w:bidi="en-US"/>
        </w:rPr>
        <w:t xml:space="preserve"> that distribution utilities are best situated to identify system issues that may affect ongoing reliable operations on local systems.</w:t>
      </w:r>
      <w:r w:rsidR="00756E60">
        <w:rPr>
          <w:rStyle w:val="FootnoteReference"/>
          <w:lang w:eastAsia="ja-JP" w:bidi="en-US"/>
        </w:rPr>
        <w:footnoteReference w:id="212"/>
      </w:r>
      <w:r w:rsidR="008E027D">
        <w:rPr>
          <w:lang w:eastAsia="ja-JP"/>
        </w:rPr>
        <w:t xml:space="preserve">  </w:t>
      </w:r>
    </w:p>
    <w:p w:rsidR="006B591B" w:rsidDel="00244B19" w:rsidP="00967110" w:rsidRDefault="006B591B" w14:paraId="1E20B901" w14:textId="217F339E">
      <w:pPr>
        <w:pStyle w:val="FERCparanumber"/>
        <w:rPr>
          <w:lang w:eastAsia="ja-JP"/>
        </w:rPr>
      </w:pPr>
      <w:r w:rsidRPr="0071268C">
        <w:t xml:space="preserve">Several commenters argue that </w:t>
      </w:r>
      <w:r w:rsidR="006C2AB2">
        <w:t xml:space="preserve">the RTOs/ISOs should perform </w:t>
      </w:r>
      <w:r w:rsidR="00086CB8">
        <w:t xml:space="preserve">some sort of </w:t>
      </w:r>
      <w:r w:rsidR="006C2AB2">
        <w:t>study of a distributed energy resource aggregation</w:t>
      </w:r>
      <w:r w:rsidR="00972D81">
        <w:t xml:space="preserve"> because </w:t>
      </w:r>
      <w:r w:rsidRPr="0071268C">
        <w:t xml:space="preserve">distribution-level interconnection </w:t>
      </w:r>
      <w:r>
        <w:t>review</w:t>
      </w:r>
      <w:r w:rsidRPr="0071268C">
        <w:t xml:space="preserve">s are </w:t>
      </w:r>
      <w:r w:rsidR="00AE0D9E">
        <w:t>only a</w:t>
      </w:r>
      <w:r w:rsidRPr="0071268C">
        <w:t xml:space="preserve"> reliability and safety check for individual resources, </w:t>
      </w:r>
      <w:r w:rsidR="00AE0D9E">
        <w:t>and</w:t>
      </w:r>
      <w:r w:rsidRPr="0071268C">
        <w:t xml:space="preserve"> do not evaluate the combined impact that an aggregation would have on the system or the impact that the </w:t>
      </w:r>
      <w:r>
        <w:t>distributed energy resource</w:t>
      </w:r>
      <w:r w:rsidRPr="0071268C">
        <w:t xml:space="preserve"> will have on the system if it chooses to participate in an aggregation.</w:t>
      </w:r>
      <w:r w:rsidRPr="00367C29">
        <w:rPr>
          <w:rStyle w:val="FootnoteReference"/>
        </w:rPr>
        <w:footnoteReference w:id="213"/>
      </w:r>
      <w:r w:rsidRPr="0071268C">
        <w:t xml:space="preserve">  EEI, PJM Utilities Coalition, and S</w:t>
      </w:r>
      <w:r>
        <w:t xml:space="preserve">an </w:t>
      </w:r>
      <w:r w:rsidRPr="0071268C">
        <w:t>D</w:t>
      </w:r>
      <w:r>
        <w:t xml:space="preserve">iego </w:t>
      </w:r>
      <w:r w:rsidRPr="0071268C">
        <w:t>G</w:t>
      </w:r>
      <w:r>
        <w:t xml:space="preserve">as </w:t>
      </w:r>
      <w:r w:rsidRPr="0071268C">
        <w:t>&amp;</w:t>
      </w:r>
      <w:r>
        <w:t xml:space="preserve"> </w:t>
      </w:r>
      <w:r w:rsidRPr="0071268C">
        <w:t>E</w:t>
      </w:r>
      <w:r>
        <w:t>lectric</w:t>
      </w:r>
      <w:r w:rsidRPr="0071268C">
        <w:t xml:space="preserve"> recommend that an aggregation study be done if a </w:t>
      </w:r>
      <w:r>
        <w:t>distributed energy resource</w:t>
      </w:r>
      <w:r w:rsidRPr="0071268C">
        <w:t xml:space="preserve"> joins an aggregation and if the composition of an aggregation changes after registration.</w:t>
      </w:r>
      <w:r w:rsidRPr="00367C29">
        <w:rPr>
          <w:rStyle w:val="FootnoteReference"/>
        </w:rPr>
        <w:footnoteReference w:id="214"/>
      </w:r>
      <w:r w:rsidRPr="0071268C">
        <w:t xml:space="preserve">  TAPS agrees</w:t>
      </w:r>
      <w:r w:rsidR="004C1AC0">
        <w:t>,</w:t>
      </w:r>
      <w:r w:rsidRPr="0071268C">
        <w:t xml:space="preserve"> and notes that</w:t>
      </w:r>
      <w:r w:rsidR="004A60F5">
        <w:t>,</w:t>
      </w:r>
      <w:r w:rsidRPr="0071268C">
        <w:t xml:space="preserve"> </w:t>
      </w:r>
      <w:r>
        <w:t>even for distribution utilities with robust generation interconnection processes that include rigorous modeling and studies, it may be impossible to anticipate and fully evaluate every possible combination of loads, resources, and distribution system configurations to determine in advance whether potential RTO/ISO and distributed energy resource aggregator dispatch decisions might have adverse impacts.</w:t>
      </w:r>
      <w:r w:rsidRPr="00367C29">
        <w:rPr>
          <w:rStyle w:val="FootnoteReference"/>
        </w:rPr>
        <w:footnoteReference w:id="215"/>
      </w:r>
      <w:r w:rsidRPr="0071268C">
        <w:t xml:space="preserve">  </w:t>
      </w:r>
      <w:r>
        <w:t xml:space="preserve">Similarly, </w:t>
      </w:r>
      <w:r w:rsidRPr="0071268C">
        <w:t xml:space="preserve">NRECA asserts that an interconnection agreement with the </w:t>
      </w:r>
      <w:r>
        <w:t>distributed energy resource</w:t>
      </w:r>
      <w:r w:rsidRPr="0071268C">
        <w:t xml:space="preserve"> is necessary but not sufficient</w:t>
      </w:r>
      <w:r>
        <w:t>; NRECA argues</w:t>
      </w:r>
      <w:r w:rsidRPr="0071268C">
        <w:t xml:space="preserve"> that distribution utilit</w:t>
      </w:r>
      <w:r>
        <w:t>ie</w:t>
      </w:r>
      <w:r w:rsidRPr="0071268C">
        <w:t xml:space="preserve">s need to be able to conduct an integration study within a reasonable timeline that considers grid topology, </w:t>
      </w:r>
      <w:r>
        <w:t>as well as to modify their interconnection procedures to ensure third-party distributed energy resource participation in RTO/ISO markets will not create any</w:t>
      </w:r>
      <w:r w:rsidRPr="0071268C">
        <w:t xml:space="preserve"> safety, reliability or power quality concerns</w:t>
      </w:r>
      <w:r>
        <w:t xml:space="preserve">, and that implementation will </w:t>
      </w:r>
      <w:r w:rsidRPr="0071268C">
        <w:t>conform with IEEE standards (such as IEEE 1547).</w:t>
      </w:r>
      <w:r w:rsidRPr="00367C29">
        <w:rPr>
          <w:rStyle w:val="FootnoteReference"/>
        </w:rPr>
        <w:footnoteReference w:id="216"/>
      </w:r>
      <w:r w:rsidRPr="0071268C">
        <w:t xml:space="preserve">  Pacific Gas &amp; Electric concurs with the need to modify existing </w:t>
      </w:r>
      <w:r w:rsidR="006A08BA">
        <w:t xml:space="preserve">processes and protocols for distribution review requirements for assessing aggregation impacts </w:t>
      </w:r>
      <w:r w:rsidRPr="0071268C">
        <w:t>and points to an ongoing collaborative process underway in California that requires additional time to complete.</w:t>
      </w:r>
      <w:r w:rsidRPr="00367C29">
        <w:rPr>
          <w:rStyle w:val="FootnoteReference"/>
        </w:rPr>
        <w:footnoteReference w:id="217"/>
      </w:r>
      <w:r w:rsidRPr="0071268C">
        <w:t xml:space="preserve">  </w:t>
      </w:r>
    </w:p>
    <w:p w:rsidRPr="009A4C71" w:rsidR="00CC795B" w:rsidDel="00244B19" w:rsidP="00967110" w:rsidRDefault="008A6C9D" w14:paraId="30F8BB60" w14:textId="11CFADE2">
      <w:pPr>
        <w:pStyle w:val="FERCparanumber"/>
        <w:rPr>
          <w:lang w:eastAsia="ja-JP"/>
        </w:rPr>
      </w:pPr>
      <w:r>
        <w:t>On the other hand, s</w:t>
      </w:r>
      <w:r w:rsidR="00CC795B">
        <w:t>everal commenters raise concerns about the use of distribution interconnection processes to limit participation of distribut</w:t>
      </w:r>
      <w:r w:rsidR="00143418">
        <w:t>ed</w:t>
      </w:r>
      <w:r w:rsidR="00CC795B">
        <w:t xml:space="preserve"> energy resources in wholesale markets. </w:t>
      </w:r>
      <w:r>
        <w:t xml:space="preserve"> </w:t>
      </w:r>
      <w:r w:rsidR="00CC795B">
        <w:t xml:space="preserve">Advanced Energy Economy argues </w:t>
      </w:r>
      <w:r w:rsidRPr="0071268C" w:rsidR="00CC795B">
        <w:rPr>
          <w:szCs w:val="26"/>
        </w:rPr>
        <w:t xml:space="preserve">that </w:t>
      </w:r>
      <w:r w:rsidR="00CC795B">
        <w:rPr>
          <w:szCs w:val="26"/>
        </w:rPr>
        <w:t xml:space="preserve">the </w:t>
      </w:r>
      <w:r w:rsidRPr="0071268C" w:rsidR="00CC795B">
        <w:t xml:space="preserve">distribution interconnection </w:t>
      </w:r>
      <w:r w:rsidRPr="0071268C" w:rsidR="00CC795B">
        <w:rPr>
          <w:szCs w:val="26"/>
        </w:rPr>
        <w:t>process should not be used as a lever to unduly limit participation in wholesale markets.</w:t>
      </w:r>
      <w:r w:rsidRPr="00367C29" w:rsidR="00CC795B">
        <w:rPr>
          <w:rStyle w:val="FootnoteReference"/>
        </w:rPr>
        <w:footnoteReference w:id="218"/>
      </w:r>
      <w:r w:rsidRPr="0071268C" w:rsidR="00CC795B">
        <w:rPr>
          <w:szCs w:val="26"/>
        </w:rPr>
        <w:t xml:space="preserve">  </w:t>
      </w:r>
      <w:r w:rsidR="00CC795B">
        <w:rPr>
          <w:szCs w:val="26"/>
        </w:rPr>
        <w:t xml:space="preserve">Similarly, </w:t>
      </w:r>
      <w:r w:rsidRPr="0071268C" w:rsidR="00CC795B">
        <w:rPr>
          <w:szCs w:val="26"/>
        </w:rPr>
        <w:t xml:space="preserve">Stem asserts that the Commission </w:t>
      </w:r>
      <w:r w:rsidRPr="005777A8" w:rsidR="00CC795B">
        <w:rPr>
          <w:szCs w:val="26"/>
        </w:rPr>
        <w:t xml:space="preserve">must prevent a distribution utility from imposing discriminatory state-level interconnection requirements that are intended to foreclose </w:t>
      </w:r>
      <w:r w:rsidR="00CC795B">
        <w:rPr>
          <w:szCs w:val="26"/>
        </w:rPr>
        <w:t>distributed energy resource</w:t>
      </w:r>
      <w:r w:rsidRPr="005777A8" w:rsidR="00CC795B">
        <w:rPr>
          <w:szCs w:val="26"/>
        </w:rPr>
        <w:t>s from participating in the RTO/ISO markets.</w:t>
      </w:r>
      <w:r w:rsidRPr="00D377EB" w:rsidR="00CC795B">
        <w:rPr>
          <w:rStyle w:val="FootnoteReference"/>
        </w:rPr>
        <w:footnoteReference w:id="219"/>
      </w:r>
      <w:r w:rsidR="00CC795B">
        <w:rPr>
          <w:szCs w:val="26"/>
        </w:rPr>
        <w:t xml:space="preserve">  </w:t>
      </w:r>
      <w:r w:rsidRPr="0071268C" w:rsidR="00CC795B">
        <w:rPr>
          <w:szCs w:val="26"/>
        </w:rPr>
        <w:t>Stem asserts that</w:t>
      </w:r>
      <w:r w:rsidR="00CC795B">
        <w:rPr>
          <w:szCs w:val="26"/>
        </w:rPr>
        <w:t>, for instance,</w:t>
      </w:r>
      <w:r w:rsidRPr="0071268C" w:rsidR="00CC795B">
        <w:rPr>
          <w:szCs w:val="26"/>
        </w:rPr>
        <w:t xml:space="preserve"> the Commission should not allow the distribution utilities to effectively veto </w:t>
      </w:r>
      <w:r w:rsidR="00CC795B">
        <w:rPr>
          <w:szCs w:val="26"/>
        </w:rPr>
        <w:t>distributed energy resource</w:t>
      </w:r>
      <w:r w:rsidRPr="0071268C" w:rsidR="00CC795B">
        <w:rPr>
          <w:szCs w:val="26"/>
        </w:rPr>
        <w:t xml:space="preserve"> participation </w:t>
      </w:r>
      <w:r w:rsidR="00CC795B">
        <w:rPr>
          <w:szCs w:val="26"/>
        </w:rPr>
        <w:t xml:space="preserve">in wholesale markets </w:t>
      </w:r>
      <w:r w:rsidRPr="0071268C" w:rsidR="00CC795B">
        <w:rPr>
          <w:szCs w:val="26"/>
        </w:rPr>
        <w:t>by</w:t>
      </w:r>
      <w:r w:rsidR="00CC795B">
        <w:rPr>
          <w:szCs w:val="26"/>
        </w:rPr>
        <w:t xml:space="preserve"> unreasonably</w:t>
      </w:r>
      <w:r w:rsidRPr="0071268C" w:rsidR="00CC795B">
        <w:rPr>
          <w:szCs w:val="26"/>
        </w:rPr>
        <w:t xml:space="preserve"> delaying necessary updates to interconnection tariffs.</w:t>
      </w:r>
      <w:r w:rsidRPr="00367C29" w:rsidR="00CC795B">
        <w:rPr>
          <w:rStyle w:val="FootnoteReference"/>
        </w:rPr>
        <w:footnoteReference w:id="220"/>
      </w:r>
      <w:r w:rsidRPr="0071268C" w:rsidR="00CC795B">
        <w:rPr>
          <w:szCs w:val="26"/>
        </w:rPr>
        <w:t xml:space="preserve">  </w:t>
      </w:r>
      <w:r w:rsidRPr="0071268C" w:rsidR="00CC795B">
        <w:t xml:space="preserve">Advanced Energy Management and Icetec </w:t>
      </w:r>
      <w:r w:rsidRPr="000A6E96" w:rsidR="00CC795B">
        <w:t xml:space="preserve">agree that </w:t>
      </w:r>
      <w:r w:rsidR="00CC795B">
        <w:t xml:space="preserve">distributed energy resources should comply with </w:t>
      </w:r>
      <w:r w:rsidRPr="000A6E96" w:rsidR="00CC795B">
        <w:t xml:space="preserve">distribution interconnection </w:t>
      </w:r>
      <w:r w:rsidR="00CC795B">
        <w:t>requirements</w:t>
      </w:r>
      <w:r w:rsidRPr="000A6E96" w:rsidR="00CC795B">
        <w:t xml:space="preserve">, </w:t>
      </w:r>
      <w:r w:rsidR="00CC795B">
        <w:t xml:space="preserve">but </w:t>
      </w:r>
      <w:r w:rsidRPr="0071268C" w:rsidR="00CC795B">
        <w:t xml:space="preserve">argue that the exercise of state and local regulatory and distribution utility authority should occur prior to a </w:t>
      </w:r>
      <w:r w:rsidR="00CC795B">
        <w:t>distributed energy resource</w:t>
      </w:r>
      <w:r w:rsidRPr="0071268C" w:rsidR="00CC795B">
        <w:t>’s registration in a</w:t>
      </w:r>
      <w:r w:rsidR="00CC795B">
        <w:t>n</w:t>
      </w:r>
      <w:r w:rsidRPr="0071268C" w:rsidR="00CC795B">
        <w:t xml:space="preserve"> RTO/ISO</w:t>
      </w:r>
      <w:r w:rsidR="00CC795B">
        <w:t>.</w:t>
      </w:r>
      <w:r w:rsidR="00CC795B">
        <w:rPr>
          <w:rStyle w:val="FootnoteReference"/>
        </w:rPr>
        <w:footnoteReference w:id="221"/>
      </w:r>
      <w:r w:rsidR="00CC795B">
        <w:t xml:space="preserve">  Specifically,</w:t>
      </w:r>
      <w:r w:rsidRPr="0071268C" w:rsidR="00CC795B">
        <w:t xml:space="preserve"> </w:t>
      </w:r>
      <w:r w:rsidR="00CC795B">
        <w:t>they argue that state and local regulatory authorities and distribution utilities should</w:t>
      </w:r>
      <w:r w:rsidRPr="0071268C" w:rsidR="00CC795B">
        <w:t xml:space="preserve"> defin</w:t>
      </w:r>
      <w:r w:rsidR="00CC795B">
        <w:t>e</w:t>
      </w:r>
      <w:r w:rsidRPr="0071268C" w:rsidR="00CC795B">
        <w:t xml:space="preserve"> non-discriminatory interconnection procedures that ensure the distribution grid can accommodate </w:t>
      </w:r>
      <w:r w:rsidR="00CC795B">
        <w:t>distributed energy resource</w:t>
      </w:r>
      <w:r w:rsidRPr="0071268C" w:rsidR="00CC795B">
        <w:t>s.</w:t>
      </w:r>
      <w:r w:rsidRPr="00367C29" w:rsidR="00CC795B">
        <w:rPr>
          <w:rStyle w:val="FootnoteReference"/>
        </w:rPr>
        <w:footnoteReference w:id="222"/>
      </w:r>
      <w:r w:rsidRPr="0071268C" w:rsidR="00CC795B">
        <w:t xml:space="preserve">  NRG argue</w:t>
      </w:r>
      <w:r w:rsidR="00CC795B">
        <w:t>s</w:t>
      </w:r>
      <w:r w:rsidRPr="0071268C" w:rsidR="00CC795B">
        <w:t xml:space="preserve"> that </w:t>
      </w:r>
      <w:r w:rsidR="00CC795B">
        <w:t>distributed energy resources</w:t>
      </w:r>
      <w:r w:rsidRPr="0071268C" w:rsidR="00CC795B">
        <w:t xml:space="preserve"> should only be required to have one interconnection study and should not be subject to additional review, noting that collaboration </w:t>
      </w:r>
      <w:r w:rsidR="00CC795B">
        <w:t>on</w:t>
      </w:r>
      <w:r w:rsidRPr="0071268C" w:rsidR="00CC795B">
        <w:t xml:space="preserve"> transmission and distribution impact studies may be necessary, and that NYISO, PJM</w:t>
      </w:r>
      <w:r w:rsidR="00CC795B">
        <w:t>,</w:t>
      </w:r>
      <w:r w:rsidRPr="0071268C" w:rsidR="00CC795B">
        <w:t xml:space="preserve"> and CAISO are already engaged </w:t>
      </w:r>
      <w:r w:rsidRPr="009A4C71" w:rsidR="00CC795B">
        <w:t>in some form of collaboration with distribution utilities on these matters.</w:t>
      </w:r>
      <w:r w:rsidRPr="009A4C71" w:rsidR="00CC795B">
        <w:rPr>
          <w:rStyle w:val="FootnoteReference"/>
        </w:rPr>
        <w:footnoteReference w:id="223"/>
      </w:r>
    </w:p>
    <w:p w:rsidRPr="009F7715" w:rsidR="00F43846" w:rsidP="00F43846" w:rsidRDefault="00EC0900" w14:paraId="6369C2F0" w14:textId="2D46A004">
      <w:pPr>
        <w:pStyle w:val="FERCparanumber"/>
        <w:rPr>
          <w:szCs w:val="26"/>
        </w:rPr>
      </w:pPr>
      <w:r>
        <w:t>S</w:t>
      </w:r>
      <w:r w:rsidR="00FC4A77">
        <w:t xml:space="preserve">everal </w:t>
      </w:r>
      <w:r w:rsidRPr="002D1AC9" w:rsidR="00FC4A77">
        <w:t xml:space="preserve">commenters argue that the </w:t>
      </w:r>
      <w:r w:rsidR="00FC4A77">
        <w:t>relevant electric retail regulatory authoritie</w:t>
      </w:r>
      <w:r w:rsidRPr="002D1AC9" w:rsidR="00FC4A77">
        <w:t>s must have discretion to allocate any distribution system-related costs incurred by</w:t>
      </w:r>
      <w:r w:rsidR="00FC4A77">
        <w:t xml:space="preserve"> utilities as a result of distributed energy resource </w:t>
      </w:r>
      <w:r w:rsidRPr="002D1AC9" w:rsidR="00FC4A77">
        <w:t xml:space="preserve">participation in </w:t>
      </w:r>
      <w:r w:rsidR="00FC4A77">
        <w:t>RTO/ISO markets</w:t>
      </w:r>
      <w:r w:rsidRPr="002D1AC9" w:rsidR="00FC4A77">
        <w:t>.</w:t>
      </w:r>
      <w:r w:rsidRPr="00D377EB" w:rsidR="00FC4A77">
        <w:rPr>
          <w:rStyle w:val="FootnoteReference"/>
        </w:rPr>
        <w:footnoteReference w:id="224"/>
      </w:r>
      <w:r w:rsidRPr="002D1AC9" w:rsidR="00FC4A77">
        <w:t xml:space="preserve">  </w:t>
      </w:r>
      <w:r w:rsidR="00FC4A77">
        <w:t>S</w:t>
      </w:r>
      <w:r w:rsidR="00F43846">
        <w:t xml:space="preserve">ome commenters warn that, without </w:t>
      </w:r>
      <w:r w:rsidRPr="00587DC3" w:rsidR="00F43846">
        <w:t>proper cost allocation</w:t>
      </w:r>
      <w:r w:rsidR="00F43846">
        <w:t xml:space="preserve"> methods, </w:t>
      </w:r>
      <w:r w:rsidRPr="002D1AC9" w:rsidR="00F43846">
        <w:t xml:space="preserve">retail customers effectively </w:t>
      </w:r>
      <w:r w:rsidR="00F43846">
        <w:t xml:space="preserve">would </w:t>
      </w:r>
      <w:r w:rsidRPr="002D1AC9" w:rsidR="00F43846">
        <w:t>be subsidizing wholesale market participation.</w:t>
      </w:r>
      <w:r w:rsidRPr="00D377EB" w:rsidR="00F43846">
        <w:rPr>
          <w:rStyle w:val="FootnoteReference"/>
        </w:rPr>
        <w:footnoteReference w:id="225"/>
      </w:r>
      <w:r w:rsidRPr="002D1AC9" w:rsidR="00F43846">
        <w:t xml:space="preserve">  EEI  </w:t>
      </w:r>
      <w:r w:rsidR="00F43846">
        <w:t>argues</w:t>
      </w:r>
      <w:r w:rsidRPr="002D1AC9" w:rsidR="00F43846">
        <w:t xml:space="preserve"> that distribution utilities should not have to absorb any stranded costs if they i</w:t>
      </w:r>
      <w:r w:rsidR="00F43846">
        <w:t>nvest in upgrades needed for distributed energy resource</w:t>
      </w:r>
      <w:r w:rsidRPr="002D1AC9" w:rsidR="00F43846">
        <w:t xml:space="preserve"> aggregation </w:t>
      </w:r>
      <w:r w:rsidR="00F43846">
        <w:t>that</w:t>
      </w:r>
      <w:r w:rsidRPr="002D1AC9" w:rsidR="00F43846">
        <w:t xml:space="preserve"> are ultimately not utilized.</w:t>
      </w:r>
      <w:r w:rsidRPr="00D377EB" w:rsidR="00F43846">
        <w:rPr>
          <w:rStyle w:val="FootnoteReference"/>
        </w:rPr>
        <w:footnoteReference w:id="226"/>
      </w:r>
      <w:r w:rsidRPr="002D1AC9" w:rsidR="00F43846">
        <w:t xml:space="preserve">  </w:t>
      </w:r>
      <w:r w:rsidRPr="007756B2" w:rsidR="00F43846">
        <w:t>APPA and EEI argue that there is little evidence of significant demand for distributed energy resource aggregation programs, and so distribution utilities may have to invest in upgrades to the distribution system that are ultimately never needed.</w:t>
      </w:r>
      <w:r w:rsidRPr="00D457DD" w:rsidR="00F43846">
        <w:rPr>
          <w:rStyle w:val="FootnoteReference"/>
        </w:rPr>
        <w:footnoteReference w:id="227"/>
      </w:r>
      <w:r w:rsidRPr="007756B2" w:rsidR="00F43846">
        <w:t xml:space="preserve">  </w:t>
      </w:r>
      <w:r w:rsidR="00F43846">
        <w:t>T</w:t>
      </w:r>
      <w:r w:rsidRPr="007756B2" w:rsidR="00F43846">
        <w:t>he Indiana Commission a</w:t>
      </w:r>
      <w:r w:rsidR="00F43846">
        <w:t>ssert</w:t>
      </w:r>
      <w:r w:rsidRPr="007756B2" w:rsidR="00F43846">
        <w:t>s that distribution utilities may have to procure additional capacity to account for uncertainty in their forecasts regarding the amount of future distributed generation available to them.</w:t>
      </w:r>
      <w:r w:rsidRPr="00D457DD" w:rsidR="00F43846">
        <w:rPr>
          <w:rStyle w:val="FootnoteReference"/>
        </w:rPr>
        <w:footnoteReference w:id="228"/>
      </w:r>
      <w:r w:rsidR="00F43846">
        <w:t xml:space="preserve">  </w:t>
      </w:r>
    </w:p>
    <w:p w:rsidR="00F43846" w:rsidDel="00244B19" w:rsidP="00F43846" w:rsidRDefault="00FF2AD1" w14:paraId="5E3A085D" w14:textId="2E64B520">
      <w:pPr>
        <w:pStyle w:val="FERCparanumber"/>
        <w:rPr>
          <w:lang w:eastAsia="ja-JP"/>
        </w:rPr>
      </w:pPr>
      <w:r>
        <w:t>Other</w:t>
      </w:r>
      <w:r w:rsidRPr="002D1AC9" w:rsidR="00F43846">
        <w:t xml:space="preserve"> commenters argue that any </w:t>
      </w:r>
      <w:r w:rsidRPr="004E00D3" w:rsidR="00F43846">
        <w:t>cost allocation</w:t>
      </w:r>
      <w:r w:rsidR="00F43846">
        <w:t xml:space="preserve"> associated with a distributed energy resource </w:t>
      </w:r>
      <w:r w:rsidRPr="002D1AC9" w:rsidR="00F43846">
        <w:t xml:space="preserve">aggregator participating in </w:t>
      </w:r>
      <w:r w:rsidR="00F43846">
        <w:t>RTO/ISO markets</w:t>
      </w:r>
      <w:r w:rsidRPr="002D1AC9" w:rsidR="00F43846">
        <w:t xml:space="preserve"> would fall under the Commission’s </w:t>
      </w:r>
      <w:r w:rsidR="00F43846">
        <w:t xml:space="preserve">jurisdiction because the </w:t>
      </w:r>
      <w:r w:rsidRPr="002D1AC9" w:rsidR="00F43846">
        <w:t>aggregator would be acting as a wh</w:t>
      </w:r>
      <w:r w:rsidR="00F43846">
        <w:t>olesale entity engaged in a Commission</w:t>
      </w:r>
      <w:r w:rsidRPr="002D1AC9" w:rsidR="00F43846">
        <w:t>-jurisdictional transaction.</w:t>
      </w:r>
      <w:r w:rsidRPr="00D377EB" w:rsidR="00F43846">
        <w:rPr>
          <w:rStyle w:val="FootnoteReference"/>
        </w:rPr>
        <w:footnoteReference w:id="229"/>
      </w:r>
      <w:r w:rsidRPr="002D1AC9" w:rsidR="00F43846">
        <w:t xml:space="preserve">  </w:t>
      </w:r>
      <w:r w:rsidR="00F43846">
        <w:t>Hence, a few commenters suggest that, to the extent a distribution utility incurs additional costs to provide service to distributed energy resource aggregations, those costs should be recovered through a wholesale distribution tariff filed with the Commission.</w:t>
      </w:r>
      <w:r w:rsidRPr="00D377EB" w:rsidR="00F43846">
        <w:rPr>
          <w:rStyle w:val="FootnoteReference"/>
        </w:rPr>
        <w:footnoteReference w:id="230"/>
      </w:r>
      <w:r w:rsidR="00F43846">
        <w:t xml:space="preserve">  </w:t>
      </w:r>
      <w:r w:rsidRPr="006B3137" w:rsidR="00F43846">
        <w:rPr>
          <w:lang w:eastAsia="ja-JP"/>
        </w:rPr>
        <w:t xml:space="preserve">NRECA asserts that the impact of a </w:t>
      </w:r>
      <w:r w:rsidR="00F43846">
        <w:rPr>
          <w:lang w:eastAsia="ja-JP"/>
        </w:rPr>
        <w:t>distributed energy resource</w:t>
      </w:r>
      <w:r w:rsidRPr="006B3137" w:rsidR="00F43846">
        <w:rPr>
          <w:lang w:eastAsia="ja-JP"/>
        </w:rPr>
        <w:t xml:space="preserve"> or </w:t>
      </w:r>
      <w:r w:rsidR="00F43846">
        <w:rPr>
          <w:lang w:eastAsia="ja-JP"/>
        </w:rPr>
        <w:t>distributed energy resource</w:t>
      </w:r>
      <w:r w:rsidRPr="006B3137" w:rsidR="00F43846">
        <w:rPr>
          <w:lang w:eastAsia="ja-JP"/>
        </w:rPr>
        <w:t xml:space="preserve"> aggregation interconnection on a host distribution utility must be considered in the interconnection process, whether under RTO/ISO procedures or state-jurisdictional procedures.</w:t>
      </w:r>
      <w:r w:rsidRPr="00DF690E" w:rsidR="00F43846">
        <w:rPr>
          <w:b/>
          <w:bCs/>
          <w:vertAlign w:val="superscript"/>
          <w:lang w:eastAsia="ja-JP"/>
        </w:rPr>
        <w:footnoteReference w:id="231"/>
      </w:r>
      <w:r w:rsidRPr="006B3137" w:rsidR="00F43846">
        <w:rPr>
          <w:lang w:eastAsia="ja-JP"/>
        </w:rPr>
        <w:t xml:space="preserve">  NRECA notes that to do so will require that cooperatives in RTO/ISO regions develop new </w:t>
      </w:r>
      <w:r w:rsidR="00F43846">
        <w:rPr>
          <w:lang w:eastAsia="ja-JP"/>
        </w:rPr>
        <w:t>distributed energy resource</w:t>
      </w:r>
      <w:r w:rsidRPr="006B3137" w:rsidR="00F43846">
        <w:rPr>
          <w:lang w:eastAsia="ja-JP"/>
        </w:rPr>
        <w:t xml:space="preserve"> interconnection agreements and procedures.</w:t>
      </w:r>
      <w:r w:rsidRPr="00DF690E" w:rsidR="00F43846">
        <w:rPr>
          <w:b/>
          <w:bCs/>
          <w:vertAlign w:val="superscript"/>
          <w:lang w:eastAsia="ja-JP"/>
        </w:rPr>
        <w:footnoteReference w:id="232"/>
      </w:r>
    </w:p>
    <w:p w:rsidR="006B591B" w:rsidP="006B591B" w:rsidRDefault="006B591B" w14:paraId="330B6976" w14:textId="5E8755F2">
      <w:pPr>
        <w:pStyle w:val="Heading4"/>
        <w:tabs>
          <w:tab w:val="num" w:pos="5580"/>
        </w:tabs>
      </w:pPr>
      <w:bookmarkStart w:name="_bmk16" w:id="33"/>
      <w:r>
        <w:rPr>
          <w:lang w:eastAsia="ja-JP"/>
        </w:rPr>
        <w:t>C</w:t>
      </w:r>
      <w:bookmarkEnd w:id="33"/>
      <w:r>
        <w:rPr>
          <w:lang w:eastAsia="ja-JP"/>
        </w:rPr>
        <w:t>ommission Determination</w:t>
      </w:r>
    </w:p>
    <w:p w:rsidR="006B591B" w:rsidP="006B591B" w:rsidRDefault="006B591B" w14:paraId="57D9A8C3" w14:textId="07805136">
      <w:pPr>
        <w:pStyle w:val="FERCparanumber"/>
        <w:rPr>
          <w:lang w:eastAsia="ja-JP"/>
        </w:rPr>
      </w:pPr>
      <w:r>
        <w:rPr>
          <w:lang w:eastAsia="ja-JP"/>
        </w:rPr>
        <w:t xml:space="preserve">For the reasons discussed below, we </w:t>
      </w:r>
      <w:r w:rsidR="00900539">
        <w:rPr>
          <w:lang w:eastAsia="ja-JP"/>
        </w:rPr>
        <w:t>decline to</w:t>
      </w:r>
      <w:r>
        <w:rPr>
          <w:lang w:eastAsia="ja-JP"/>
        </w:rPr>
        <w:t xml:space="preserve"> exercise our jurisdiction </w:t>
      </w:r>
      <w:r w:rsidR="004341A2">
        <w:rPr>
          <w:lang w:eastAsia="ja-JP"/>
        </w:rPr>
        <w:t>over</w:t>
      </w:r>
      <w:r>
        <w:rPr>
          <w:lang w:eastAsia="ja-JP"/>
        </w:rPr>
        <w:t xml:space="preserve"> the interconnections of distributed energy resources to distribution facilities for the purpose of participating in RTO/ISO markets exclusively as part of a distributed energy resource aggregation.  </w:t>
      </w:r>
      <w:r w:rsidR="004341A2">
        <w:rPr>
          <w:lang w:eastAsia="ja-JP"/>
        </w:rPr>
        <w:t>Thus, we will not require</w:t>
      </w:r>
      <w:r w:rsidDel="00BA51C9" w:rsidR="004341A2">
        <w:rPr>
          <w:lang w:eastAsia="ja-JP"/>
        </w:rPr>
        <w:t xml:space="preserve"> standard interconnection procedures</w:t>
      </w:r>
      <w:r w:rsidR="004341A2">
        <w:rPr>
          <w:lang w:eastAsia="ja-JP"/>
        </w:rPr>
        <w:t xml:space="preserve"> and </w:t>
      </w:r>
      <w:r w:rsidDel="00BA51C9" w:rsidR="004341A2">
        <w:rPr>
          <w:lang w:eastAsia="ja-JP"/>
        </w:rPr>
        <w:t>agreement</w:t>
      </w:r>
      <w:r w:rsidR="004341A2">
        <w:rPr>
          <w:lang w:eastAsia="ja-JP"/>
        </w:rPr>
        <w:t>s or wholesale distribution tariffs</w:t>
      </w:r>
      <w:r w:rsidDel="00BA51C9" w:rsidR="004341A2">
        <w:rPr>
          <w:lang w:eastAsia="ja-JP"/>
        </w:rPr>
        <w:t xml:space="preserve"> </w:t>
      </w:r>
      <w:r w:rsidR="004341A2">
        <w:rPr>
          <w:lang w:eastAsia="ja-JP"/>
        </w:rPr>
        <w:t>for such interconnections.</w:t>
      </w:r>
    </w:p>
    <w:p w:rsidR="006B591B" w:rsidP="006B591B" w:rsidRDefault="006B591B" w14:paraId="542C12F6" w14:textId="0BEEFA96">
      <w:pPr>
        <w:pStyle w:val="FERCparanumber"/>
        <w:rPr>
          <w:lang w:eastAsia="ja-JP"/>
        </w:rPr>
      </w:pPr>
      <w:r>
        <w:rPr>
          <w:lang w:eastAsia="ja-JP"/>
        </w:rPr>
        <w:t>I</w:t>
      </w:r>
      <w:r w:rsidRPr="001E50AB">
        <w:rPr>
          <w:lang w:eastAsia="ja-JP"/>
        </w:rPr>
        <w:t>n Order Nos. 2003 and 2006</w:t>
      </w:r>
      <w:r w:rsidR="00031D7B">
        <w:rPr>
          <w:lang w:eastAsia="ja-JP"/>
        </w:rPr>
        <w:t>,</w:t>
      </w:r>
      <w:r>
        <w:rPr>
          <w:lang w:eastAsia="ja-JP"/>
        </w:rPr>
        <w:t xml:space="preserve"> the Commission </w:t>
      </w:r>
      <w:r w:rsidR="00FE3789">
        <w:rPr>
          <w:lang w:eastAsia="ja-JP"/>
        </w:rPr>
        <w:t>first</w:t>
      </w:r>
      <w:r>
        <w:rPr>
          <w:lang w:eastAsia="ja-JP"/>
        </w:rPr>
        <w:t xml:space="preserve"> adopted </w:t>
      </w:r>
      <w:r w:rsidRPr="001E50AB">
        <w:rPr>
          <w:lang w:eastAsia="ja-JP"/>
        </w:rPr>
        <w:t>standard</w:t>
      </w:r>
      <w:r w:rsidRPr="00DE70CD">
        <w:rPr>
          <w:lang w:eastAsia="ja-JP"/>
        </w:rPr>
        <w:t xml:space="preserve"> </w:t>
      </w:r>
      <w:r w:rsidRPr="001E50AB">
        <w:rPr>
          <w:lang w:eastAsia="ja-JP"/>
        </w:rPr>
        <w:t>interconnection procedures and agreement</w:t>
      </w:r>
      <w:r w:rsidR="00A85A22">
        <w:rPr>
          <w:lang w:eastAsia="ja-JP"/>
        </w:rPr>
        <w:t>s</w:t>
      </w:r>
      <w:r w:rsidRPr="001E50AB">
        <w:rPr>
          <w:lang w:eastAsia="ja-JP"/>
        </w:rPr>
        <w:t xml:space="preserve"> </w:t>
      </w:r>
      <w:r>
        <w:rPr>
          <w:lang w:eastAsia="ja-JP"/>
        </w:rPr>
        <w:t xml:space="preserve">that </w:t>
      </w:r>
      <w:r w:rsidRPr="001E50AB">
        <w:rPr>
          <w:lang w:eastAsia="ja-JP"/>
        </w:rPr>
        <w:t>apply when an interconnection customer “</w:t>
      </w:r>
      <w:r w:rsidRPr="00F82A20">
        <w:rPr>
          <w:lang w:eastAsia="ja-JP"/>
        </w:rPr>
        <w:t>that plans to engage in a sale for resale in interstate commerce or to transmit electric energy in interstate commerce</w:t>
      </w:r>
      <w:r w:rsidRPr="001E50AB">
        <w:rPr>
          <w:lang w:eastAsia="ja-JP"/>
        </w:rPr>
        <w:t>”</w:t>
      </w:r>
      <w:r w:rsidRPr="001E50AB">
        <w:rPr>
          <w:b/>
          <w:vertAlign w:val="superscript"/>
          <w:lang w:eastAsia="ja-JP"/>
        </w:rPr>
        <w:footnoteReference w:id="233"/>
      </w:r>
      <w:r w:rsidRPr="001E50AB">
        <w:rPr>
          <w:lang w:eastAsia="ja-JP"/>
        </w:rPr>
        <w:t xml:space="preserve"> requests interconnection to the facilities of a public utility’s Transmission System</w:t>
      </w:r>
      <w:r w:rsidRPr="001E50AB">
        <w:rPr>
          <w:b/>
          <w:vertAlign w:val="superscript"/>
          <w:lang w:eastAsia="ja-JP"/>
        </w:rPr>
        <w:footnoteReference w:id="234"/>
      </w:r>
      <w:r w:rsidRPr="001E50AB">
        <w:rPr>
          <w:lang w:eastAsia="ja-JP"/>
        </w:rPr>
        <w:t xml:space="preserve"> or Distribution System</w:t>
      </w:r>
      <w:r w:rsidRPr="001E50AB">
        <w:rPr>
          <w:b/>
          <w:vertAlign w:val="superscript"/>
          <w:lang w:eastAsia="ja-JP"/>
        </w:rPr>
        <w:footnoteReference w:id="235"/>
      </w:r>
      <w:r w:rsidRPr="001E50AB">
        <w:rPr>
          <w:lang w:eastAsia="ja-JP"/>
        </w:rPr>
        <w:t xml:space="preserve"> that, at the time </w:t>
      </w:r>
      <w:r w:rsidR="004A60F5">
        <w:rPr>
          <w:lang w:eastAsia="ja-JP"/>
        </w:rPr>
        <w:t xml:space="preserve">that </w:t>
      </w:r>
      <w:r w:rsidRPr="001E50AB">
        <w:rPr>
          <w:lang w:eastAsia="ja-JP"/>
        </w:rPr>
        <w:t>the interconnection is requested, are used either to transmit electric energy in interstate commerce or to sell electric energy at wholesale in interstate commerce pursuant to a Commission-filed OATT.</w:t>
      </w:r>
      <w:r w:rsidRPr="001E50AB">
        <w:rPr>
          <w:b/>
          <w:vertAlign w:val="superscript"/>
          <w:lang w:eastAsia="ja-JP"/>
        </w:rPr>
        <w:footnoteReference w:id="236"/>
      </w:r>
      <w:r w:rsidRPr="001E50AB">
        <w:rPr>
          <w:lang w:eastAsia="ja-JP"/>
        </w:rPr>
        <w:t xml:space="preserve">  The Commission recognized that “some [lower-voltage facilities] are used for jurisdictional service such as carrying power to a wholesale power customer for resale and are included in a public utility’s OATT,” </w:t>
      </w:r>
      <w:r w:rsidR="00521FD6">
        <w:rPr>
          <w:lang w:eastAsia="ja-JP"/>
        </w:rPr>
        <w:t>and</w:t>
      </w:r>
      <w:r w:rsidRPr="001E50AB" w:rsidR="00521FD6">
        <w:rPr>
          <w:lang w:eastAsia="ja-JP"/>
        </w:rPr>
        <w:t xml:space="preserve"> </w:t>
      </w:r>
      <w:r w:rsidRPr="001E50AB">
        <w:rPr>
          <w:lang w:eastAsia="ja-JP"/>
        </w:rPr>
        <w:t>that “in some instances, there is a separate OATT rate for using them, sometimes called a Wholesale Distribution Rate.”</w:t>
      </w:r>
      <w:r w:rsidRPr="001E50AB">
        <w:rPr>
          <w:b/>
          <w:vertAlign w:val="superscript"/>
          <w:lang w:eastAsia="ja-JP"/>
        </w:rPr>
        <w:footnoteReference w:id="237"/>
      </w:r>
      <w:r w:rsidRPr="001E50AB">
        <w:rPr>
          <w:lang w:eastAsia="ja-JP"/>
        </w:rPr>
        <w:t xml:space="preserve">  The Commission also noted that, with respect to a </w:t>
      </w:r>
      <w:r w:rsidR="00F46096">
        <w:rPr>
          <w:lang w:eastAsia="ja-JP"/>
        </w:rPr>
        <w:t>Commission-</w:t>
      </w:r>
      <w:r w:rsidRPr="001E50AB">
        <w:rPr>
          <w:lang w:eastAsia="ja-JP"/>
        </w:rPr>
        <w:t>jurisdictional interconnection to a distribution facility, the cost of upgrades needed on the Distribution System to accommodate the interconnection must be directly assigned to the interconnection customer because an upgrade to the Distribution System generally does not benefit all transmission customers.</w:t>
      </w:r>
      <w:r w:rsidRPr="001E50AB">
        <w:rPr>
          <w:b/>
          <w:vertAlign w:val="superscript"/>
          <w:lang w:eastAsia="ja-JP"/>
        </w:rPr>
        <w:footnoteReference w:id="238"/>
      </w:r>
      <w:r w:rsidRPr="001E50AB">
        <w:rPr>
          <w:lang w:eastAsia="ja-JP"/>
        </w:rPr>
        <w:t xml:space="preserve">  </w:t>
      </w:r>
      <w:r w:rsidRPr="0081180C">
        <w:rPr>
          <w:lang w:eastAsia="ja-JP"/>
        </w:rPr>
        <w:t>In Order No. 2003-C, the Commission concluded that, while it does not have the authority to directly regulate a “local distribution” facility that is used to transmit energy being sold at wholesale, “the Commission may regulate the entire transmission component (rates, terms and conditions) of the wholesale transaction.”</w:t>
      </w:r>
      <w:r w:rsidRPr="0081180C">
        <w:rPr>
          <w:b/>
          <w:vertAlign w:val="superscript"/>
          <w:lang w:eastAsia="ja-JP"/>
        </w:rPr>
        <w:footnoteReference w:id="239"/>
      </w:r>
    </w:p>
    <w:p w:rsidR="003728FF" w:rsidP="006B591B" w:rsidRDefault="006B591B" w14:paraId="4C7077F3" w14:textId="77777777">
      <w:pPr>
        <w:pStyle w:val="FERCparanumber"/>
        <w:rPr>
          <w:lang w:eastAsia="ja-JP"/>
        </w:rPr>
      </w:pPr>
      <w:bookmarkStart w:name="_Hlk35349588" w:id="34"/>
      <w:r>
        <w:rPr>
          <w:lang w:eastAsia="ja-JP"/>
        </w:rPr>
        <w:t xml:space="preserve">In practice, </w:t>
      </w:r>
      <w:r w:rsidRPr="00691320">
        <w:rPr>
          <w:lang w:eastAsia="ja-JP"/>
        </w:rPr>
        <w:t xml:space="preserve">Order Nos. 2003 and 2006 established what some RTOs/ISOs have labeled the “first use” test, under which the first interconnection to a distribution facility for the purpose of making wholesale sales is </w:t>
      </w:r>
      <w:r w:rsidRPr="0095299A">
        <w:rPr>
          <w:lang w:eastAsia="ja-JP"/>
        </w:rPr>
        <w:t>not</w:t>
      </w:r>
      <w:r w:rsidRPr="00DE70CD">
        <w:rPr>
          <w:lang w:eastAsia="ja-JP"/>
        </w:rPr>
        <w:t xml:space="preserve"> </w:t>
      </w:r>
      <w:r>
        <w:rPr>
          <w:lang w:eastAsia="ja-JP"/>
        </w:rPr>
        <w:t>subject to</w:t>
      </w:r>
      <w:r w:rsidRPr="00691320">
        <w:rPr>
          <w:lang w:eastAsia="ja-JP"/>
        </w:rPr>
        <w:t xml:space="preserve"> Commission</w:t>
      </w:r>
      <w:r>
        <w:rPr>
          <w:lang w:eastAsia="ja-JP"/>
        </w:rPr>
        <w:t xml:space="preserve"> </w:t>
      </w:r>
      <w:r w:rsidRPr="00691320">
        <w:rPr>
          <w:lang w:eastAsia="ja-JP"/>
        </w:rPr>
        <w:t>jurisdiction</w:t>
      </w:r>
      <w:r w:rsidR="006D4AF2">
        <w:rPr>
          <w:lang w:eastAsia="ja-JP"/>
        </w:rPr>
        <w:t>.</w:t>
      </w:r>
      <w:bookmarkEnd w:id="34"/>
      <w:r w:rsidR="006D4AF2">
        <w:rPr>
          <w:lang w:eastAsia="ja-JP"/>
        </w:rPr>
        <w:t xml:space="preserve">  This is</w:t>
      </w:r>
      <w:r w:rsidRPr="00691320">
        <w:rPr>
          <w:lang w:eastAsia="ja-JP"/>
        </w:rPr>
        <w:t xml:space="preserve"> because</w:t>
      </w:r>
      <w:r>
        <w:rPr>
          <w:lang w:eastAsia="ja-JP"/>
        </w:rPr>
        <w:t>,</w:t>
      </w:r>
      <w:r w:rsidRPr="00691320">
        <w:rPr>
          <w:lang w:eastAsia="ja-JP"/>
        </w:rPr>
        <w:t xml:space="preserve"> </w:t>
      </w:r>
      <w:r w:rsidRPr="0095299A">
        <w:rPr>
          <w:lang w:eastAsia="ja-JP"/>
        </w:rPr>
        <w:t>at the time of the request</w:t>
      </w:r>
      <w:r>
        <w:rPr>
          <w:lang w:eastAsia="ja-JP"/>
        </w:rPr>
        <w:t>,</w:t>
      </w:r>
      <w:r w:rsidRPr="00691320">
        <w:rPr>
          <w:lang w:eastAsia="ja-JP"/>
        </w:rPr>
        <w:t xml:space="preserve"> the </w:t>
      </w:r>
      <w:r w:rsidR="008C3410">
        <w:rPr>
          <w:lang w:eastAsia="ja-JP"/>
        </w:rPr>
        <w:t>distribution</w:t>
      </w:r>
      <w:r w:rsidRPr="00691320">
        <w:rPr>
          <w:lang w:eastAsia="ja-JP"/>
        </w:rPr>
        <w:t xml:space="preserve"> facility is not used to transmit electric energy in interstate commerce or subject to wholesale open access under an OATT.  Therefore, the first interconnecting </w:t>
      </w:r>
      <w:r>
        <w:rPr>
          <w:lang w:eastAsia="ja-JP"/>
        </w:rPr>
        <w:t>resource</w:t>
      </w:r>
      <w:r w:rsidRPr="00691320">
        <w:rPr>
          <w:lang w:eastAsia="ja-JP"/>
        </w:rPr>
        <w:t xml:space="preserve"> </w:t>
      </w:r>
      <w:r w:rsidRPr="001B4AC8">
        <w:rPr>
          <w:lang w:eastAsia="ja-JP"/>
        </w:rPr>
        <w:t>“that plans to engage in a sale for resale in interstate commerce or to transmit electric energy in interstate commerce”</w:t>
      </w:r>
      <w:r w:rsidRPr="001B4AC8">
        <w:rPr>
          <w:b/>
          <w:vertAlign w:val="superscript"/>
          <w:lang w:eastAsia="ja-JP"/>
        </w:rPr>
        <w:footnoteReference w:id="240"/>
      </w:r>
      <w:r w:rsidRPr="00691320">
        <w:rPr>
          <w:lang w:eastAsia="ja-JP"/>
        </w:rPr>
        <w:t xml:space="preserve"> on a distribution facility is not required to </w:t>
      </w:r>
      <w:r w:rsidR="006D4AF2">
        <w:rPr>
          <w:lang w:eastAsia="ja-JP"/>
        </w:rPr>
        <w:t>use</w:t>
      </w:r>
      <w:r w:rsidRPr="00691320">
        <w:rPr>
          <w:lang w:eastAsia="ja-JP"/>
        </w:rPr>
        <w:t xml:space="preserve"> the transmission provider’s Commission-jurisdictional Generator Interconnection Procedure</w:t>
      </w:r>
      <w:r w:rsidRPr="00691320" w:rsidDel="00690E67">
        <w:rPr>
          <w:lang w:eastAsia="ja-JP"/>
        </w:rPr>
        <w:t>s</w:t>
      </w:r>
      <w:r w:rsidRPr="00691320">
        <w:rPr>
          <w:lang w:eastAsia="ja-JP"/>
        </w:rPr>
        <w:t xml:space="preserve"> or obtain a Commission-jurisdictional Generator Interconnection Agreement.</w:t>
      </w:r>
      <w:r w:rsidRPr="00691320">
        <w:rPr>
          <w:b/>
          <w:vertAlign w:val="superscript"/>
          <w:lang w:eastAsia="ja-JP"/>
        </w:rPr>
        <w:footnoteReference w:id="241"/>
      </w:r>
      <w:r w:rsidRPr="00691320">
        <w:rPr>
          <w:lang w:eastAsia="ja-JP"/>
        </w:rPr>
        <w:t xml:space="preserve">  </w:t>
      </w:r>
      <w:r w:rsidR="006D4AF2">
        <w:rPr>
          <w:lang w:eastAsia="ja-JP"/>
        </w:rPr>
        <w:t>As a result, s</w:t>
      </w:r>
      <w:r w:rsidRPr="00691320">
        <w:rPr>
          <w:lang w:eastAsia="ja-JP"/>
        </w:rPr>
        <w:t>uch interconnections are governed by the applicable state or local law</w:t>
      </w:r>
      <w:r>
        <w:rPr>
          <w:lang w:eastAsia="ja-JP"/>
        </w:rPr>
        <w:t xml:space="preserve">.  </w:t>
      </w:r>
    </w:p>
    <w:p w:rsidR="006B591B" w:rsidP="006B591B" w:rsidRDefault="006B591B" w14:paraId="6BA55AC0" w14:textId="566223DB">
      <w:pPr>
        <w:pStyle w:val="FERCparanumber"/>
        <w:rPr>
          <w:lang w:eastAsia="ja-JP"/>
        </w:rPr>
      </w:pPr>
      <w:r w:rsidRPr="00691320">
        <w:rPr>
          <w:lang w:eastAsia="ja-JP"/>
        </w:rPr>
        <w:t xml:space="preserve">However, </w:t>
      </w:r>
      <w:r w:rsidR="005A2CCB">
        <w:rPr>
          <w:lang w:eastAsia="ja-JP"/>
        </w:rPr>
        <w:t>under the “first use” test</w:t>
      </w:r>
      <w:r w:rsidRPr="00691320">
        <w:rPr>
          <w:lang w:eastAsia="ja-JP"/>
        </w:rPr>
        <w:t xml:space="preserve">, </w:t>
      </w:r>
      <w:r>
        <w:rPr>
          <w:lang w:eastAsia="ja-JP"/>
        </w:rPr>
        <w:t xml:space="preserve">subsequent </w:t>
      </w:r>
      <w:r w:rsidRPr="00691320">
        <w:rPr>
          <w:lang w:eastAsia="ja-JP"/>
        </w:rPr>
        <w:t>interconnection</w:t>
      </w:r>
      <w:r w:rsidR="009D43A9">
        <w:rPr>
          <w:lang w:eastAsia="ja-JP"/>
        </w:rPr>
        <w:t>s</w:t>
      </w:r>
      <w:r w:rsidRPr="00691320">
        <w:rPr>
          <w:lang w:eastAsia="ja-JP"/>
        </w:rPr>
        <w:t xml:space="preserve"> of </w:t>
      </w:r>
      <w:r>
        <w:rPr>
          <w:lang w:eastAsia="ja-JP"/>
        </w:rPr>
        <w:t>resources</w:t>
      </w:r>
      <w:r w:rsidRPr="00691320">
        <w:rPr>
          <w:lang w:eastAsia="ja-JP"/>
        </w:rPr>
        <w:t xml:space="preserve"> to the same distribution facility for the purpose of engaging in wholesale sales</w:t>
      </w:r>
      <w:r w:rsidR="00CA0778">
        <w:rPr>
          <w:lang w:eastAsia="ja-JP"/>
        </w:rPr>
        <w:t xml:space="preserve"> or transmission in interstate commerce</w:t>
      </w:r>
      <w:r w:rsidRPr="00691320">
        <w:rPr>
          <w:lang w:eastAsia="ja-JP"/>
        </w:rPr>
        <w:t xml:space="preserve"> </w:t>
      </w:r>
      <w:r w:rsidR="009D43A9">
        <w:rPr>
          <w:i/>
          <w:lang w:eastAsia="ja-JP"/>
        </w:rPr>
        <w:t>are</w:t>
      </w:r>
      <w:r w:rsidRPr="00691320">
        <w:rPr>
          <w:lang w:eastAsia="ja-JP"/>
        </w:rPr>
        <w:t xml:space="preserve"> </w:t>
      </w:r>
      <w:r>
        <w:rPr>
          <w:lang w:eastAsia="ja-JP"/>
        </w:rPr>
        <w:t xml:space="preserve">subject to Commission </w:t>
      </w:r>
      <w:r w:rsidRPr="00691320">
        <w:rPr>
          <w:lang w:eastAsia="ja-JP"/>
        </w:rPr>
        <w:t xml:space="preserve">jurisdiction because the </w:t>
      </w:r>
      <w:r w:rsidR="006463A5">
        <w:rPr>
          <w:lang w:eastAsia="ja-JP"/>
        </w:rPr>
        <w:t xml:space="preserve">distribution </w:t>
      </w:r>
      <w:r w:rsidRPr="00691320">
        <w:rPr>
          <w:lang w:eastAsia="ja-JP"/>
        </w:rPr>
        <w:t xml:space="preserve">facilities are already being used to facilitate wholesale transactions and </w:t>
      </w:r>
      <w:r w:rsidR="00443079">
        <w:rPr>
          <w:lang w:eastAsia="ja-JP"/>
        </w:rPr>
        <w:t xml:space="preserve">therefore </w:t>
      </w:r>
      <w:r w:rsidRPr="00691320">
        <w:rPr>
          <w:lang w:eastAsia="ja-JP"/>
        </w:rPr>
        <w:t xml:space="preserve">are subject to </w:t>
      </w:r>
      <w:r w:rsidR="00443079">
        <w:rPr>
          <w:lang w:eastAsia="ja-JP"/>
        </w:rPr>
        <w:t>an OATT</w:t>
      </w:r>
      <w:r>
        <w:rPr>
          <w:lang w:eastAsia="ja-JP"/>
        </w:rPr>
        <w:t xml:space="preserve">.  Thus, </w:t>
      </w:r>
      <w:r w:rsidRPr="00691320">
        <w:rPr>
          <w:lang w:eastAsia="ja-JP"/>
        </w:rPr>
        <w:t xml:space="preserve">any subsequent </w:t>
      </w:r>
      <w:r>
        <w:rPr>
          <w:lang w:eastAsia="ja-JP"/>
        </w:rPr>
        <w:t>resources</w:t>
      </w:r>
      <w:r w:rsidRPr="00691320">
        <w:rPr>
          <w:lang w:eastAsia="ja-JP"/>
        </w:rPr>
        <w:t xml:space="preserve"> </w:t>
      </w:r>
      <w:r>
        <w:rPr>
          <w:lang w:eastAsia="ja-JP"/>
        </w:rPr>
        <w:t xml:space="preserve">interconnecting to the same distribution facility </w:t>
      </w:r>
      <w:r w:rsidR="00CA0778">
        <w:rPr>
          <w:lang w:eastAsia="ja-JP"/>
        </w:rPr>
        <w:t xml:space="preserve">for Commission-jurisdictional purposes </w:t>
      </w:r>
      <w:r w:rsidR="009D43A9">
        <w:rPr>
          <w:lang w:eastAsia="ja-JP"/>
        </w:rPr>
        <w:t xml:space="preserve">(e.g., to make wholesale sales in interstate commerce) </w:t>
      </w:r>
      <w:r w:rsidRPr="00691320">
        <w:rPr>
          <w:lang w:eastAsia="ja-JP"/>
        </w:rPr>
        <w:t xml:space="preserve">must </w:t>
      </w:r>
      <w:r w:rsidR="006D4AF2">
        <w:rPr>
          <w:lang w:eastAsia="ja-JP"/>
        </w:rPr>
        <w:t>use</w:t>
      </w:r>
      <w:r w:rsidRPr="00691320">
        <w:rPr>
          <w:lang w:eastAsia="ja-JP"/>
        </w:rPr>
        <w:t xml:space="preserve"> the Commission-jurisdictional </w:t>
      </w:r>
      <w:r w:rsidRPr="00691320" w:rsidR="00F8770E">
        <w:rPr>
          <w:lang w:eastAsia="ja-JP"/>
        </w:rPr>
        <w:t>Generator Interconnection Procedure</w:t>
      </w:r>
      <w:r w:rsidRPr="00691320" w:rsidDel="00690E67" w:rsidR="00F8770E">
        <w:rPr>
          <w:lang w:eastAsia="ja-JP"/>
        </w:rPr>
        <w:t>s</w:t>
      </w:r>
      <w:r w:rsidRPr="00691320" w:rsidDel="00F8770E" w:rsidR="00F8770E">
        <w:rPr>
          <w:lang w:eastAsia="ja-JP"/>
        </w:rPr>
        <w:t xml:space="preserve"> </w:t>
      </w:r>
      <w:r w:rsidRPr="00691320">
        <w:rPr>
          <w:lang w:eastAsia="ja-JP"/>
        </w:rPr>
        <w:t>and</w:t>
      </w:r>
      <w:r w:rsidRPr="00691320" w:rsidDel="0011618B">
        <w:rPr>
          <w:lang w:eastAsia="ja-JP"/>
        </w:rPr>
        <w:t xml:space="preserve"> </w:t>
      </w:r>
      <w:r w:rsidR="0011618B">
        <w:rPr>
          <w:lang w:eastAsia="ja-JP"/>
        </w:rPr>
        <w:t>Generator Interconnection Agreement</w:t>
      </w:r>
      <w:r w:rsidRPr="00691320" w:rsidR="0011618B">
        <w:rPr>
          <w:lang w:eastAsia="ja-JP"/>
        </w:rPr>
        <w:t xml:space="preserve"> </w:t>
      </w:r>
      <w:r w:rsidR="00807075">
        <w:rPr>
          <w:lang w:eastAsia="ja-JP"/>
        </w:rPr>
        <w:t>established in</w:t>
      </w:r>
      <w:r w:rsidRPr="00691320">
        <w:rPr>
          <w:lang w:eastAsia="ja-JP"/>
        </w:rPr>
        <w:t xml:space="preserve"> Order Nos. 2003 and 2006</w:t>
      </w:r>
      <w:r w:rsidR="005700B5">
        <w:rPr>
          <w:lang w:eastAsia="ja-JP"/>
        </w:rPr>
        <w:t xml:space="preserve"> and later amended in Order No. </w:t>
      </w:r>
      <w:r w:rsidR="006E7C51">
        <w:rPr>
          <w:lang w:eastAsia="ja-JP"/>
        </w:rPr>
        <w:t>845</w:t>
      </w:r>
      <w:r w:rsidRPr="00691320">
        <w:rPr>
          <w:lang w:eastAsia="ja-JP"/>
        </w:rPr>
        <w:t>.</w:t>
      </w:r>
      <w:r w:rsidR="003728FF">
        <w:rPr>
          <w:lang w:eastAsia="ja-JP"/>
        </w:rPr>
        <w:t xml:space="preserve">  </w:t>
      </w:r>
      <w:r w:rsidR="003728FF">
        <w:t>The United States Court of Appeals for the District of Columbia Circuit upheld this jurisdictional application as consistent with the FPA.</w:t>
      </w:r>
      <w:r>
        <w:rPr>
          <w:rStyle w:val="FootnoteReference"/>
          <w:lang w:eastAsia="ja-JP"/>
        </w:rPr>
        <w:footnoteReference w:id="242"/>
      </w:r>
    </w:p>
    <w:p w:rsidR="00CD651E" w:rsidP="00E0031B" w:rsidRDefault="00CD651E" w14:paraId="0734322F" w14:textId="50EC9F0E">
      <w:pPr>
        <w:pStyle w:val="FERCparanumber"/>
        <w:rPr>
          <w:lang w:eastAsia="ja-JP"/>
        </w:rPr>
      </w:pPr>
      <w:r>
        <w:rPr>
          <w:lang w:eastAsia="ja-JP"/>
        </w:rPr>
        <w:t>T</w:t>
      </w:r>
      <w:r w:rsidRPr="00285A4F">
        <w:rPr>
          <w:lang w:eastAsia="ja-JP"/>
        </w:rPr>
        <w:t xml:space="preserve">he Commission </w:t>
      </w:r>
      <w:r>
        <w:rPr>
          <w:lang w:eastAsia="ja-JP"/>
        </w:rPr>
        <w:t xml:space="preserve">adopted this limited jurisdictional </w:t>
      </w:r>
      <w:r w:rsidR="005A5F19">
        <w:rPr>
          <w:lang w:eastAsia="ja-JP"/>
        </w:rPr>
        <w:t xml:space="preserve">approach </w:t>
      </w:r>
      <w:r>
        <w:rPr>
          <w:lang w:eastAsia="ja-JP"/>
        </w:rPr>
        <w:t>to avoid “</w:t>
      </w:r>
      <w:r w:rsidRPr="00285A4F">
        <w:rPr>
          <w:lang w:eastAsia="ja-JP"/>
        </w:rPr>
        <w:t>allow</w:t>
      </w:r>
      <w:r>
        <w:rPr>
          <w:lang w:eastAsia="ja-JP"/>
        </w:rPr>
        <w:t>[ing]</w:t>
      </w:r>
      <w:r w:rsidRPr="00285A4F">
        <w:rPr>
          <w:lang w:eastAsia="ja-JP"/>
        </w:rPr>
        <w:t xml:space="preserve"> a potential wholesale seller to cause the involuntary conversion of a facility previously used exclusively for state jurisdictional interconnections and delivery, and subject to the exclusive jurisdiction of the state, into a facility also subject to the Commission’s interconnection jurisdiction</w:t>
      </w:r>
      <w:r>
        <w:rPr>
          <w:lang w:eastAsia="ja-JP"/>
        </w:rPr>
        <w:t>,”</w:t>
      </w:r>
      <w:r w:rsidRPr="00285A4F">
        <w:rPr>
          <w:lang w:eastAsia="ja-JP"/>
        </w:rPr>
        <w:t xml:space="preserve"> believ</w:t>
      </w:r>
      <w:r>
        <w:rPr>
          <w:lang w:eastAsia="ja-JP"/>
        </w:rPr>
        <w:t>ing that this outcome would</w:t>
      </w:r>
      <w:r w:rsidRPr="00285A4F">
        <w:rPr>
          <w:lang w:eastAsia="ja-JP"/>
        </w:rPr>
        <w:t xml:space="preserve"> cross the jurisdictional line established by Congress.</w:t>
      </w:r>
      <w:r>
        <w:rPr>
          <w:rStyle w:val="FootnoteReference"/>
          <w:lang w:eastAsia="ja-JP"/>
        </w:rPr>
        <w:footnoteReference w:id="243"/>
      </w:r>
      <w:r>
        <w:rPr>
          <w:lang w:eastAsia="ja-JP"/>
        </w:rPr>
        <w:t xml:space="preserve">  Nevertheless, the Commission anticipated that its </w:t>
      </w:r>
      <w:r w:rsidRPr="001E50AB">
        <w:rPr>
          <w:lang w:eastAsia="ja-JP"/>
        </w:rPr>
        <w:t>standard</w:t>
      </w:r>
      <w:r w:rsidRPr="00DE70CD">
        <w:rPr>
          <w:lang w:eastAsia="ja-JP"/>
        </w:rPr>
        <w:t xml:space="preserve"> </w:t>
      </w:r>
      <w:r w:rsidRPr="001E50AB">
        <w:rPr>
          <w:lang w:eastAsia="ja-JP"/>
        </w:rPr>
        <w:t>interconnection procedures and agreement terms</w:t>
      </w:r>
      <w:r>
        <w:rPr>
          <w:lang w:eastAsia="ja-JP"/>
        </w:rPr>
        <w:t xml:space="preserve"> would rarely apply to distributed generation:  </w:t>
      </w:r>
      <w:r w:rsidRPr="00B85726">
        <w:rPr>
          <w:lang w:eastAsia="ja-JP"/>
        </w:rPr>
        <w:t>“We recognize that Order No. 2003 does not apply to most distributed generation, since these facilities almost always interconnect to facilities that are not subject to an OATT.”</w:t>
      </w:r>
      <w:r w:rsidRPr="00B85726">
        <w:rPr>
          <w:b/>
          <w:vertAlign w:val="superscript"/>
          <w:lang w:eastAsia="ja-JP"/>
        </w:rPr>
        <w:footnoteReference w:id="244"/>
      </w:r>
    </w:p>
    <w:p w:rsidR="006B591B" w:rsidP="006B591B" w:rsidRDefault="006B591B" w14:paraId="41976C1D" w14:textId="4297A3C7">
      <w:pPr>
        <w:pStyle w:val="FERCparanumber"/>
        <w:rPr>
          <w:lang w:eastAsia="ja-JP"/>
        </w:rPr>
      </w:pPr>
      <w:r>
        <w:rPr>
          <w:lang w:eastAsia="ja-JP"/>
        </w:rPr>
        <w:t xml:space="preserve">We agree with commenters that the integration of distributed energy resource aggregations into </w:t>
      </w:r>
      <w:r w:rsidR="00654F07">
        <w:rPr>
          <w:lang w:eastAsia="ja-JP"/>
        </w:rPr>
        <w:t>the</w:t>
      </w:r>
      <w:r>
        <w:rPr>
          <w:lang w:eastAsia="ja-JP"/>
        </w:rPr>
        <w:t xml:space="preserve"> RTO/ISO markets </w:t>
      </w:r>
      <w:r w:rsidR="009B1A7C">
        <w:rPr>
          <w:lang w:eastAsia="ja-JP"/>
        </w:rPr>
        <w:t>warrants our</w:t>
      </w:r>
      <w:r w:rsidR="00111205">
        <w:rPr>
          <w:lang w:eastAsia="ja-JP"/>
        </w:rPr>
        <w:t xml:space="preserve"> </w:t>
      </w:r>
      <w:r w:rsidR="002D4EDE">
        <w:rPr>
          <w:lang w:eastAsia="ja-JP"/>
        </w:rPr>
        <w:t>address</w:t>
      </w:r>
      <w:r w:rsidR="009B1A7C">
        <w:rPr>
          <w:lang w:eastAsia="ja-JP"/>
        </w:rPr>
        <w:t>ing</w:t>
      </w:r>
      <w:r w:rsidR="00111205">
        <w:rPr>
          <w:lang w:eastAsia="ja-JP"/>
        </w:rPr>
        <w:t xml:space="preserve"> </w:t>
      </w:r>
      <w:r w:rsidR="009609F9">
        <w:rPr>
          <w:lang w:eastAsia="ja-JP"/>
        </w:rPr>
        <w:t>the application of the Commission’s</w:t>
      </w:r>
      <w:r>
        <w:rPr>
          <w:lang w:eastAsia="ja-JP"/>
        </w:rPr>
        <w:t xml:space="preserve"> interconnection </w:t>
      </w:r>
      <w:r w:rsidR="0048449B">
        <w:rPr>
          <w:lang w:eastAsia="ja-JP"/>
        </w:rPr>
        <w:t xml:space="preserve">policy </w:t>
      </w:r>
      <w:r>
        <w:rPr>
          <w:lang w:eastAsia="ja-JP"/>
        </w:rPr>
        <w:t xml:space="preserve">to </w:t>
      </w:r>
      <w:r w:rsidR="0048449B">
        <w:rPr>
          <w:lang w:eastAsia="ja-JP"/>
        </w:rPr>
        <w:t>the distributed energy resource aggregat</w:t>
      </w:r>
      <w:r w:rsidR="007D13ED">
        <w:rPr>
          <w:lang w:eastAsia="ja-JP"/>
        </w:rPr>
        <w:t>ions</w:t>
      </w:r>
      <w:r w:rsidR="0048449B">
        <w:rPr>
          <w:lang w:eastAsia="ja-JP"/>
        </w:rPr>
        <w:t xml:space="preserve"> enabled by this </w:t>
      </w:r>
      <w:r w:rsidRPr="00D51270" w:rsidR="00D51270">
        <w:rPr>
          <w:lang w:eastAsia="ja-JP"/>
        </w:rPr>
        <w:t>final rule</w:t>
      </w:r>
      <w:r>
        <w:rPr>
          <w:lang w:eastAsia="ja-JP"/>
        </w:rPr>
        <w:t xml:space="preserve">.  As the Commission recognized in Order No. 792, renewable portfolio standards, state policies promoting distributed generation, and </w:t>
      </w:r>
      <w:r w:rsidR="00553F97">
        <w:rPr>
          <w:lang w:eastAsia="ja-JP"/>
        </w:rPr>
        <w:t xml:space="preserve">decreases </w:t>
      </w:r>
      <w:r>
        <w:rPr>
          <w:lang w:eastAsia="ja-JP"/>
        </w:rPr>
        <w:t>in capital costs have driven a substantial increase in small generator interconnection requests.</w:t>
      </w:r>
      <w:r>
        <w:rPr>
          <w:rStyle w:val="FootnoteReference"/>
          <w:lang w:eastAsia="ja-JP"/>
        </w:rPr>
        <w:footnoteReference w:id="245"/>
      </w:r>
      <w:r>
        <w:rPr>
          <w:lang w:eastAsia="ja-JP"/>
        </w:rPr>
        <w:t xml:space="preserve">  In the intervening years, those trends have only intensified, further stimulating distributed energy resource development.</w:t>
      </w:r>
      <w:r>
        <w:rPr>
          <w:rStyle w:val="FootnoteReference"/>
          <w:lang w:eastAsia="ja-JP"/>
        </w:rPr>
        <w:footnoteReference w:id="246"/>
      </w:r>
      <w:r>
        <w:rPr>
          <w:lang w:eastAsia="ja-JP"/>
        </w:rPr>
        <w:t xml:space="preserve">  We anticipate that </w:t>
      </w:r>
      <w:r w:rsidR="00492977">
        <w:rPr>
          <w:lang w:eastAsia="ja-JP"/>
        </w:rPr>
        <w:t>increased participation of</w:t>
      </w:r>
      <w:r>
        <w:rPr>
          <w:lang w:eastAsia="ja-JP"/>
        </w:rPr>
        <w:t xml:space="preserve"> distributed energy resources in RTO/ISO markets via distributed energy resource aggregations will substantially increase the number of distributed energy resource interconnections to distribution facilities for the purpose of engaging in wholesale transactions</w:t>
      </w:r>
      <w:r w:rsidR="00492977">
        <w:rPr>
          <w:lang w:eastAsia="ja-JP"/>
        </w:rPr>
        <w:t xml:space="preserve"> and/or transmission in interstate commerce</w:t>
      </w:r>
      <w:r>
        <w:rPr>
          <w:lang w:eastAsia="ja-JP"/>
        </w:rPr>
        <w:t xml:space="preserve">.  Such growth </w:t>
      </w:r>
      <w:r w:rsidR="00487341">
        <w:rPr>
          <w:lang w:eastAsia="ja-JP"/>
        </w:rPr>
        <w:t>could</w:t>
      </w:r>
      <w:r>
        <w:rPr>
          <w:lang w:eastAsia="ja-JP"/>
        </w:rPr>
        <w:t xml:space="preserve"> increase the number of distribution-level interconnections subject to the Commission’s jurisdiction.  </w:t>
      </w:r>
      <w:r w:rsidRPr="002D3ABE">
        <w:rPr>
          <w:lang w:eastAsia="ja-JP"/>
        </w:rPr>
        <w:t xml:space="preserve">As </w:t>
      </w:r>
      <w:r>
        <w:rPr>
          <w:lang w:eastAsia="ja-JP"/>
        </w:rPr>
        <w:t>Public Interest Organizations</w:t>
      </w:r>
      <w:r w:rsidRPr="002D3ABE">
        <w:rPr>
          <w:lang w:eastAsia="ja-JP"/>
        </w:rPr>
        <w:t xml:space="preserve"> suggest, </w:t>
      </w:r>
      <w:r>
        <w:rPr>
          <w:lang w:eastAsia="ja-JP"/>
        </w:rPr>
        <w:t xml:space="preserve">a large influx of </w:t>
      </w:r>
      <w:r w:rsidRPr="00D0292B">
        <w:rPr>
          <w:lang w:eastAsia="ja-JP"/>
        </w:rPr>
        <w:t>distribut</w:t>
      </w:r>
      <w:r>
        <w:rPr>
          <w:lang w:eastAsia="ja-JP"/>
        </w:rPr>
        <w:t xml:space="preserve">ion-level interconnections could </w:t>
      </w:r>
      <w:r w:rsidR="00517EB5">
        <w:rPr>
          <w:lang w:eastAsia="ja-JP"/>
        </w:rPr>
        <w:t xml:space="preserve">create uncertainty as to whether certain </w:t>
      </w:r>
      <w:r w:rsidR="00B24D3F">
        <w:rPr>
          <w:lang w:eastAsia="ja-JP"/>
        </w:rPr>
        <w:t>interconnections</w:t>
      </w:r>
      <w:r w:rsidR="00517EB5">
        <w:rPr>
          <w:lang w:eastAsia="ja-JP"/>
        </w:rPr>
        <w:t xml:space="preserve"> </w:t>
      </w:r>
      <w:r w:rsidR="006C2A4A">
        <w:rPr>
          <w:lang w:eastAsia="ja-JP"/>
        </w:rPr>
        <w:t>a</w:t>
      </w:r>
      <w:r w:rsidR="00517EB5">
        <w:rPr>
          <w:lang w:eastAsia="ja-JP"/>
        </w:rPr>
        <w:t xml:space="preserve">re subject to Commission jurisdiction </w:t>
      </w:r>
      <w:r w:rsidR="00A65637">
        <w:rPr>
          <w:lang w:eastAsia="ja-JP"/>
        </w:rPr>
        <w:t xml:space="preserve">or state/local jurisdiction, </w:t>
      </w:r>
      <w:r w:rsidR="00517EB5">
        <w:rPr>
          <w:lang w:eastAsia="ja-JP"/>
        </w:rPr>
        <w:t xml:space="preserve">and </w:t>
      </w:r>
      <w:r w:rsidR="00905A08">
        <w:rPr>
          <w:lang w:eastAsia="ja-JP"/>
        </w:rPr>
        <w:t xml:space="preserve">whether they </w:t>
      </w:r>
      <w:r w:rsidR="00F0774E">
        <w:rPr>
          <w:lang w:eastAsia="ja-JP"/>
        </w:rPr>
        <w:t>would</w:t>
      </w:r>
      <w:r w:rsidR="00517EB5">
        <w:rPr>
          <w:lang w:eastAsia="ja-JP"/>
        </w:rPr>
        <w:t xml:space="preserve"> require the use of the Commission’s standard interconnection procedures and agreement.</w:t>
      </w:r>
      <w:r w:rsidRPr="002D3ABE">
        <w:rPr>
          <w:rStyle w:val="FootnoteReference"/>
          <w:lang w:eastAsia="ja-JP"/>
        </w:rPr>
        <w:footnoteReference w:id="247"/>
      </w:r>
      <w:r w:rsidRPr="00D0292B">
        <w:rPr>
          <w:lang w:eastAsia="ja-JP"/>
        </w:rPr>
        <w:t xml:space="preserve">  </w:t>
      </w:r>
      <w:r>
        <w:rPr>
          <w:lang w:eastAsia="ja-JP"/>
        </w:rPr>
        <w:t>It could additionally burden RTOs/ISOs with an overwhelming volume of interconnection requests</w:t>
      </w:r>
      <w:r w:rsidRPr="00D0292B">
        <w:rPr>
          <w:lang w:eastAsia="ja-JP"/>
        </w:rPr>
        <w:t>.</w:t>
      </w:r>
      <w:r>
        <w:rPr>
          <w:rStyle w:val="FootnoteReference"/>
          <w:lang w:eastAsia="ja-JP"/>
        </w:rPr>
        <w:footnoteReference w:id="248"/>
      </w:r>
      <w:r>
        <w:rPr>
          <w:lang w:eastAsia="ja-JP"/>
        </w:rPr>
        <w:t xml:space="preserve">      </w:t>
      </w:r>
    </w:p>
    <w:p w:rsidR="006B591B" w:rsidP="006B591B" w:rsidRDefault="006B591B" w14:paraId="691B71D2" w14:textId="73D693D9">
      <w:pPr>
        <w:pStyle w:val="FERCparanumber"/>
        <w:rPr>
          <w:lang w:eastAsia="ja-JP"/>
        </w:rPr>
      </w:pPr>
      <w:r>
        <w:rPr>
          <w:lang w:eastAsia="ja-JP"/>
        </w:rPr>
        <w:t>Given these concerns and</w:t>
      </w:r>
      <w:r w:rsidRPr="00AE07A3">
        <w:rPr>
          <w:lang w:eastAsia="ja-JP"/>
        </w:rPr>
        <w:t xml:space="preserve"> the confluence of </w:t>
      </w:r>
      <w:r w:rsidR="00023AC3">
        <w:rPr>
          <w:lang w:eastAsia="ja-JP"/>
        </w:rPr>
        <w:t xml:space="preserve">local, </w:t>
      </w:r>
      <w:r w:rsidRPr="00AE07A3">
        <w:rPr>
          <w:lang w:eastAsia="ja-JP"/>
        </w:rPr>
        <w:t>state</w:t>
      </w:r>
      <w:r w:rsidR="00BA6730">
        <w:rPr>
          <w:lang w:eastAsia="ja-JP"/>
        </w:rPr>
        <w:t xml:space="preserve">, </w:t>
      </w:r>
      <w:r w:rsidRPr="00AE07A3">
        <w:rPr>
          <w:lang w:eastAsia="ja-JP"/>
        </w:rPr>
        <w:t xml:space="preserve">and federal </w:t>
      </w:r>
      <w:r>
        <w:rPr>
          <w:lang w:eastAsia="ja-JP"/>
        </w:rPr>
        <w:t xml:space="preserve">authority over distributed energy resource interconnections, </w:t>
      </w:r>
      <w:r w:rsidR="00492977">
        <w:rPr>
          <w:lang w:eastAsia="ja-JP"/>
        </w:rPr>
        <w:t xml:space="preserve">in this </w:t>
      </w:r>
      <w:r w:rsidRPr="00D51270" w:rsidR="00D51270">
        <w:rPr>
          <w:lang w:eastAsia="ja-JP"/>
        </w:rPr>
        <w:t>final rule</w:t>
      </w:r>
      <w:r w:rsidR="008F10DB">
        <w:rPr>
          <w:lang w:eastAsia="ja-JP"/>
        </w:rPr>
        <w:t>,</w:t>
      </w:r>
      <w:r w:rsidR="00492977">
        <w:rPr>
          <w:lang w:eastAsia="ja-JP"/>
        </w:rPr>
        <w:t xml:space="preserve"> </w:t>
      </w:r>
      <w:r>
        <w:rPr>
          <w:lang w:eastAsia="ja-JP"/>
        </w:rPr>
        <w:t xml:space="preserve">we decline to exercise jurisdiction over the interconnections of distributed energy resources to distribution facilities for </w:t>
      </w:r>
      <w:r w:rsidR="0004677C">
        <w:rPr>
          <w:lang w:eastAsia="ja-JP"/>
        </w:rPr>
        <w:t>those distributed energy resources that seek to</w:t>
      </w:r>
      <w:r>
        <w:rPr>
          <w:lang w:eastAsia="ja-JP"/>
        </w:rPr>
        <w:t xml:space="preserve"> participat</w:t>
      </w:r>
      <w:r w:rsidR="0004677C">
        <w:rPr>
          <w:lang w:eastAsia="ja-JP"/>
        </w:rPr>
        <w:t>e</w:t>
      </w:r>
      <w:r>
        <w:rPr>
          <w:lang w:eastAsia="ja-JP"/>
        </w:rPr>
        <w:t xml:space="preserve"> in RTO/ISO markets exclusively as part of a distributed energy resource aggregation.  We do not believe that requiring standard interconnection procedures and agreement terms for these interconnections is necessary to advance the objectives of Order Nos. 2003</w:t>
      </w:r>
      <w:r w:rsidR="001E3FF6">
        <w:rPr>
          <w:lang w:eastAsia="ja-JP"/>
        </w:rPr>
        <w:t>,</w:t>
      </w:r>
      <w:r>
        <w:rPr>
          <w:lang w:eastAsia="ja-JP"/>
        </w:rPr>
        <w:t xml:space="preserve"> 2006</w:t>
      </w:r>
      <w:r w:rsidR="001E3FF6">
        <w:rPr>
          <w:lang w:eastAsia="ja-JP"/>
        </w:rPr>
        <w:t xml:space="preserve"> and 845</w:t>
      </w:r>
      <w:r>
        <w:rPr>
          <w:lang w:eastAsia="ja-JP"/>
        </w:rPr>
        <w:t xml:space="preserve">, which </w:t>
      </w:r>
      <w:r w:rsidRPr="00883097" w:rsidR="00883097">
        <w:rPr>
          <w:lang w:eastAsia="ja-JP"/>
        </w:rPr>
        <w:t xml:space="preserve">established </w:t>
      </w:r>
      <w:r w:rsidR="00883097">
        <w:rPr>
          <w:lang w:eastAsia="ja-JP"/>
        </w:rPr>
        <w:t>standard interconnection</w:t>
      </w:r>
      <w:r w:rsidRPr="00883097" w:rsidR="00883097">
        <w:rPr>
          <w:lang w:eastAsia="ja-JP"/>
        </w:rPr>
        <w:t xml:space="preserve"> </w:t>
      </w:r>
      <w:r w:rsidR="00883097">
        <w:rPr>
          <w:lang w:eastAsia="ja-JP"/>
        </w:rPr>
        <w:t>procedures and agreements in order</w:t>
      </w:r>
      <w:r>
        <w:rPr>
          <w:lang w:eastAsia="ja-JP"/>
        </w:rPr>
        <w:t xml:space="preserve"> to </w:t>
      </w:r>
      <w:r w:rsidRPr="00AE07A3">
        <w:rPr>
          <w:lang w:eastAsia="ja-JP"/>
        </w:rPr>
        <w:t>prevent undue discrimination, preserve reliability, increase energy supply, lower wholesale prices for customers by increasing the number and types of new generation that would compete in the wholesale electricity market</w:t>
      </w:r>
      <w:r>
        <w:rPr>
          <w:lang w:eastAsia="ja-JP"/>
        </w:rPr>
        <w:t>,</w:t>
      </w:r>
      <w:r w:rsidRPr="00AE07A3">
        <w:rPr>
          <w:lang w:eastAsia="ja-JP"/>
        </w:rPr>
        <w:t xml:space="preserve"> reduce interconnection time and costs</w:t>
      </w:r>
      <w:r>
        <w:rPr>
          <w:lang w:eastAsia="ja-JP"/>
        </w:rPr>
        <w:t>,</w:t>
      </w:r>
      <w:r w:rsidRPr="00AE07A3">
        <w:rPr>
          <w:lang w:eastAsia="ja-JP"/>
        </w:rPr>
        <w:t xml:space="preserve"> and facilitate development of non-polluting alternative energy sources.</w:t>
      </w:r>
      <w:r w:rsidRPr="00AE07A3">
        <w:rPr>
          <w:b/>
          <w:vertAlign w:val="superscript"/>
          <w:lang w:eastAsia="ja-JP"/>
        </w:rPr>
        <w:footnoteReference w:id="249"/>
      </w:r>
      <w:r>
        <w:rPr>
          <w:lang w:eastAsia="ja-JP"/>
        </w:rPr>
        <w:t xml:space="preserve">  Rather, we </w:t>
      </w:r>
      <w:r w:rsidR="005C2AEF">
        <w:rPr>
          <w:lang w:eastAsia="ja-JP"/>
        </w:rPr>
        <w:t>agree with commenters</w:t>
      </w:r>
      <w:r>
        <w:rPr>
          <w:lang w:eastAsia="ja-JP"/>
        </w:rPr>
        <w:t xml:space="preserve"> that state and local authorities, wh</w:t>
      </w:r>
      <w:r w:rsidR="009D43A9">
        <w:rPr>
          <w:lang w:eastAsia="ja-JP"/>
        </w:rPr>
        <w:t>ich</w:t>
      </w:r>
      <w:r>
        <w:rPr>
          <w:lang w:eastAsia="ja-JP"/>
        </w:rPr>
        <w:t xml:space="preserve"> have traditionally regulated distributed energy resource interconnections, have the requisite experience, interest, and capacity to oversee these distribution-level interconnections.</w:t>
      </w:r>
      <w:r w:rsidR="00ED6573">
        <w:rPr>
          <w:lang w:eastAsia="ja-JP"/>
        </w:rPr>
        <w:t xml:space="preserve">  </w:t>
      </w:r>
    </w:p>
    <w:p w:rsidR="006B591B" w:rsidP="004C40EA" w:rsidRDefault="006B591B" w14:paraId="5CEA6499" w14:textId="63AB1C07">
      <w:pPr>
        <w:pStyle w:val="FERCparanumber"/>
        <w:rPr>
          <w:lang w:eastAsia="ja-JP"/>
        </w:rPr>
      </w:pPr>
      <w:r>
        <w:rPr>
          <w:lang w:eastAsia="ja-JP"/>
        </w:rPr>
        <w:t xml:space="preserve">Because we decline here to exercise our jurisdiction over </w:t>
      </w:r>
      <w:r w:rsidRPr="00A4698D">
        <w:rPr>
          <w:lang w:eastAsia="ja-JP"/>
        </w:rPr>
        <w:t>the interconnection of a</w:t>
      </w:r>
      <w:r>
        <w:rPr>
          <w:lang w:eastAsia="ja-JP"/>
        </w:rPr>
        <w:t xml:space="preserve"> distributed energy resource</w:t>
      </w:r>
      <w:r w:rsidRPr="00A4698D">
        <w:rPr>
          <w:lang w:eastAsia="ja-JP"/>
        </w:rPr>
        <w:t xml:space="preserve"> to a distribution </w:t>
      </w:r>
      <w:r>
        <w:rPr>
          <w:lang w:eastAsia="ja-JP"/>
        </w:rPr>
        <w:t>facility</w:t>
      </w:r>
      <w:r w:rsidRPr="00A4698D">
        <w:rPr>
          <w:lang w:eastAsia="ja-JP"/>
        </w:rPr>
        <w:t xml:space="preserve"> for the purpose of participating in </w:t>
      </w:r>
      <w:r>
        <w:rPr>
          <w:lang w:eastAsia="ja-JP"/>
        </w:rPr>
        <w:t xml:space="preserve">RTO/ISO markets exclusively through </w:t>
      </w:r>
      <w:r w:rsidRPr="00A4698D">
        <w:rPr>
          <w:lang w:eastAsia="ja-JP"/>
        </w:rPr>
        <w:t xml:space="preserve">a </w:t>
      </w:r>
      <w:r>
        <w:rPr>
          <w:lang w:eastAsia="ja-JP"/>
        </w:rPr>
        <w:t>distributed energy</w:t>
      </w:r>
      <w:r w:rsidRPr="00A4698D">
        <w:rPr>
          <w:lang w:eastAsia="ja-JP"/>
        </w:rPr>
        <w:t xml:space="preserve"> </w:t>
      </w:r>
      <w:r>
        <w:rPr>
          <w:lang w:eastAsia="ja-JP"/>
        </w:rPr>
        <w:t xml:space="preserve">resource </w:t>
      </w:r>
      <w:r w:rsidRPr="00A4698D">
        <w:rPr>
          <w:lang w:eastAsia="ja-JP"/>
        </w:rPr>
        <w:t>aggregation</w:t>
      </w:r>
      <w:r>
        <w:rPr>
          <w:lang w:eastAsia="ja-JP"/>
        </w:rPr>
        <w:t xml:space="preserve">, the </w:t>
      </w:r>
      <w:r w:rsidR="00481000">
        <w:rPr>
          <w:lang w:eastAsia="ja-JP"/>
        </w:rPr>
        <w:t xml:space="preserve">interconnection of </w:t>
      </w:r>
      <w:r>
        <w:rPr>
          <w:lang w:eastAsia="ja-JP"/>
        </w:rPr>
        <w:t xml:space="preserve">such </w:t>
      </w:r>
      <w:r w:rsidR="00481000">
        <w:rPr>
          <w:lang w:eastAsia="ja-JP"/>
        </w:rPr>
        <w:t xml:space="preserve">a </w:t>
      </w:r>
      <w:r>
        <w:rPr>
          <w:lang w:eastAsia="ja-JP"/>
        </w:rPr>
        <w:t xml:space="preserve">resource </w:t>
      </w:r>
      <w:r w:rsidR="00481000">
        <w:rPr>
          <w:lang w:eastAsia="ja-JP"/>
        </w:rPr>
        <w:t xml:space="preserve">for the purpose of participating in a </w:t>
      </w:r>
      <w:r w:rsidR="00C10E1B">
        <w:rPr>
          <w:lang w:eastAsia="ja-JP"/>
        </w:rPr>
        <w:t xml:space="preserve">distributed energy resource </w:t>
      </w:r>
      <w:r w:rsidR="00481000">
        <w:rPr>
          <w:lang w:eastAsia="ja-JP"/>
        </w:rPr>
        <w:t xml:space="preserve">aggregation </w:t>
      </w:r>
      <w:r w:rsidRPr="00A4698D">
        <w:rPr>
          <w:lang w:eastAsia="ja-JP"/>
        </w:rPr>
        <w:t>w</w:t>
      </w:r>
      <w:r>
        <w:rPr>
          <w:lang w:eastAsia="ja-JP"/>
        </w:rPr>
        <w:t xml:space="preserve">ould not constitute </w:t>
      </w:r>
      <w:r w:rsidRPr="00987F50">
        <w:rPr>
          <w:lang w:eastAsia="ja-JP"/>
        </w:rPr>
        <w:t>a first interconnection for</w:t>
      </w:r>
      <w:r>
        <w:rPr>
          <w:lang w:eastAsia="ja-JP"/>
        </w:rPr>
        <w:t xml:space="preserve"> the</w:t>
      </w:r>
      <w:r w:rsidRPr="00987F50">
        <w:rPr>
          <w:lang w:eastAsia="ja-JP"/>
        </w:rPr>
        <w:t xml:space="preserve"> purpose</w:t>
      </w:r>
      <w:r>
        <w:rPr>
          <w:lang w:eastAsia="ja-JP"/>
        </w:rPr>
        <w:t xml:space="preserve"> of making wholesale sales</w:t>
      </w:r>
      <w:r w:rsidRPr="00987F50">
        <w:rPr>
          <w:lang w:eastAsia="ja-JP"/>
        </w:rPr>
        <w:t xml:space="preserve"> under the </w:t>
      </w:r>
      <w:r w:rsidR="00EB78C1">
        <w:rPr>
          <w:lang w:eastAsia="ja-JP"/>
        </w:rPr>
        <w:t>“</w:t>
      </w:r>
      <w:r w:rsidRPr="00987F50">
        <w:rPr>
          <w:lang w:eastAsia="ja-JP"/>
        </w:rPr>
        <w:t>first use</w:t>
      </w:r>
      <w:r w:rsidR="00EB78C1">
        <w:rPr>
          <w:lang w:eastAsia="ja-JP"/>
        </w:rPr>
        <w:t>”</w:t>
      </w:r>
      <w:r w:rsidRPr="00987F50">
        <w:rPr>
          <w:lang w:eastAsia="ja-JP"/>
        </w:rPr>
        <w:t xml:space="preserve"> test.</w:t>
      </w:r>
      <w:r>
        <w:rPr>
          <w:lang w:eastAsia="ja-JP"/>
        </w:rPr>
        <w:t xml:space="preserve">  As such, </w:t>
      </w:r>
      <w:r w:rsidR="00064CF6">
        <w:rPr>
          <w:lang w:eastAsia="ja-JP"/>
        </w:rPr>
        <w:t xml:space="preserve">only </w:t>
      </w:r>
      <w:r w:rsidR="00902513">
        <w:rPr>
          <w:lang w:eastAsia="ja-JP"/>
        </w:rPr>
        <w:t>a distributed energy resource requesting</w:t>
      </w:r>
      <w:r w:rsidR="00DC7B7A">
        <w:rPr>
          <w:lang w:eastAsia="ja-JP"/>
        </w:rPr>
        <w:t xml:space="preserve"> interconnection</w:t>
      </w:r>
      <w:r>
        <w:rPr>
          <w:lang w:eastAsia="ja-JP"/>
        </w:rPr>
        <w:t xml:space="preserve"> to the distribution facility for the purpose of directly engaging in wholesale transactions (i.e., not through a distributed energy resource aggregation) </w:t>
      </w:r>
      <w:r w:rsidR="00902513">
        <w:rPr>
          <w:lang w:eastAsia="ja-JP"/>
        </w:rPr>
        <w:t>would</w:t>
      </w:r>
      <w:r w:rsidDel="00902513">
        <w:rPr>
          <w:lang w:eastAsia="ja-JP"/>
        </w:rPr>
        <w:t xml:space="preserve"> </w:t>
      </w:r>
      <w:r w:rsidR="00DC7B7A">
        <w:rPr>
          <w:lang w:eastAsia="ja-JP"/>
        </w:rPr>
        <w:t xml:space="preserve">create a </w:t>
      </w:r>
      <w:r w:rsidR="00D00406">
        <w:rPr>
          <w:lang w:eastAsia="ja-JP"/>
        </w:rPr>
        <w:t>“</w:t>
      </w:r>
      <w:r w:rsidR="002B148D">
        <w:rPr>
          <w:lang w:eastAsia="ja-JP"/>
        </w:rPr>
        <w:t>first use</w:t>
      </w:r>
      <w:r w:rsidR="00D00406">
        <w:rPr>
          <w:lang w:eastAsia="ja-JP"/>
        </w:rPr>
        <w:t xml:space="preserve">” and </w:t>
      </w:r>
      <w:r w:rsidR="00A319FD">
        <w:rPr>
          <w:lang w:eastAsia="ja-JP"/>
        </w:rPr>
        <w:t xml:space="preserve">any </w:t>
      </w:r>
      <w:r w:rsidR="00D00406">
        <w:rPr>
          <w:lang w:eastAsia="ja-JP"/>
        </w:rPr>
        <w:t xml:space="preserve">subsequent distributed energy resource </w:t>
      </w:r>
      <w:r w:rsidR="00A319FD">
        <w:rPr>
          <w:lang w:eastAsia="ja-JP"/>
        </w:rPr>
        <w:t xml:space="preserve">interconnecting </w:t>
      </w:r>
      <w:r w:rsidRPr="00D00406" w:rsidR="00D00406">
        <w:rPr>
          <w:lang w:eastAsia="ja-JP"/>
        </w:rPr>
        <w:t xml:space="preserve">for the purpose </w:t>
      </w:r>
      <w:r w:rsidR="00AE7FAA">
        <w:rPr>
          <w:lang w:eastAsia="ja-JP"/>
        </w:rPr>
        <w:t xml:space="preserve">of </w:t>
      </w:r>
      <w:r w:rsidR="00D00406">
        <w:rPr>
          <w:lang w:eastAsia="ja-JP"/>
        </w:rPr>
        <w:t>directly engaging in wholesale transactions would be considered a</w:t>
      </w:r>
      <w:r w:rsidRPr="00D00406" w:rsidR="00D00406">
        <w:rPr>
          <w:lang w:eastAsia="ja-JP"/>
        </w:rPr>
        <w:t xml:space="preserve"> </w:t>
      </w:r>
      <w:r w:rsidR="00DC7B7A">
        <w:rPr>
          <w:lang w:eastAsia="ja-JP"/>
        </w:rPr>
        <w:t xml:space="preserve">Commission-jurisdictional </w:t>
      </w:r>
      <w:r w:rsidR="00E32028">
        <w:rPr>
          <w:lang w:eastAsia="ja-JP"/>
        </w:rPr>
        <w:t>interconnection</w:t>
      </w:r>
      <w:r>
        <w:rPr>
          <w:lang w:eastAsia="ja-JP"/>
        </w:rPr>
        <w:t xml:space="preserve">.  We believe that this </w:t>
      </w:r>
      <w:r w:rsidR="00E0031B">
        <w:rPr>
          <w:lang w:eastAsia="ja-JP"/>
        </w:rPr>
        <w:t>approach</w:t>
      </w:r>
      <w:r w:rsidR="00507FDC">
        <w:rPr>
          <w:lang w:eastAsia="ja-JP"/>
        </w:rPr>
        <w:t xml:space="preserve"> </w:t>
      </w:r>
      <w:r>
        <w:rPr>
          <w:lang w:eastAsia="ja-JP"/>
        </w:rPr>
        <w:t xml:space="preserve">will minimize any increase </w:t>
      </w:r>
      <w:r w:rsidR="00666BA1">
        <w:rPr>
          <w:lang w:eastAsia="ja-JP"/>
        </w:rPr>
        <w:t xml:space="preserve">in </w:t>
      </w:r>
      <w:r w:rsidRPr="00AA71C5">
        <w:rPr>
          <w:lang w:eastAsia="ja-JP"/>
        </w:rPr>
        <w:t>the number</w:t>
      </w:r>
      <w:r w:rsidRPr="00AA71C5" w:rsidDel="007603B8">
        <w:rPr>
          <w:lang w:eastAsia="ja-JP"/>
        </w:rPr>
        <w:t xml:space="preserve"> of distribution-level interconnections</w:t>
      </w:r>
      <w:r w:rsidRPr="00AA71C5">
        <w:rPr>
          <w:lang w:eastAsia="ja-JP"/>
        </w:rPr>
        <w:t xml:space="preserve"> subject to the Commission’s jurisdiction</w:t>
      </w:r>
      <w:r w:rsidRPr="00507FDC" w:rsidR="00507FDC">
        <w:rPr>
          <w:lang w:eastAsia="ja-JP"/>
        </w:rPr>
        <w:t xml:space="preserve"> </w:t>
      </w:r>
      <w:r w:rsidR="00507FDC">
        <w:rPr>
          <w:lang w:eastAsia="ja-JP"/>
        </w:rPr>
        <w:t xml:space="preserve">that this </w:t>
      </w:r>
      <w:r w:rsidRPr="00D51270" w:rsidR="00D51270">
        <w:rPr>
          <w:lang w:eastAsia="ja-JP"/>
        </w:rPr>
        <w:t>final rule</w:t>
      </w:r>
      <w:r w:rsidR="00507FDC">
        <w:rPr>
          <w:lang w:eastAsia="ja-JP"/>
        </w:rPr>
        <w:t xml:space="preserve"> may cause</w:t>
      </w:r>
      <w:r>
        <w:rPr>
          <w:lang w:eastAsia="ja-JP"/>
        </w:rPr>
        <w:t>.</w:t>
      </w:r>
      <w:r w:rsidR="004C40EA">
        <w:rPr>
          <w:lang w:eastAsia="ja-JP"/>
        </w:rPr>
        <w:t xml:space="preserve">  </w:t>
      </w:r>
    </w:p>
    <w:p w:rsidR="00162505" w:rsidP="006B591B" w:rsidRDefault="006B591B" w14:paraId="1BF5CF24" w14:textId="3E13FBE7">
      <w:pPr>
        <w:pStyle w:val="FERCparanumber"/>
        <w:rPr>
          <w:lang w:eastAsia="ja-JP"/>
        </w:rPr>
      </w:pPr>
      <w:r>
        <w:rPr>
          <w:lang w:eastAsia="ja-JP"/>
        </w:rPr>
        <w:t xml:space="preserve">This </w:t>
      </w:r>
      <w:r w:rsidRPr="00D51270" w:rsidR="00D51270">
        <w:rPr>
          <w:lang w:eastAsia="ja-JP"/>
        </w:rPr>
        <w:t>final rule</w:t>
      </w:r>
      <w:r>
        <w:rPr>
          <w:lang w:eastAsia="ja-JP"/>
        </w:rPr>
        <w:t xml:space="preserve"> does not require any changes to the </w:t>
      </w:r>
      <w:r>
        <w:rPr>
          <w:i/>
          <w:lang w:eastAsia="ja-JP"/>
        </w:rPr>
        <w:t>pro forma</w:t>
      </w:r>
      <w:r>
        <w:rPr>
          <w:lang w:eastAsia="ja-JP"/>
        </w:rPr>
        <w:t xml:space="preserve"> </w:t>
      </w:r>
      <w:r w:rsidRPr="00691320" w:rsidR="00F8770E">
        <w:rPr>
          <w:lang w:eastAsia="ja-JP"/>
        </w:rPr>
        <w:t>Generator Interconnection Procedure</w:t>
      </w:r>
      <w:r w:rsidRPr="00691320" w:rsidDel="00690E67" w:rsidR="00F8770E">
        <w:rPr>
          <w:lang w:eastAsia="ja-JP"/>
        </w:rPr>
        <w:t>s</w:t>
      </w:r>
      <w:r w:rsidR="00654F07">
        <w:rPr>
          <w:lang w:eastAsia="ja-JP"/>
        </w:rPr>
        <w:t xml:space="preserve"> or </w:t>
      </w:r>
      <w:r w:rsidR="0011618B">
        <w:rPr>
          <w:lang w:eastAsia="ja-JP"/>
        </w:rPr>
        <w:t>Generator Interconnection Agreements</w:t>
      </w:r>
      <w:r>
        <w:rPr>
          <w:lang w:eastAsia="ja-JP"/>
        </w:rPr>
        <w:t xml:space="preserve">.  To the extent </w:t>
      </w:r>
      <w:r w:rsidR="00477B2B">
        <w:rPr>
          <w:lang w:eastAsia="ja-JP"/>
        </w:rPr>
        <w:t xml:space="preserve">that </w:t>
      </w:r>
      <w:r>
        <w:rPr>
          <w:lang w:eastAsia="ja-JP"/>
        </w:rPr>
        <w:t xml:space="preserve">the jurisdictional conditions </w:t>
      </w:r>
      <w:r w:rsidR="00E52A92">
        <w:rPr>
          <w:lang w:eastAsia="ja-JP"/>
        </w:rPr>
        <w:t>described</w:t>
      </w:r>
      <w:r w:rsidR="00B77732">
        <w:rPr>
          <w:lang w:eastAsia="ja-JP"/>
        </w:rPr>
        <w:t xml:space="preserve"> in</w:t>
      </w:r>
      <w:r>
        <w:rPr>
          <w:lang w:eastAsia="ja-JP"/>
        </w:rPr>
        <w:t xml:space="preserve"> Order Nos. 2003</w:t>
      </w:r>
      <w:r w:rsidR="00557153">
        <w:rPr>
          <w:lang w:eastAsia="ja-JP"/>
        </w:rPr>
        <w:t xml:space="preserve"> and</w:t>
      </w:r>
      <w:r>
        <w:rPr>
          <w:lang w:eastAsia="ja-JP"/>
        </w:rPr>
        <w:t xml:space="preserve"> 2006 are met, those standard interconnection procedures and agreement terms </w:t>
      </w:r>
      <w:r w:rsidR="00883097">
        <w:rPr>
          <w:lang w:eastAsia="ja-JP"/>
        </w:rPr>
        <w:t xml:space="preserve">originally established in Order Nos. 2003 and 2006 and later amended by Order No. 845 </w:t>
      </w:r>
      <w:r>
        <w:rPr>
          <w:lang w:eastAsia="ja-JP"/>
        </w:rPr>
        <w:t xml:space="preserve">will continue to apply to the interconnections of distributed energy resources that participate in RTO/ISO markets individually, independent of a distributed energy resource aggregation.  </w:t>
      </w:r>
      <w:r w:rsidR="00497212">
        <w:rPr>
          <w:lang w:eastAsia="ja-JP"/>
        </w:rPr>
        <w:t>T</w:t>
      </w:r>
      <w:r>
        <w:rPr>
          <w:lang w:eastAsia="ja-JP"/>
        </w:rPr>
        <w:t xml:space="preserve">his </w:t>
      </w:r>
      <w:r w:rsidRPr="00D51270" w:rsidR="00D51270">
        <w:rPr>
          <w:lang w:eastAsia="ja-JP"/>
        </w:rPr>
        <w:t>final rule</w:t>
      </w:r>
      <w:r>
        <w:rPr>
          <w:lang w:eastAsia="ja-JP"/>
        </w:rPr>
        <w:t xml:space="preserve"> </w:t>
      </w:r>
      <w:r w:rsidR="00497212">
        <w:rPr>
          <w:lang w:eastAsia="ja-JP"/>
        </w:rPr>
        <w:t xml:space="preserve">also </w:t>
      </w:r>
      <w:r>
        <w:rPr>
          <w:lang w:eastAsia="ja-JP"/>
        </w:rPr>
        <w:t>does not revise the Commission’s jurisdictional approach to</w:t>
      </w:r>
      <w:r w:rsidR="009B5503">
        <w:rPr>
          <w:lang w:eastAsia="ja-JP"/>
        </w:rPr>
        <w:t xml:space="preserve"> the interconnections of</w:t>
      </w:r>
      <w:r>
        <w:rPr>
          <w:lang w:eastAsia="ja-JP"/>
        </w:rPr>
        <w:t xml:space="preserve"> </w:t>
      </w:r>
      <w:r w:rsidR="00654F07">
        <w:rPr>
          <w:lang w:eastAsia="ja-JP"/>
        </w:rPr>
        <w:t>QFs</w:t>
      </w:r>
      <w:r>
        <w:rPr>
          <w:lang w:eastAsia="ja-JP"/>
        </w:rPr>
        <w:t xml:space="preserve"> that participate in </w:t>
      </w:r>
      <w:r w:rsidR="009C63AC">
        <w:rPr>
          <w:lang w:eastAsia="ja-JP"/>
        </w:rPr>
        <w:t xml:space="preserve">distributed energy resource </w:t>
      </w:r>
      <w:r>
        <w:rPr>
          <w:lang w:eastAsia="ja-JP"/>
        </w:rPr>
        <w:t>aggregations.</w:t>
      </w:r>
      <w:r>
        <w:rPr>
          <w:rStyle w:val="FootnoteReference"/>
          <w:lang w:eastAsia="ja-JP"/>
        </w:rPr>
        <w:footnoteReference w:id="250"/>
      </w:r>
    </w:p>
    <w:p w:rsidR="006B591B" w:rsidP="006B591B" w:rsidRDefault="006B591B" w14:paraId="386FA994" w14:textId="53EEA365">
      <w:pPr>
        <w:pStyle w:val="FERCparanumber"/>
        <w:rPr>
          <w:lang w:eastAsia="ja-JP"/>
        </w:rPr>
      </w:pPr>
      <w:r>
        <w:rPr>
          <w:lang w:eastAsia="ja-JP"/>
        </w:rPr>
        <w:t xml:space="preserve">With respect to </w:t>
      </w:r>
      <w:r w:rsidRPr="00ED003D" w:rsidR="00ED003D">
        <w:rPr>
          <w:lang w:eastAsia="ja-JP"/>
        </w:rPr>
        <w:t>argu</w:t>
      </w:r>
      <w:r w:rsidR="00ED003D">
        <w:rPr>
          <w:lang w:eastAsia="ja-JP"/>
        </w:rPr>
        <w:t>m</w:t>
      </w:r>
      <w:r w:rsidRPr="00ED003D" w:rsidR="00ED003D">
        <w:rPr>
          <w:lang w:eastAsia="ja-JP"/>
        </w:rPr>
        <w:t>e</w:t>
      </w:r>
      <w:r w:rsidR="00ED003D">
        <w:rPr>
          <w:lang w:eastAsia="ja-JP"/>
        </w:rPr>
        <w:t>nt</w:t>
      </w:r>
      <w:r w:rsidRPr="00ED003D" w:rsidR="00ED003D">
        <w:rPr>
          <w:lang w:eastAsia="ja-JP"/>
        </w:rPr>
        <w:t xml:space="preserve">s that distributed energy resources should only be required to have one interconnection study </w:t>
      </w:r>
      <w:r w:rsidR="00ED003D">
        <w:rPr>
          <w:lang w:eastAsia="ja-JP"/>
        </w:rPr>
        <w:t xml:space="preserve">– at the distribution interconnection stage </w:t>
      </w:r>
      <w:r w:rsidR="00782D3C">
        <w:rPr>
          <w:lang w:eastAsia="ja-JP"/>
        </w:rPr>
        <w:t>–</w:t>
      </w:r>
      <w:r w:rsidR="00ED003D">
        <w:rPr>
          <w:lang w:eastAsia="ja-JP"/>
        </w:rPr>
        <w:t xml:space="preserve"> </w:t>
      </w:r>
      <w:r w:rsidRPr="00ED003D" w:rsidR="00ED003D">
        <w:rPr>
          <w:lang w:eastAsia="ja-JP"/>
        </w:rPr>
        <w:t>and should not be subject to additional review</w:t>
      </w:r>
      <w:r>
        <w:rPr>
          <w:lang w:eastAsia="ja-JP"/>
        </w:rPr>
        <w:t xml:space="preserve"> in connection with the possibility of RTO/ISO market participation, </w:t>
      </w:r>
      <w:r w:rsidR="00ED003D">
        <w:rPr>
          <w:lang w:eastAsia="ja-JP"/>
        </w:rPr>
        <w:t>and competing arguments that both distribution interconnection studies and</w:t>
      </w:r>
      <w:r>
        <w:rPr>
          <w:lang w:eastAsia="ja-JP"/>
        </w:rPr>
        <w:t xml:space="preserve"> separate </w:t>
      </w:r>
      <w:r w:rsidR="00A5403E">
        <w:rPr>
          <w:lang w:eastAsia="ja-JP"/>
        </w:rPr>
        <w:t xml:space="preserve">distributed energy resource </w:t>
      </w:r>
      <w:r>
        <w:rPr>
          <w:lang w:eastAsia="ja-JP"/>
        </w:rPr>
        <w:t xml:space="preserve">aggregation studies </w:t>
      </w:r>
      <w:r w:rsidR="00A71301">
        <w:rPr>
          <w:lang w:eastAsia="ja-JP"/>
        </w:rPr>
        <w:t xml:space="preserve">are needed </w:t>
      </w:r>
      <w:r>
        <w:rPr>
          <w:lang w:eastAsia="ja-JP"/>
        </w:rPr>
        <w:t xml:space="preserve">when distributed energy resources join an aggregation, </w:t>
      </w:r>
      <w:r w:rsidR="00654F07">
        <w:rPr>
          <w:lang w:eastAsia="ja-JP"/>
        </w:rPr>
        <w:t>we</w:t>
      </w:r>
      <w:r>
        <w:rPr>
          <w:lang w:eastAsia="ja-JP"/>
        </w:rPr>
        <w:t xml:space="preserve"> believe that </w:t>
      </w:r>
      <w:r w:rsidR="00FC6809">
        <w:rPr>
          <w:lang w:eastAsia="ja-JP"/>
        </w:rPr>
        <w:t>there could be different approaches to this issue that w</w:t>
      </w:r>
      <w:r>
        <w:rPr>
          <w:lang w:eastAsia="ja-JP"/>
        </w:rPr>
        <w:t xml:space="preserve">ould work in appropriate circumstances.  We therefore </w:t>
      </w:r>
      <w:bookmarkStart w:name="_Hlk35427017" w:id="35"/>
      <w:r>
        <w:rPr>
          <w:lang w:eastAsia="ja-JP"/>
        </w:rPr>
        <w:t xml:space="preserve">decline to </w:t>
      </w:r>
      <w:r w:rsidR="003074BD">
        <w:rPr>
          <w:lang w:eastAsia="ja-JP"/>
        </w:rPr>
        <w:t>create</w:t>
      </w:r>
      <w:r>
        <w:rPr>
          <w:lang w:eastAsia="ja-JP"/>
        </w:rPr>
        <w:t xml:space="preserve"> new </w:t>
      </w:r>
      <w:r w:rsidR="00A258B4">
        <w:rPr>
          <w:lang w:eastAsia="ja-JP"/>
        </w:rPr>
        <w:t xml:space="preserve">universal </w:t>
      </w:r>
      <w:r>
        <w:rPr>
          <w:lang w:eastAsia="ja-JP"/>
        </w:rPr>
        <w:t xml:space="preserve">requirements or initiate a process to </w:t>
      </w:r>
      <w:r w:rsidR="00A258B4">
        <w:rPr>
          <w:lang w:eastAsia="ja-JP"/>
        </w:rPr>
        <w:t>standardize</w:t>
      </w:r>
      <w:r>
        <w:rPr>
          <w:lang w:eastAsia="ja-JP"/>
        </w:rPr>
        <w:t xml:space="preserve"> tariffs </w:t>
      </w:r>
      <w:bookmarkEnd w:id="35"/>
      <w:r>
        <w:rPr>
          <w:lang w:eastAsia="ja-JP"/>
        </w:rPr>
        <w:t xml:space="preserve">with respect to these matters at this time.  </w:t>
      </w:r>
      <w:bookmarkStart w:name="_Hlk34915871" w:id="36"/>
      <w:bookmarkStart w:name="_Hlk42764889" w:id="37"/>
      <w:r w:rsidR="00EB38F0">
        <w:rPr>
          <w:lang w:eastAsia="ja-JP"/>
        </w:rPr>
        <w:t xml:space="preserve">In response to increased demand for </w:t>
      </w:r>
      <w:r w:rsidR="00A44335">
        <w:rPr>
          <w:lang w:eastAsia="ja-JP"/>
        </w:rPr>
        <w:t>distributed energy resource</w:t>
      </w:r>
      <w:r w:rsidR="00EB38F0">
        <w:rPr>
          <w:lang w:eastAsia="ja-JP"/>
        </w:rPr>
        <w:t xml:space="preserve"> aggregation</w:t>
      </w:r>
      <w:r w:rsidR="0067257E">
        <w:rPr>
          <w:lang w:eastAsia="ja-JP"/>
        </w:rPr>
        <w:t>s</w:t>
      </w:r>
      <w:r w:rsidR="00EB38F0">
        <w:rPr>
          <w:lang w:eastAsia="ja-JP"/>
        </w:rPr>
        <w:t xml:space="preserve"> for wholesale market participation, s</w:t>
      </w:r>
      <w:r>
        <w:rPr>
          <w:lang w:eastAsia="ja-JP"/>
        </w:rPr>
        <w:t>ome state</w:t>
      </w:r>
      <w:r w:rsidR="00EB38F0">
        <w:rPr>
          <w:lang w:eastAsia="ja-JP"/>
        </w:rPr>
        <w:t xml:space="preserve"> or local authoritie</w:t>
      </w:r>
      <w:r>
        <w:rPr>
          <w:lang w:eastAsia="ja-JP"/>
        </w:rPr>
        <w:t>s may choose to voluntarily update their distribution interconnection processes to assess the impacts of distributed energy resource</w:t>
      </w:r>
      <w:r w:rsidDel="00ED287D">
        <w:rPr>
          <w:lang w:eastAsia="ja-JP"/>
        </w:rPr>
        <w:t xml:space="preserve"> </w:t>
      </w:r>
      <w:r>
        <w:rPr>
          <w:lang w:eastAsia="ja-JP"/>
        </w:rPr>
        <w:t xml:space="preserve">aggregations </w:t>
      </w:r>
      <w:r w:rsidR="008A1EE8">
        <w:rPr>
          <w:lang w:eastAsia="ja-JP"/>
        </w:rPr>
        <w:t xml:space="preserve">on the distribution system </w:t>
      </w:r>
      <w:r>
        <w:rPr>
          <w:lang w:eastAsia="ja-JP"/>
        </w:rPr>
        <w:t>at the initial interconnection stage, while other state</w:t>
      </w:r>
      <w:r w:rsidR="00EB38F0">
        <w:rPr>
          <w:lang w:eastAsia="ja-JP"/>
        </w:rPr>
        <w:t xml:space="preserve"> and local authoritie</w:t>
      </w:r>
      <w:r>
        <w:rPr>
          <w:lang w:eastAsia="ja-JP"/>
        </w:rPr>
        <w:t xml:space="preserve">s may not.  </w:t>
      </w:r>
      <w:bookmarkStart w:name="_Hlk34915910" w:id="38"/>
      <w:bookmarkEnd w:id="36"/>
      <w:r>
        <w:rPr>
          <w:lang w:eastAsia="ja-JP"/>
        </w:rPr>
        <w:t xml:space="preserve">In the latter scenario, </w:t>
      </w:r>
      <w:r w:rsidR="008A1EE8">
        <w:rPr>
          <w:lang w:eastAsia="ja-JP"/>
        </w:rPr>
        <w:t xml:space="preserve">it </w:t>
      </w:r>
      <w:r>
        <w:rPr>
          <w:lang w:eastAsia="ja-JP"/>
        </w:rPr>
        <w:t>may be both necessary and appropriate</w:t>
      </w:r>
      <w:r w:rsidR="008A1EE8">
        <w:rPr>
          <w:lang w:eastAsia="ja-JP"/>
        </w:rPr>
        <w:t xml:space="preserve"> </w:t>
      </w:r>
      <w:r w:rsidRPr="008628D8" w:rsidR="00FE4CA6">
        <w:rPr>
          <w:lang w:eastAsia="ja-JP"/>
        </w:rPr>
        <w:t>for the RTO/ISO</w:t>
      </w:r>
      <w:r w:rsidR="00967D81">
        <w:rPr>
          <w:lang w:eastAsia="ja-JP"/>
        </w:rPr>
        <w:t>,</w:t>
      </w:r>
      <w:r w:rsidR="008A1EE8">
        <w:rPr>
          <w:lang w:eastAsia="ja-JP"/>
        </w:rPr>
        <w:t xml:space="preserve"> </w:t>
      </w:r>
      <w:r w:rsidR="00967D81">
        <w:rPr>
          <w:lang w:eastAsia="ja-JP"/>
        </w:rPr>
        <w:t>in coordination with affected distribution utilities,</w:t>
      </w:r>
      <w:r w:rsidR="008A1EE8">
        <w:rPr>
          <w:lang w:eastAsia="ja-JP"/>
        </w:rPr>
        <w:t xml:space="preserve"> to conduct separate studies of the impact on the distribution system after a </w:t>
      </w:r>
      <w:r w:rsidR="00A109D5">
        <w:rPr>
          <w:lang w:eastAsia="ja-JP"/>
        </w:rPr>
        <w:t xml:space="preserve">distributed energy </w:t>
      </w:r>
      <w:r w:rsidR="008A1EE8">
        <w:rPr>
          <w:lang w:eastAsia="ja-JP"/>
        </w:rPr>
        <w:t xml:space="preserve">resource joins a </w:t>
      </w:r>
      <w:r w:rsidR="00A109D5">
        <w:rPr>
          <w:lang w:eastAsia="ja-JP"/>
        </w:rPr>
        <w:t xml:space="preserve">distributed energy resource </w:t>
      </w:r>
      <w:r w:rsidR="008A1EE8">
        <w:rPr>
          <w:lang w:eastAsia="ja-JP"/>
        </w:rPr>
        <w:t>aggregation</w:t>
      </w:r>
      <w:r>
        <w:rPr>
          <w:lang w:eastAsia="ja-JP"/>
        </w:rPr>
        <w:t xml:space="preserve">.  </w:t>
      </w:r>
      <w:bookmarkEnd w:id="38"/>
      <w:r w:rsidRPr="00BD03B2">
        <w:rPr>
          <w:lang w:eastAsia="ja-JP"/>
        </w:rPr>
        <w:t>Moreover, as the individual distributed energy resources in an aggregation may change over time,</w:t>
      </w:r>
      <w:r w:rsidRPr="00BD03B2">
        <w:rPr>
          <w:rStyle w:val="FootnoteReference"/>
          <w:lang w:eastAsia="ja-JP"/>
        </w:rPr>
        <w:footnoteReference w:id="251"/>
      </w:r>
      <w:r w:rsidRPr="00BD03B2">
        <w:rPr>
          <w:lang w:eastAsia="ja-JP"/>
        </w:rPr>
        <w:t xml:space="preserve"> we cannot discount the possibility that the electrical characteristics of the aggregation will change significantly enough to require restudy.  </w:t>
      </w:r>
      <w:r w:rsidR="00EF5CEC">
        <w:rPr>
          <w:lang w:eastAsia="ja-JP"/>
        </w:rPr>
        <w:t xml:space="preserve">In practice, we expect that </w:t>
      </w:r>
      <w:r w:rsidRPr="004055A4" w:rsidR="00EF5CEC">
        <w:t xml:space="preserve">modifications to the list of resources in a distributed energy resource aggregation could </w:t>
      </w:r>
      <w:r w:rsidR="00EF5CEC">
        <w:t xml:space="preserve">occasionally </w:t>
      </w:r>
      <w:r w:rsidRPr="004055A4" w:rsidR="00EF5CEC">
        <w:t xml:space="preserve">indicate </w:t>
      </w:r>
      <w:r w:rsidR="00EF5CEC">
        <w:t>changes to</w:t>
      </w:r>
      <w:r w:rsidRPr="004055A4" w:rsidR="00EF5CEC">
        <w:t xml:space="preserve"> the electrical characteristics of the distributed energy resource aggregation that </w:t>
      </w:r>
      <w:r w:rsidR="00EF5CEC">
        <w:t>are</w:t>
      </w:r>
      <w:r w:rsidRPr="004055A4" w:rsidR="00EF5CEC">
        <w:t xml:space="preserve"> significant enough </w:t>
      </w:r>
      <w:r w:rsidR="00EF5CEC">
        <w:t>to potentially adversely impact</w:t>
      </w:r>
      <w:r w:rsidRPr="004055A4" w:rsidR="00EF5CEC">
        <w:t xml:space="preserve"> the reliability of the distribution or transmission systems </w:t>
      </w:r>
      <w:r w:rsidR="00EF5CEC">
        <w:t>and justify</w:t>
      </w:r>
      <w:r w:rsidRPr="004055A4" w:rsidR="00EF5CEC">
        <w:t xml:space="preserve"> restudy</w:t>
      </w:r>
      <w:r w:rsidR="00EF5CEC">
        <w:t xml:space="preserve"> of the full distributed energy resource aggregation; </w:t>
      </w:r>
      <w:r w:rsidR="00EF5CEC">
        <w:rPr>
          <w:lang w:eastAsia="ja-JP"/>
        </w:rPr>
        <w:t>t</w:t>
      </w:r>
      <w:r w:rsidRPr="00BD03B2" w:rsidR="00957C62">
        <w:rPr>
          <w:lang w:eastAsia="ja-JP"/>
        </w:rPr>
        <w:t xml:space="preserve">herefore, </w:t>
      </w:r>
      <w:r w:rsidRPr="00BD03B2">
        <w:rPr>
          <w:lang w:eastAsia="ja-JP"/>
        </w:rPr>
        <w:t xml:space="preserve">RTOs/ISOs and distribution utilities </w:t>
      </w:r>
      <w:r w:rsidRPr="00BD03B2" w:rsidR="00255374">
        <w:rPr>
          <w:lang w:eastAsia="ja-JP"/>
        </w:rPr>
        <w:t xml:space="preserve">may </w:t>
      </w:r>
      <w:r w:rsidRPr="00BD03B2">
        <w:rPr>
          <w:lang w:eastAsia="ja-JP"/>
        </w:rPr>
        <w:t>perform such aggregation restudies</w:t>
      </w:r>
      <w:r w:rsidRPr="00BD03B2" w:rsidR="00957C62">
        <w:rPr>
          <w:lang w:eastAsia="ja-JP"/>
        </w:rPr>
        <w:t xml:space="preserve"> if necessary</w:t>
      </w:r>
      <w:r w:rsidRPr="00BD03B2">
        <w:rPr>
          <w:lang w:eastAsia="ja-JP"/>
        </w:rPr>
        <w:t>.</w:t>
      </w:r>
      <w:r>
        <w:rPr>
          <w:lang w:eastAsia="ja-JP"/>
        </w:rPr>
        <w:t xml:space="preserve">  </w:t>
      </w:r>
      <w:bookmarkEnd w:id="37"/>
      <w:r w:rsidR="00255374">
        <w:rPr>
          <w:lang w:eastAsia="ja-JP"/>
        </w:rPr>
        <w:t>Similarly, w</w:t>
      </w:r>
      <w:r w:rsidRPr="00BC1969" w:rsidR="00471680">
        <w:rPr>
          <w:lang w:eastAsia="ja-JP"/>
        </w:rPr>
        <w:t xml:space="preserve">hile </w:t>
      </w:r>
      <w:r w:rsidR="008F256B">
        <w:rPr>
          <w:lang w:eastAsia="ja-JP"/>
        </w:rPr>
        <w:t>the</w:t>
      </w:r>
      <w:r w:rsidRPr="00BC1969" w:rsidR="00471680">
        <w:rPr>
          <w:lang w:eastAsia="ja-JP"/>
        </w:rPr>
        <w:t xml:space="preserve"> interconnections of </w:t>
      </w:r>
      <w:r w:rsidR="00471680">
        <w:rPr>
          <w:lang w:eastAsia="ja-JP"/>
        </w:rPr>
        <w:t>distributed energy resources</w:t>
      </w:r>
      <w:r w:rsidRPr="00BC1969" w:rsidR="00471680">
        <w:rPr>
          <w:lang w:eastAsia="ja-JP"/>
        </w:rPr>
        <w:t xml:space="preserve"> seeking to participate in RTO/ISO markets as part of a</w:t>
      </w:r>
      <w:r w:rsidR="00471680">
        <w:rPr>
          <w:lang w:eastAsia="ja-JP"/>
        </w:rPr>
        <w:t xml:space="preserve"> distributed energy resource</w:t>
      </w:r>
      <w:r w:rsidRPr="00BC1969" w:rsidR="00471680">
        <w:rPr>
          <w:lang w:eastAsia="ja-JP"/>
        </w:rPr>
        <w:t xml:space="preserve"> aggregation would be subject to state or local </w:t>
      </w:r>
      <w:r w:rsidR="00471680">
        <w:rPr>
          <w:lang w:eastAsia="ja-JP"/>
        </w:rPr>
        <w:t>interconnection procedures</w:t>
      </w:r>
      <w:r w:rsidRPr="00BC1969" w:rsidR="00471680">
        <w:rPr>
          <w:lang w:eastAsia="ja-JP"/>
        </w:rPr>
        <w:t>,</w:t>
      </w:r>
      <w:r w:rsidR="00471680">
        <w:rPr>
          <w:lang w:eastAsia="ja-JP"/>
        </w:rPr>
        <w:t xml:space="preserve"> we believe that</w:t>
      </w:r>
      <w:r w:rsidRPr="00BC1969" w:rsidR="00471680">
        <w:rPr>
          <w:lang w:eastAsia="ja-JP"/>
        </w:rPr>
        <w:t xml:space="preserve"> coordination between RTOs/ISOs and distribution </w:t>
      </w:r>
      <w:r w:rsidR="00471680">
        <w:rPr>
          <w:lang w:eastAsia="ja-JP"/>
        </w:rPr>
        <w:t xml:space="preserve">utilities, as discussed in </w:t>
      </w:r>
      <w:r w:rsidRPr="003E69B9" w:rsidR="00F32A52">
        <w:rPr>
          <w:lang w:eastAsia="ja-JP"/>
        </w:rPr>
        <w:t>S</w:t>
      </w:r>
      <w:r w:rsidRPr="003E69B9" w:rsidR="00471680">
        <w:rPr>
          <w:lang w:eastAsia="ja-JP"/>
        </w:rPr>
        <w:t xml:space="preserve">ection </w:t>
      </w:r>
      <w:r w:rsidRPr="003E69B9" w:rsidR="00B21315">
        <w:rPr>
          <w:lang w:eastAsia="ja-JP"/>
        </w:rPr>
        <w:t>I</w:t>
      </w:r>
      <w:r w:rsidRPr="003E69B9" w:rsidR="00471680">
        <w:rPr>
          <w:lang w:eastAsia="ja-JP"/>
        </w:rPr>
        <w:t>V.</w:t>
      </w:r>
      <w:r w:rsidRPr="003E69B9" w:rsidR="00B26397">
        <w:rPr>
          <w:lang w:eastAsia="ja-JP"/>
        </w:rPr>
        <w:t>H</w:t>
      </w:r>
      <w:r w:rsidR="00471680">
        <w:rPr>
          <w:lang w:eastAsia="ja-JP"/>
        </w:rPr>
        <w:t xml:space="preserve"> below, </w:t>
      </w:r>
      <w:r w:rsidRPr="00BC1969" w:rsidR="00471680">
        <w:rPr>
          <w:lang w:eastAsia="ja-JP"/>
        </w:rPr>
        <w:t xml:space="preserve">should ensure that RTOs/ISOs have the information </w:t>
      </w:r>
      <w:r w:rsidR="00CF4847">
        <w:rPr>
          <w:lang w:eastAsia="ja-JP"/>
        </w:rPr>
        <w:t xml:space="preserve">that </w:t>
      </w:r>
      <w:r w:rsidRPr="00BC1969" w:rsidR="00471680">
        <w:rPr>
          <w:lang w:eastAsia="ja-JP"/>
        </w:rPr>
        <w:t>they need to study the impact of the aggregation</w:t>
      </w:r>
      <w:r w:rsidR="0017319B">
        <w:rPr>
          <w:lang w:eastAsia="ja-JP"/>
        </w:rPr>
        <w:t>s</w:t>
      </w:r>
      <w:r w:rsidRPr="00BC1969" w:rsidR="00471680">
        <w:rPr>
          <w:lang w:eastAsia="ja-JP"/>
        </w:rPr>
        <w:t xml:space="preserve"> on the transmission system</w:t>
      </w:r>
      <w:r w:rsidR="00471680">
        <w:rPr>
          <w:lang w:eastAsia="ja-JP"/>
        </w:rPr>
        <w:t>.</w:t>
      </w:r>
      <w:r w:rsidR="00F25243">
        <w:rPr>
          <w:lang w:eastAsia="ja-JP"/>
        </w:rPr>
        <w:t xml:space="preserve">  In general, where needed, such studies of the impact of an aggregation as a whole on the transmission system should be the only </w:t>
      </w:r>
      <w:r w:rsidR="001642E3">
        <w:rPr>
          <w:lang w:eastAsia="ja-JP"/>
        </w:rPr>
        <w:t>aggregation</w:t>
      </w:r>
      <w:r w:rsidR="00F25243">
        <w:rPr>
          <w:lang w:eastAsia="ja-JP"/>
        </w:rPr>
        <w:t>-related studies that the RTO/ISO needs to undertake.</w:t>
      </w:r>
      <w:r w:rsidR="001642E3">
        <w:rPr>
          <w:rStyle w:val="FootnoteReference"/>
          <w:lang w:eastAsia="ja-JP"/>
        </w:rPr>
        <w:footnoteReference w:id="252"/>
      </w:r>
    </w:p>
    <w:p w:rsidR="006B591B" w:rsidP="006B591B" w:rsidRDefault="00255374" w14:paraId="2EC956BA" w14:textId="5D5C15C9">
      <w:pPr>
        <w:pStyle w:val="FERCparanumber"/>
        <w:rPr>
          <w:lang w:eastAsia="ja-JP"/>
        </w:rPr>
      </w:pPr>
      <w:r>
        <w:rPr>
          <w:lang w:eastAsia="ja-JP"/>
        </w:rPr>
        <w:t>In response to the comments of Advanced Energy Economy, w</w:t>
      </w:r>
      <w:r w:rsidDel="00162505" w:rsidR="006B591B">
        <w:rPr>
          <w:lang w:eastAsia="ja-JP"/>
        </w:rPr>
        <w:t>e</w:t>
      </w:r>
      <w:r w:rsidR="006B591B">
        <w:rPr>
          <w:lang w:eastAsia="ja-JP"/>
        </w:rPr>
        <w:t xml:space="preserve"> decline to require</w:t>
      </w:r>
      <w:r w:rsidRPr="00C25C6E" w:rsidR="006B591B">
        <w:rPr>
          <w:lang w:eastAsia="ja-JP"/>
        </w:rPr>
        <w:t xml:space="preserve"> standard interconnection tariffs in those states where </w:t>
      </w:r>
      <w:r w:rsidRPr="00C25C6E" w:rsidR="009E05C9">
        <w:rPr>
          <w:lang w:eastAsia="ja-JP"/>
        </w:rPr>
        <w:t xml:space="preserve">no retail tariff exists </w:t>
      </w:r>
      <w:r w:rsidR="009E05C9">
        <w:rPr>
          <w:lang w:eastAsia="ja-JP"/>
        </w:rPr>
        <w:t xml:space="preserve">for </w:t>
      </w:r>
      <w:r w:rsidRPr="00C25C6E" w:rsidR="006B591B">
        <w:rPr>
          <w:lang w:eastAsia="ja-JP"/>
        </w:rPr>
        <w:t xml:space="preserve">distributed energy resources </w:t>
      </w:r>
      <w:r w:rsidR="009E05C9">
        <w:rPr>
          <w:lang w:eastAsia="ja-JP"/>
        </w:rPr>
        <w:t xml:space="preserve">that </w:t>
      </w:r>
      <w:r w:rsidRPr="00C25C6E" w:rsidR="006B591B">
        <w:rPr>
          <w:lang w:eastAsia="ja-JP"/>
        </w:rPr>
        <w:t xml:space="preserve">are not QFs under </w:t>
      </w:r>
      <w:r w:rsidR="00FA52A4">
        <w:rPr>
          <w:lang w:eastAsia="ja-JP"/>
        </w:rPr>
        <w:t>PURPA</w:t>
      </w:r>
      <w:r w:rsidR="006B591B">
        <w:rPr>
          <w:lang w:eastAsia="ja-JP"/>
        </w:rPr>
        <w:t>.  We believe that such a situation should be addressed at the state level</w:t>
      </w:r>
      <w:r w:rsidR="002D64CF">
        <w:rPr>
          <w:lang w:eastAsia="ja-JP"/>
        </w:rPr>
        <w:t>, as discussed above</w:t>
      </w:r>
      <w:r w:rsidR="006B591B">
        <w:rPr>
          <w:lang w:eastAsia="ja-JP"/>
        </w:rPr>
        <w:t xml:space="preserve">. </w:t>
      </w:r>
    </w:p>
    <w:p w:rsidR="006B591B" w:rsidP="006B591B" w:rsidRDefault="006B591B" w14:paraId="7D10EDBD" w14:textId="4920AEC6">
      <w:pPr>
        <w:pStyle w:val="FERCparanumber"/>
        <w:rPr>
          <w:lang w:eastAsia="ja-JP"/>
        </w:rPr>
      </w:pPr>
      <w:r>
        <w:rPr>
          <w:lang w:eastAsia="ja-JP"/>
        </w:rPr>
        <w:t xml:space="preserve">While some commenters </w:t>
      </w:r>
      <w:r w:rsidR="00496234">
        <w:rPr>
          <w:lang w:eastAsia="ja-JP"/>
        </w:rPr>
        <w:t xml:space="preserve">raise concerns </w:t>
      </w:r>
      <w:r>
        <w:rPr>
          <w:lang w:eastAsia="ja-JP"/>
        </w:rPr>
        <w:t xml:space="preserve">that </w:t>
      </w:r>
      <w:r w:rsidRPr="00EB38F0" w:rsidR="00EB38F0">
        <w:rPr>
          <w:lang w:eastAsia="ja-JP"/>
        </w:rPr>
        <w:t>declin</w:t>
      </w:r>
      <w:r w:rsidR="00EB38F0">
        <w:rPr>
          <w:lang w:eastAsia="ja-JP"/>
        </w:rPr>
        <w:t>ing</w:t>
      </w:r>
      <w:r w:rsidRPr="00EB38F0" w:rsidR="00EB38F0">
        <w:rPr>
          <w:lang w:eastAsia="ja-JP"/>
        </w:rPr>
        <w:t xml:space="preserve"> to create new universal </w:t>
      </w:r>
      <w:r w:rsidR="00EB38F0">
        <w:rPr>
          <w:lang w:eastAsia="ja-JP"/>
        </w:rPr>
        <w:t xml:space="preserve">distribution interconnection </w:t>
      </w:r>
      <w:r w:rsidRPr="00EB38F0" w:rsidR="00EB38F0">
        <w:rPr>
          <w:lang w:eastAsia="ja-JP"/>
        </w:rPr>
        <w:t xml:space="preserve">requirements or initiate a process to standardize </w:t>
      </w:r>
      <w:r w:rsidR="00EB38F0">
        <w:rPr>
          <w:lang w:eastAsia="ja-JP"/>
        </w:rPr>
        <w:t xml:space="preserve">distribution interconnection </w:t>
      </w:r>
      <w:r w:rsidRPr="00EB38F0" w:rsidR="00EB38F0">
        <w:rPr>
          <w:lang w:eastAsia="ja-JP"/>
        </w:rPr>
        <w:t xml:space="preserve">tariffs </w:t>
      </w:r>
      <w:r>
        <w:rPr>
          <w:lang w:eastAsia="ja-JP"/>
        </w:rPr>
        <w:t xml:space="preserve">could </w:t>
      </w:r>
      <w:r w:rsidR="00307E35">
        <w:rPr>
          <w:lang w:eastAsia="ja-JP"/>
        </w:rPr>
        <w:t>result in</w:t>
      </w:r>
      <w:r>
        <w:rPr>
          <w:lang w:eastAsia="ja-JP"/>
        </w:rPr>
        <w:t xml:space="preserve"> uncertainty and delay, or could be used to unduly limit participation of distributed energy resource aggregations in wholesale markets, we believe that such concerns are speculative at this time.  In this regard, we </w:t>
      </w:r>
      <w:r w:rsidR="00D04822">
        <w:rPr>
          <w:lang w:eastAsia="ja-JP"/>
        </w:rPr>
        <w:t>note</w:t>
      </w:r>
      <w:r>
        <w:rPr>
          <w:lang w:eastAsia="ja-JP"/>
        </w:rPr>
        <w:t xml:space="preserve"> that, </w:t>
      </w:r>
      <w:bookmarkStart w:name="_Hlk42764488" w:id="39"/>
      <w:r>
        <w:rPr>
          <w:lang w:eastAsia="ja-JP"/>
        </w:rPr>
        <w:t>while</w:t>
      </w:r>
      <w:r w:rsidR="00162505">
        <w:rPr>
          <w:lang w:eastAsia="ja-JP"/>
        </w:rPr>
        <w:t xml:space="preserve"> we are</w:t>
      </w:r>
      <w:r>
        <w:rPr>
          <w:lang w:eastAsia="ja-JP"/>
        </w:rPr>
        <w:t xml:space="preserve"> herein declining to exercise jurisdiction over </w:t>
      </w:r>
      <w:r w:rsidRPr="00A4698D">
        <w:rPr>
          <w:lang w:eastAsia="ja-JP"/>
        </w:rPr>
        <w:t>the interconnection</w:t>
      </w:r>
      <w:r w:rsidR="00D77204">
        <w:rPr>
          <w:lang w:eastAsia="ja-JP"/>
        </w:rPr>
        <w:t>s</w:t>
      </w:r>
      <w:r w:rsidRPr="00A4698D">
        <w:rPr>
          <w:lang w:eastAsia="ja-JP"/>
        </w:rPr>
        <w:t xml:space="preserve"> of </w:t>
      </w:r>
      <w:r>
        <w:rPr>
          <w:lang w:eastAsia="ja-JP"/>
        </w:rPr>
        <w:t>distributed energy resource</w:t>
      </w:r>
      <w:r w:rsidR="00D77204">
        <w:rPr>
          <w:lang w:eastAsia="ja-JP"/>
        </w:rPr>
        <w:t>s</w:t>
      </w:r>
      <w:r w:rsidRPr="00A4698D">
        <w:rPr>
          <w:lang w:eastAsia="ja-JP"/>
        </w:rPr>
        <w:t xml:space="preserve"> to distribution </w:t>
      </w:r>
      <w:r>
        <w:rPr>
          <w:lang w:eastAsia="ja-JP"/>
        </w:rPr>
        <w:t>facilit</w:t>
      </w:r>
      <w:r w:rsidR="00D77204">
        <w:rPr>
          <w:lang w:eastAsia="ja-JP"/>
        </w:rPr>
        <w:t>ies</w:t>
      </w:r>
      <w:r w:rsidRPr="00A4698D">
        <w:rPr>
          <w:lang w:eastAsia="ja-JP"/>
        </w:rPr>
        <w:t xml:space="preserve"> for the purpose of participating in </w:t>
      </w:r>
      <w:r>
        <w:rPr>
          <w:lang w:eastAsia="ja-JP"/>
        </w:rPr>
        <w:t>distributed energy</w:t>
      </w:r>
      <w:r w:rsidRPr="00A4698D">
        <w:rPr>
          <w:lang w:eastAsia="ja-JP"/>
        </w:rPr>
        <w:t xml:space="preserve"> </w:t>
      </w:r>
      <w:r>
        <w:rPr>
          <w:lang w:eastAsia="ja-JP"/>
        </w:rPr>
        <w:t xml:space="preserve">resource </w:t>
      </w:r>
      <w:r w:rsidRPr="00A4698D">
        <w:rPr>
          <w:lang w:eastAsia="ja-JP"/>
        </w:rPr>
        <w:t>aggregation</w:t>
      </w:r>
      <w:r w:rsidR="00D77204">
        <w:rPr>
          <w:lang w:eastAsia="ja-JP"/>
        </w:rPr>
        <w:t>s</w:t>
      </w:r>
      <w:r>
        <w:rPr>
          <w:lang w:eastAsia="ja-JP"/>
        </w:rPr>
        <w:t xml:space="preserve">, </w:t>
      </w:r>
      <w:r w:rsidR="00D77204">
        <w:rPr>
          <w:lang w:eastAsia="ja-JP"/>
        </w:rPr>
        <w:t>the Commission</w:t>
      </w:r>
      <w:r w:rsidR="00162505">
        <w:rPr>
          <w:lang w:eastAsia="ja-JP"/>
        </w:rPr>
        <w:t xml:space="preserve"> may revisit this policy decision </w:t>
      </w:r>
      <w:r w:rsidR="00D77204">
        <w:rPr>
          <w:lang w:eastAsia="ja-JP"/>
        </w:rPr>
        <w:t xml:space="preserve">in the </w:t>
      </w:r>
      <w:r w:rsidR="00CB67D8">
        <w:rPr>
          <w:lang w:eastAsia="ja-JP"/>
        </w:rPr>
        <w:t>future</w:t>
      </w:r>
      <w:r w:rsidR="007A29F8">
        <w:rPr>
          <w:lang w:eastAsia="ja-JP"/>
        </w:rPr>
        <w:t>, should</w:t>
      </w:r>
      <w:r w:rsidR="002115E6">
        <w:rPr>
          <w:lang w:eastAsia="ja-JP"/>
        </w:rPr>
        <w:t xml:space="preserve"> </w:t>
      </w:r>
      <w:r w:rsidR="00431799">
        <w:rPr>
          <w:lang w:eastAsia="ja-JP"/>
        </w:rPr>
        <w:t xml:space="preserve">we discover </w:t>
      </w:r>
      <w:r>
        <w:rPr>
          <w:lang w:eastAsia="ja-JP"/>
        </w:rPr>
        <w:t>abuse</w:t>
      </w:r>
      <w:r w:rsidR="00D77204">
        <w:rPr>
          <w:lang w:eastAsia="ja-JP"/>
        </w:rPr>
        <w:t>s</w:t>
      </w:r>
      <w:r>
        <w:rPr>
          <w:lang w:eastAsia="ja-JP"/>
        </w:rPr>
        <w:t xml:space="preserve"> of the distribution interconnection process </w:t>
      </w:r>
      <w:r w:rsidR="00B93760">
        <w:rPr>
          <w:lang w:eastAsia="ja-JP"/>
        </w:rPr>
        <w:t>or</w:t>
      </w:r>
      <w:r w:rsidR="00431799">
        <w:rPr>
          <w:lang w:eastAsia="ja-JP"/>
        </w:rPr>
        <w:t xml:space="preserve"> </w:t>
      </w:r>
      <w:r w:rsidR="00891FFC">
        <w:rPr>
          <w:lang w:eastAsia="ja-JP"/>
        </w:rPr>
        <w:t xml:space="preserve">the </w:t>
      </w:r>
      <w:r w:rsidR="000A6B22">
        <w:rPr>
          <w:lang w:eastAsia="ja-JP"/>
        </w:rPr>
        <w:t>rise o</w:t>
      </w:r>
      <w:r w:rsidR="00891FFC">
        <w:rPr>
          <w:lang w:eastAsia="ja-JP"/>
        </w:rPr>
        <w:t>f</w:t>
      </w:r>
      <w:r>
        <w:rPr>
          <w:lang w:eastAsia="ja-JP"/>
        </w:rPr>
        <w:t xml:space="preserve"> </w:t>
      </w:r>
      <w:r w:rsidR="00F76BBA">
        <w:rPr>
          <w:lang w:eastAsia="ja-JP"/>
        </w:rPr>
        <w:t>unnecessary</w:t>
      </w:r>
      <w:r>
        <w:rPr>
          <w:lang w:eastAsia="ja-JP"/>
        </w:rPr>
        <w:t xml:space="preserve"> barriers to the participation of distributed energy resource aggregations in RTO/ISO markets.</w:t>
      </w:r>
    </w:p>
    <w:bookmarkEnd w:id="39"/>
    <w:p w:rsidR="006B591B" w:rsidP="006B591B" w:rsidRDefault="006B591B" w14:paraId="0D7D7981" w14:textId="23D6C36F">
      <w:pPr>
        <w:pStyle w:val="FERCparanumber"/>
        <w:rPr>
          <w:lang w:eastAsia="ja-JP"/>
        </w:rPr>
      </w:pPr>
      <w:r>
        <w:rPr>
          <w:lang w:eastAsia="ja-JP"/>
        </w:rPr>
        <w:t xml:space="preserve">With respect to the related arguments that the distribution interconnection process and the distributed energy resource aggregation registration process are separate but require coordination, we agree, and believe that the coordination requirements discussed </w:t>
      </w:r>
      <w:r w:rsidRPr="003E69B9">
        <w:rPr>
          <w:lang w:eastAsia="ja-JP"/>
        </w:rPr>
        <w:t xml:space="preserve">in </w:t>
      </w:r>
      <w:r w:rsidRPr="003E69B9" w:rsidR="00F16837">
        <w:rPr>
          <w:lang w:eastAsia="ja-JP"/>
        </w:rPr>
        <w:t>S</w:t>
      </w:r>
      <w:r w:rsidRPr="003E69B9" w:rsidR="005A7595">
        <w:rPr>
          <w:lang w:eastAsia="ja-JP"/>
        </w:rPr>
        <w:t xml:space="preserve">ection </w:t>
      </w:r>
      <w:r w:rsidRPr="003E69B9" w:rsidR="00B84D46">
        <w:rPr>
          <w:lang w:eastAsia="ja-JP"/>
        </w:rPr>
        <w:t>I</w:t>
      </w:r>
      <w:r w:rsidRPr="003E69B9" w:rsidR="005A7595">
        <w:rPr>
          <w:lang w:eastAsia="ja-JP"/>
        </w:rPr>
        <w:t>V.</w:t>
      </w:r>
      <w:r w:rsidRPr="003E69B9" w:rsidR="00B26397">
        <w:rPr>
          <w:lang w:eastAsia="ja-JP"/>
        </w:rPr>
        <w:t>H</w:t>
      </w:r>
      <w:r w:rsidR="005A7595">
        <w:rPr>
          <w:lang w:eastAsia="ja-JP"/>
        </w:rPr>
        <w:t xml:space="preserve"> of </w:t>
      </w:r>
      <w:r>
        <w:rPr>
          <w:lang w:eastAsia="ja-JP"/>
        </w:rPr>
        <w:t xml:space="preserve">this </w:t>
      </w:r>
      <w:r w:rsidRPr="00D51270" w:rsidR="00D51270">
        <w:rPr>
          <w:lang w:eastAsia="ja-JP"/>
        </w:rPr>
        <w:t>final rule</w:t>
      </w:r>
      <w:r>
        <w:rPr>
          <w:lang w:eastAsia="ja-JP"/>
        </w:rPr>
        <w:t xml:space="preserve"> appropriately address this need. </w:t>
      </w:r>
    </w:p>
    <w:p w:rsidRPr="00E71B0D" w:rsidR="007361DE" w:rsidP="007361DE" w:rsidRDefault="000C3A14" w14:paraId="2C8D654C" w14:textId="49C4A0B1">
      <w:pPr>
        <w:pStyle w:val="FERCparanumber"/>
        <w:rPr>
          <w:lang w:eastAsia="ja-JP"/>
        </w:rPr>
      </w:pPr>
      <w:r w:rsidRPr="00E71B0D">
        <w:rPr>
          <w:lang w:eastAsia="ja-JP"/>
        </w:rPr>
        <w:t xml:space="preserve">Although we find it appropriate to </w:t>
      </w:r>
      <w:r w:rsidRPr="00E71B0D" w:rsidR="008272A4">
        <w:rPr>
          <w:lang w:eastAsia="ja-JP"/>
        </w:rPr>
        <w:t xml:space="preserve">decline to </w:t>
      </w:r>
      <w:r w:rsidRPr="00E71B0D">
        <w:rPr>
          <w:lang w:eastAsia="ja-JP"/>
        </w:rPr>
        <w:t>exercise jurisdiction over the interconnections of</w:t>
      </w:r>
      <w:r w:rsidRPr="00E71B0D" w:rsidR="008272A4">
        <w:rPr>
          <w:lang w:eastAsia="ja-JP"/>
        </w:rPr>
        <w:t xml:space="preserve"> distributed energy resources intend</w:t>
      </w:r>
      <w:r w:rsidRPr="00E71B0D" w:rsidR="0062644C">
        <w:rPr>
          <w:lang w:eastAsia="ja-JP"/>
        </w:rPr>
        <w:t>ing</w:t>
      </w:r>
      <w:r w:rsidRPr="00E71B0D" w:rsidR="008272A4">
        <w:rPr>
          <w:lang w:eastAsia="ja-JP"/>
        </w:rPr>
        <w:t xml:space="preserve"> to participate in </w:t>
      </w:r>
      <w:r w:rsidRPr="00E71B0D" w:rsidR="00A2749B">
        <w:rPr>
          <w:lang w:eastAsia="ja-JP"/>
        </w:rPr>
        <w:t>RTO/ISO</w:t>
      </w:r>
      <w:r w:rsidRPr="00E71B0D" w:rsidR="008272A4">
        <w:rPr>
          <w:lang w:eastAsia="ja-JP"/>
        </w:rPr>
        <w:t xml:space="preserve"> markets </w:t>
      </w:r>
      <w:r w:rsidRPr="00E71B0D" w:rsidR="00A2749B">
        <w:rPr>
          <w:lang w:eastAsia="ja-JP"/>
        </w:rPr>
        <w:t>exclusive</w:t>
      </w:r>
      <w:r w:rsidRPr="00E71B0D" w:rsidR="008272A4">
        <w:rPr>
          <w:lang w:eastAsia="ja-JP"/>
        </w:rPr>
        <w:t xml:space="preserve">ly through a </w:t>
      </w:r>
      <w:r w:rsidRPr="00E71B0D" w:rsidR="00252180">
        <w:rPr>
          <w:lang w:eastAsia="ja-JP"/>
        </w:rPr>
        <w:t xml:space="preserve">distributed energy resource </w:t>
      </w:r>
      <w:r w:rsidRPr="00E71B0D" w:rsidR="008272A4">
        <w:rPr>
          <w:lang w:eastAsia="ja-JP"/>
        </w:rPr>
        <w:t>aggregation</w:t>
      </w:r>
      <w:r w:rsidRPr="00E71B0D" w:rsidR="006B591B">
        <w:rPr>
          <w:lang w:eastAsia="ja-JP"/>
        </w:rPr>
        <w:t xml:space="preserve">, we </w:t>
      </w:r>
      <w:r w:rsidRPr="00E71B0D">
        <w:rPr>
          <w:lang w:eastAsia="ja-JP"/>
        </w:rPr>
        <w:t xml:space="preserve">recognize that </w:t>
      </w:r>
      <w:r w:rsidRPr="00E71B0D" w:rsidR="002B0B33">
        <w:rPr>
          <w:lang w:eastAsia="ja-JP"/>
        </w:rPr>
        <w:t xml:space="preserve">such </w:t>
      </w:r>
      <w:r w:rsidRPr="00E71B0D" w:rsidR="00602757">
        <w:rPr>
          <w:lang w:eastAsia="ja-JP"/>
        </w:rPr>
        <w:t>distributed energy resources</w:t>
      </w:r>
      <w:r w:rsidRPr="00E71B0D">
        <w:rPr>
          <w:lang w:eastAsia="ja-JP"/>
        </w:rPr>
        <w:t xml:space="preserve"> may already have interconnect</w:t>
      </w:r>
      <w:r w:rsidRPr="00E71B0D" w:rsidR="00033941">
        <w:rPr>
          <w:lang w:eastAsia="ja-JP"/>
        </w:rPr>
        <w:t>ed</w:t>
      </w:r>
      <w:r w:rsidRPr="00E71B0D" w:rsidR="00602757">
        <w:rPr>
          <w:lang w:eastAsia="ja-JP"/>
        </w:rPr>
        <w:t xml:space="preserve"> </w:t>
      </w:r>
      <w:r w:rsidRPr="00E71B0D" w:rsidR="00033941">
        <w:rPr>
          <w:lang w:eastAsia="ja-JP"/>
        </w:rPr>
        <w:t>pursuant to</w:t>
      </w:r>
      <w:r w:rsidRPr="00E71B0D" w:rsidR="00602757">
        <w:rPr>
          <w:lang w:eastAsia="ja-JP"/>
        </w:rPr>
        <w:t xml:space="preserve"> </w:t>
      </w:r>
      <w:r w:rsidRPr="00E71B0D" w:rsidDel="00602757">
        <w:rPr>
          <w:lang w:eastAsia="ja-JP"/>
        </w:rPr>
        <w:t xml:space="preserve">procedures </w:t>
      </w:r>
      <w:r w:rsidRPr="00E71B0D">
        <w:rPr>
          <w:lang w:eastAsia="ja-JP"/>
        </w:rPr>
        <w:t>that w</w:t>
      </w:r>
      <w:r w:rsidRPr="00E71B0D" w:rsidR="00602757">
        <w:rPr>
          <w:lang w:eastAsia="ja-JP"/>
        </w:rPr>
        <w:t>ere</w:t>
      </w:r>
      <w:r w:rsidRPr="00E71B0D">
        <w:rPr>
          <w:lang w:eastAsia="ja-JP"/>
        </w:rPr>
        <w:t xml:space="preserve"> accepted by the Commission prior to the effective date of this </w:t>
      </w:r>
      <w:r w:rsidRPr="00D51270" w:rsidR="00D51270">
        <w:rPr>
          <w:lang w:eastAsia="ja-JP"/>
        </w:rPr>
        <w:t>final rule</w:t>
      </w:r>
      <w:r w:rsidRPr="00E71B0D">
        <w:rPr>
          <w:lang w:eastAsia="ja-JP"/>
        </w:rPr>
        <w:t xml:space="preserve">.  </w:t>
      </w:r>
      <w:r w:rsidRPr="00E71B0D" w:rsidR="00602757">
        <w:rPr>
          <w:lang w:eastAsia="ja-JP"/>
        </w:rPr>
        <w:t>Therefore,</w:t>
      </w:r>
      <w:r w:rsidRPr="00E71B0D" w:rsidR="00B223AC">
        <w:rPr>
          <w:lang w:eastAsia="ja-JP"/>
        </w:rPr>
        <w:t xml:space="preserve"> to </w:t>
      </w:r>
      <w:r w:rsidRPr="00E71B0D" w:rsidR="00556798">
        <w:rPr>
          <w:lang w:eastAsia="ja-JP"/>
        </w:rPr>
        <w:t xml:space="preserve">minimize disruption to existing </w:t>
      </w:r>
      <w:r w:rsidRPr="00E71B0D" w:rsidR="00B223AC">
        <w:rPr>
          <w:lang w:eastAsia="ja-JP"/>
        </w:rPr>
        <w:t xml:space="preserve">interconnection agreements for distributed energy resources, </w:t>
      </w:r>
      <w:r w:rsidRPr="00E71B0D" w:rsidR="00602757">
        <w:rPr>
          <w:lang w:eastAsia="ja-JP"/>
        </w:rPr>
        <w:t>we</w:t>
      </w:r>
      <w:r w:rsidRPr="00E71B0D" w:rsidR="007361DE">
        <w:rPr>
          <w:lang w:eastAsia="ja-JP"/>
        </w:rPr>
        <w:t xml:space="preserve"> are not requiring distributed energy resources that already interconnected under Commission-jurisdictional procedures to convert to state or local interconnection agreements.</w:t>
      </w:r>
    </w:p>
    <w:p w:rsidRPr="00E71B0D" w:rsidR="006B591B" w:rsidDel="00667D94" w:rsidP="00DF58F4" w:rsidRDefault="000C3A14" w14:paraId="36E58E5E" w14:textId="23B9EDCD">
      <w:pPr>
        <w:pStyle w:val="FERCparanumber"/>
      </w:pPr>
      <w:r w:rsidRPr="00CE5F60">
        <w:rPr>
          <w:lang w:eastAsia="ja-JP"/>
        </w:rPr>
        <w:t xml:space="preserve">Accordingly, in its compliance filing, we </w:t>
      </w:r>
      <w:r w:rsidRPr="00CE5F60" w:rsidR="006B591B">
        <w:rPr>
          <w:lang w:eastAsia="ja-JP"/>
        </w:rPr>
        <w:t xml:space="preserve">require each RTO/ISO </w:t>
      </w:r>
      <w:r w:rsidRPr="00CE5F60" w:rsidR="000260DD">
        <w:rPr>
          <w:lang w:eastAsia="ja-JP"/>
        </w:rPr>
        <w:t xml:space="preserve">to </w:t>
      </w:r>
      <w:r w:rsidRPr="00CE5F60" w:rsidR="006B591B">
        <w:rPr>
          <w:lang w:eastAsia="ja-JP"/>
        </w:rPr>
        <w:t xml:space="preserve">make any </w:t>
      </w:r>
      <w:r w:rsidRPr="00E71B0D" w:rsidR="006B591B">
        <w:rPr>
          <w:lang w:eastAsia="ja-JP"/>
        </w:rPr>
        <w:t>necessary tariff changes to</w:t>
      </w:r>
      <w:r w:rsidRPr="00E71B0D" w:rsidR="00ED6C80">
        <w:rPr>
          <w:lang w:eastAsia="ja-JP"/>
        </w:rPr>
        <w:t xml:space="preserve"> reflect the guidance above</w:t>
      </w:r>
      <w:r w:rsidRPr="00E71B0D" w:rsidR="006B591B">
        <w:rPr>
          <w:lang w:eastAsia="ja-JP"/>
        </w:rPr>
        <w:t>.</w:t>
      </w:r>
      <w:r w:rsidRPr="00E71B0D" w:rsidR="006B591B">
        <w:t xml:space="preserve">  </w:t>
      </w:r>
    </w:p>
    <w:p w:rsidR="00A34068" w:rsidP="00EA17B7" w:rsidRDefault="00A34068" w14:paraId="21831A8F" w14:textId="5515BC61">
      <w:pPr>
        <w:pStyle w:val="Heading2"/>
        <w:spacing w:line="240" w:lineRule="auto"/>
      </w:pPr>
      <w:bookmarkStart w:name="_bmk17" w:id="40"/>
      <w:r>
        <w:t>D</w:t>
      </w:r>
      <w:bookmarkEnd w:id="40"/>
      <w:r>
        <w:t>efinitions of Distributed Energy Resource and Distributed Energy Resource Aggregator</w:t>
      </w:r>
    </w:p>
    <w:p w:rsidRPr="00EA17B7" w:rsidR="00EA17B7" w:rsidP="005C2D74" w:rsidRDefault="00EA17B7" w14:paraId="0C674C1B" w14:textId="77777777">
      <w:pPr>
        <w:pStyle w:val="FERCparanumber"/>
        <w:numPr>
          <w:ilvl w:val="0"/>
          <w:numId w:val="0"/>
        </w:numPr>
        <w:spacing w:line="240" w:lineRule="auto"/>
      </w:pPr>
    </w:p>
    <w:p w:rsidR="00A34068" w:rsidP="00A34068" w:rsidRDefault="00A34068" w14:paraId="624222F3" w14:textId="201019F6">
      <w:pPr>
        <w:pStyle w:val="Heading3"/>
      </w:pPr>
      <w:bookmarkStart w:name="_bmk18" w:id="41"/>
      <w:r>
        <w:t>N</w:t>
      </w:r>
      <w:bookmarkEnd w:id="41"/>
      <w:r>
        <w:t>OPR Proposal</w:t>
      </w:r>
    </w:p>
    <w:p w:rsidRPr="00A34068" w:rsidR="00A34068" w:rsidP="00A34068" w:rsidRDefault="00A34068" w14:paraId="24C0BF78" w14:textId="4840150D">
      <w:pPr>
        <w:pStyle w:val="FERCparanumber"/>
      </w:pPr>
      <w:r w:rsidRPr="00A50DBE">
        <w:t xml:space="preserve">In the NOPR, the Commission proposed to define a </w:t>
      </w:r>
      <w:r>
        <w:t>distributed energy resource</w:t>
      </w:r>
      <w:r w:rsidRPr="00A50DBE">
        <w:t xml:space="preserve"> as “a source or sink of power that is located on the distribution system, any subsystem thereof, or behind a customer meter.”</w:t>
      </w:r>
      <w:r w:rsidRPr="005350F5">
        <w:rPr>
          <w:rStyle w:val="FootnoteReference"/>
        </w:rPr>
        <w:footnoteReference w:id="253"/>
      </w:r>
      <w:r w:rsidRPr="00A50DBE" w:rsidDel="00EB5800">
        <w:t xml:space="preserve"> </w:t>
      </w:r>
      <w:r w:rsidRPr="00A50DBE">
        <w:t xml:space="preserve"> The Commission added that these resources may include, but are not limited to, electric storage resources, distributed generation, thermal storage, and electric vehicles and their supply equipment.</w:t>
      </w:r>
      <w:r w:rsidR="005640BF">
        <w:t xml:space="preserve"> </w:t>
      </w:r>
      <w:r>
        <w:t xml:space="preserve"> </w:t>
      </w:r>
      <w:r w:rsidRPr="003816BE">
        <w:t xml:space="preserve">The Commission proposed to define a distributed energy resource aggregator as “an entity that aggregates one or more distributed energy resources for purposes of participation in the capacity, energy and ancillary service markets of the </w:t>
      </w:r>
      <w:r w:rsidRPr="00AC20F1">
        <w:t>regional transmission operators and independent system operators</w:t>
      </w:r>
      <w:r w:rsidRPr="003816BE">
        <w:t>.”</w:t>
      </w:r>
      <w:r w:rsidRPr="003816BE">
        <w:rPr>
          <w:rStyle w:val="FootnoteReference"/>
        </w:rPr>
        <w:footnoteReference w:id="254"/>
      </w:r>
    </w:p>
    <w:p w:rsidR="00A34068" w:rsidP="00A34068" w:rsidRDefault="00A34068" w14:paraId="643333D8" w14:textId="335E4F79">
      <w:pPr>
        <w:pStyle w:val="Heading3"/>
      </w:pPr>
      <w:bookmarkStart w:name="_bmk19" w:id="42"/>
      <w:r>
        <w:t>C</w:t>
      </w:r>
      <w:bookmarkEnd w:id="42"/>
      <w:r>
        <w:t>omments</w:t>
      </w:r>
    </w:p>
    <w:p w:rsidR="00A34068" w:rsidP="00A34068" w:rsidRDefault="00A34068" w14:paraId="7CFE8C48" w14:textId="182582C7">
      <w:pPr>
        <w:pStyle w:val="FERCparanumber"/>
      </w:pPr>
      <w:r w:rsidRPr="00E8780E">
        <w:t>Several commenters raise concerns with the proposed definition of distributed energy resource.  EEI suggests that the Commission use a term besides “source or sink of power” to</w:t>
      </w:r>
      <w:r>
        <w:t xml:space="preserve"> reflect the Commission’s desire to</w:t>
      </w:r>
      <w:r w:rsidRPr="00E8780E">
        <w:t xml:space="preserve"> include all electric devices that can produce or consume energy</w:t>
      </w:r>
      <w:r w:rsidR="0011685D">
        <w:t xml:space="preserve"> because</w:t>
      </w:r>
      <w:r w:rsidRPr="00E8780E">
        <w:t xml:space="preserve"> a source or sink is a location and not a resource.</w:t>
      </w:r>
      <w:r w:rsidRPr="00367C29">
        <w:rPr>
          <w:rStyle w:val="FootnoteReference"/>
        </w:rPr>
        <w:footnoteReference w:id="255"/>
      </w:r>
      <w:r w:rsidRPr="00E8780E">
        <w:t xml:space="preserve">  AES Companies</w:t>
      </w:r>
      <w:r w:rsidR="002466DF">
        <w:t>, MISO Transmission Owners,</w:t>
      </w:r>
      <w:r w:rsidRPr="00E8780E">
        <w:t xml:space="preserve"> and NYISO Indicated Transmission Owners seek clarification </w:t>
      </w:r>
      <w:r w:rsidR="002466DF">
        <w:t>whether</w:t>
      </w:r>
      <w:r w:rsidRPr="00E8780E" w:rsidR="002466DF">
        <w:t xml:space="preserve"> </w:t>
      </w:r>
      <w:r w:rsidRPr="00E8780E">
        <w:t xml:space="preserve">the definition of distributed energy resources </w:t>
      </w:r>
      <w:r w:rsidR="002466DF">
        <w:t>includes</w:t>
      </w:r>
      <w:r w:rsidRPr="00E8780E">
        <w:t xml:space="preserve"> resources that are behind</w:t>
      </w:r>
      <w:r w:rsidR="002466DF">
        <w:t xml:space="preserve"> and </w:t>
      </w:r>
      <w:r w:rsidR="008D7D01">
        <w:t xml:space="preserve">in </w:t>
      </w:r>
      <w:r w:rsidR="002466DF">
        <w:t>front of</w:t>
      </w:r>
      <w:r>
        <w:t xml:space="preserve"> </w:t>
      </w:r>
      <w:r w:rsidRPr="00E8780E">
        <w:t>the</w:t>
      </w:r>
      <w:r>
        <w:t xml:space="preserve"> </w:t>
      </w:r>
      <w:r w:rsidRPr="00E8780E">
        <w:t xml:space="preserve">meter.  AES Companies explain that it is not out of the ordinary for resources such as solar or batteries to be interconnected at the distribution system but not behind the meter, </w:t>
      </w:r>
      <w:r>
        <w:t>and NYISO Indicated Transmission Owners state that aggregations of front-of-the-meter distributed energy resources should be able to elect to participate in wholesale markets as part of a distributed energy resource aggregation</w:t>
      </w:r>
      <w:r w:rsidRPr="00E8780E">
        <w:t>.</w:t>
      </w:r>
      <w:r w:rsidRPr="00367C29">
        <w:rPr>
          <w:rStyle w:val="FootnoteReference"/>
        </w:rPr>
        <w:footnoteReference w:id="256"/>
      </w:r>
      <w:r w:rsidRPr="00E8780E">
        <w:t xml:space="preserve">  </w:t>
      </w:r>
      <w:r w:rsidRPr="00E33AFF" w:rsidR="00E33AFF">
        <w:t xml:space="preserve">   </w:t>
      </w:r>
    </w:p>
    <w:p w:rsidRPr="00E8780E" w:rsidR="00A34068" w:rsidP="00A34068" w:rsidRDefault="00A34068" w14:paraId="4C58AC0D" w14:textId="7D186618">
      <w:pPr>
        <w:pStyle w:val="FERCparanumber"/>
      </w:pPr>
      <w:r w:rsidRPr="00E8780E">
        <w:t xml:space="preserve">NYISO Indicated Transmission Owners caution that, while a general definition of a distributed energy resource is appropriate, rules for elective participation in </w:t>
      </w:r>
      <w:r>
        <w:t>RTO/ISO</w:t>
      </w:r>
      <w:r w:rsidRPr="00E8780E">
        <w:t xml:space="preserve"> markets may still require individual classifications for types of distributed energy resources because differences in their capabilities may warrant specific operational, reliability, and compensation considerations.</w:t>
      </w:r>
      <w:r w:rsidR="00903B60">
        <w:rPr>
          <w:rStyle w:val="FootnoteReference"/>
        </w:rPr>
        <w:footnoteReference w:id="257"/>
      </w:r>
      <w:r w:rsidR="00E1424E">
        <w:t xml:space="preserve"> </w:t>
      </w:r>
      <w:r w:rsidRPr="007756B2">
        <w:t xml:space="preserve"> NYISO points out that it has a broader definition of distributed energy resource</w:t>
      </w:r>
      <w:r w:rsidR="008333DC">
        <w:t xml:space="preserve"> than that proposed in the NOPR and therefore asks the Commission to </w:t>
      </w:r>
      <w:r w:rsidRPr="008333DC" w:rsidR="008333DC">
        <w:t xml:space="preserve">permit regional flexibility </w:t>
      </w:r>
      <w:r w:rsidR="008333DC">
        <w:t xml:space="preserve">to allow NYISO </w:t>
      </w:r>
      <w:r w:rsidRPr="008333DC" w:rsidR="008333DC">
        <w:t xml:space="preserve">to fashion rules and market designs that meet its needs while still </w:t>
      </w:r>
      <w:r w:rsidR="008333DC">
        <w:t>achieving</w:t>
      </w:r>
      <w:r w:rsidRPr="008333DC" w:rsidR="008333DC">
        <w:t xml:space="preserve"> the Commission’s </w:t>
      </w:r>
      <w:r w:rsidR="008333DC">
        <w:t>goal</w:t>
      </w:r>
      <w:r w:rsidRPr="008333DC" w:rsidR="008333DC">
        <w:t xml:space="preserve"> of integrating </w:t>
      </w:r>
      <w:r w:rsidR="008333DC">
        <w:t>distributed energy resources</w:t>
      </w:r>
      <w:r w:rsidRPr="008333DC" w:rsidR="008333DC">
        <w:t xml:space="preserve"> into the wholesale markets.</w:t>
      </w:r>
      <w:r w:rsidRPr="00C2545B">
        <w:rPr>
          <w:rStyle w:val="FootnoteReference"/>
        </w:rPr>
        <w:footnoteReference w:id="258"/>
      </w:r>
      <w:r w:rsidRPr="007756B2">
        <w:t xml:space="preserve">  NYISO notes that it has also proposed to allow small aggregations of community distributed generation to provide wholesale market services as distributed energy resources.</w:t>
      </w:r>
      <w:r w:rsidRPr="00C2545B">
        <w:rPr>
          <w:rStyle w:val="FootnoteReference"/>
        </w:rPr>
        <w:footnoteReference w:id="259"/>
      </w:r>
      <w:r>
        <w:t xml:space="preserve">  </w:t>
      </w:r>
      <w:r w:rsidRPr="00E5687C">
        <w:rPr>
          <w:lang w:eastAsia="ja-JP"/>
        </w:rPr>
        <w:t>NRG encourages the Commission to direct the RTOs</w:t>
      </w:r>
      <w:r>
        <w:rPr>
          <w:lang w:eastAsia="ja-JP"/>
        </w:rPr>
        <w:t>/ISOs</w:t>
      </w:r>
      <w:r w:rsidRPr="00E5687C">
        <w:rPr>
          <w:lang w:eastAsia="ja-JP"/>
        </w:rPr>
        <w:t xml:space="preserve"> to </w:t>
      </w:r>
      <w:r>
        <w:rPr>
          <w:lang w:eastAsia="ja-JP"/>
        </w:rPr>
        <w:t xml:space="preserve">use a </w:t>
      </w:r>
      <w:r w:rsidRPr="00E5687C">
        <w:rPr>
          <w:lang w:eastAsia="ja-JP"/>
        </w:rPr>
        <w:t xml:space="preserve">definition of </w:t>
      </w:r>
      <w:r>
        <w:rPr>
          <w:lang w:eastAsia="ja-JP"/>
        </w:rPr>
        <w:t>distributed energy resource</w:t>
      </w:r>
      <w:r w:rsidRPr="00E5687C">
        <w:rPr>
          <w:lang w:eastAsia="ja-JP"/>
        </w:rPr>
        <w:t xml:space="preserve">s </w:t>
      </w:r>
      <w:r>
        <w:rPr>
          <w:lang w:eastAsia="ja-JP"/>
        </w:rPr>
        <w:t xml:space="preserve">based on </w:t>
      </w:r>
      <w:r w:rsidRPr="00E5687C">
        <w:rPr>
          <w:lang w:eastAsia="ja-JP"/>
        </w:rPr>
        <w:t>technology-neutral principles, including the capability to provide load curtailment, load consumption or charging, injection, and ancillary services (e.g., regulation, reserves, and flexible ramping services).</w:t>
      </w:r>
      <w:r w:rsidRPr="00C2545B">
        <w:rPr>
          <w:rStyle w:val="FootnoteReference"/>
        </w:rPr>
        <w:footnoteReference w:id="260"/>
      </w:r>
      <w:r>
        <w:rPr>
          <w:lang w:eastAsia="ja-JP"/>
        </w:rPr>
        <w:t xml:space="preserve">  </w:t>
      </w:r>
      <w:r w:rsidRPr="00E5687C">
        <w:rPr>
          <w:lang w:eastAsia="ja-JP"/>
        </w:rPr>
        <w:t xml:space="preserve">According to NRG, regulatory authorities </w:t>
      </w:r>
      <w:r>
        <w:rPr>
          <w:lang w:eastAsia="ja-JP"/>
        </w:rPr>
        <w:t>may</w:t>
      </w:r>
      <w:r w:rsidRPr="00E5687C">
        <w:rPr>
          <w:lang w:eastAsia="ja-JP"/>
        </w:rPr>
        <w:t xml:space="preserve"> differ in their definition of </w:t>
      </w:r>
      <w:r>
        <w:rPr>
          <w:lang w:eastAsia="ja-JP"/>
        </w:rPr>
        <w:t>distributed energy resource</w:t>
      </w:r>
      <w:r w:rsidRPr="00E5687C">
        <w:rPr>
          <w:lang w:eastAsia="ja-JP"/>
        </w:rPr>
        <w:t>s, but generally reference the</w:t>
      </w:r>
      <w:r>
        <w:rPr>
          <w:lang w:eastAsia="ja-JP"/>
        </w:rPr>
        <w:t>ir</w:t>
      </w:r>
      <w:r w:rsidRPr="00E5687C">
        <w:rPr>
          <w:lang w:eastAsia="ja-JP"/>
        </w:rPr>
        <w:t xml:space="preserve"> ability to “generate and inject power into the distribution and/or transmission systems.”  </w:t>
      </w:r>
      <w:r>
        <w:rPr>
          <w:lang w:eastAsia="ja-JP"/>
        </w:rPr>
        <w:t xml:space="preserve">Thus, </w:t>
      </w:r>
      <w:r w:rsidRPr="00E5687C">
        <w:rPr>
          <w:lang w:eastAsia="ja-JP"/>
        </w:rPr>
        <w:t>NRG states</w:t>
      </w:r>
      <w:r>
        <w:rPr>
          <w:lang w:eastAsia="ja-JP"/>
        </w:rPr>
        <w:t>,</w:t>
      </w:r>
      <w:r w:rsidRPr="00E5687C">
        <w:rPr>
          <w:lang w:eastAsia="ja-JP"/>
        </w:rPr>
        <w:t xml:space="preserve"> </w:t>
      </w:r>
      <w:r>
        <w:rPr>
          <w:lang w:eastAsia="ja-JP"/>
        </w:rPr>
        <w:t>distributed energy resource</w:t>
      </w:r>
      <w:r w:rsidRPr="00E5687C">
        <w:rPr>
          <w:lang w:eastAsia="ja-JP"/>
        </w:rPr>
        <w:t xml:space="preserve">s </w:t>
      </w:r>
      <w:r>
        <w:rPr>
          <w:lang w:eastAsia="ja-JP"/>
        </w:rPr>
        <w:t>should be defined as a class of assets that can both inject and curtail electricity.</w:t>
      </w:r>
      <w:r w:rsidRPr="00C2545B">
        <w:rPr>
          <w:rStyle w:val="FootnoteReference"/>
        </w:rPr>
        <w:footnoteReference w:id="261"/>
      </w:r>
      <w:r w:rsidDel="00F000D5">
        <w:rPr>
          <w:rStyle w:val="CommentReference"/>
          <w:rFonts w:ascii="Arial" w:hAnsi="Arial" w:cs="Arial"/>
        </w:rPr>
        <w:t xml:space="preserve"> </w:t>
      </w:r>
    </w:p>
    <w:p w:rsidRPr="00010679" w:rsidR="00A34068" w:rsidP="00A34068" w:rsidRDefault="00A34068" w14:paraId="00CD5F58" w14:textId="23C214C4">
      <w:pPr>
        <w:pStyle w:val="FERCparanumber"/>
      </w:pPr>
      <w:r w:rsidRPr="00910199">
        <w:t>EEI asks the Commission to clarify the types of distributed energy resources that qualify as “thermal storage,”</w:t>
      </w:r>
      <w:r w:rsidRPr="003F037D">
        <w:t xml:space="preserve"> </w:t>
      </w:r>
      <w:r w:rsidRPr="003F037D">
        <w:rPr>
          <w:rFonts w:eastAsia="Cambria"/>
        </w:rPr>
        <w:t>noting that</w:t>
      </w:r>
      <w:r w:rsidRPr="00010679">
        <w:rPr>
          <w:rFonts w:eastAsia="Cambria"/>
        </w:rPr>
        <w:t xml:space="preserve"> if the thermal energy cannot be readily transformed into electric energy, then the storage device cannot be used as an electric resource.</w:t>
      </w:r>
      <w:r w:rsidRPr="00C2545B">
        <w:rPr>
          <w:rStyle w:val="FootnoteReference"/>
        </w:rPr>
        <w:footnoteReference w:id="262"/>
      </w:r>
      <w:r w:rsidRPr="00010679">
        <w:t xml:space="preserve">  Public Interest Organizations seek clarification that thermal storage includes, but is not limited to, both grid-enabled water heaters and grid-enabled thermostats, which can precool or preheat to avoid energy usage during peak demand, mak</w:t>
      </w:r>
      <w:r>
        <w:t>e</w:t>
      </w:r>
      <w:r w:rsidRPr="00010679">
        <w:t xml:space="preserve"> and stor</w:t>
      </w:r>
      <w:r>
        <w:t>e</w:t>
      </w:r>
      <w:r w:rsidRPr="00010679">
        <w:t xml:space="preserve"> ice to use as air conditioning</w:t>
      </w:r>
      <w:r>
        <w:t>,</w:t>
      </w:r>
      <w:r w:rsidRPr="00010679">
        <w:t xml:space="preserve"> and direct control of smart-home energy management.</w:t>
      </w:r>
      <w:r w:rsidRPr="00C2545B">
        <w:rPr>
          <w:rStyle w:val="FootnoteReference"/>
        </w:rPr>
        <w:footnoteReference w:id="263"/>
      </w:r>
      <w:r w:rsidRPr="00C2545B">
        <w:rPr>
          <w:rStyle w:val="FootnoteReference"/>
        </w:rPr>
        <w:t xml:space="preserve"> </w:t>
      </w:r>
      <w:r w:rsidRPr="00010679">
        <w:t xml:space="preserve"> </w:t>
      </w:r>
    </w:p>
    <w:p w:rsidRPr="00010679" w:rsidR="00A34068" w:rsidP="00A34068" w:rsidRDefault="00A34068" w14:paraId="61CF66AB" w14:textId="433D34C1">
      <w:pPr>
        <w:pStyle w:val="FERCparanumber"/>
      </w:pPr>
      <w:r w:rsidRPr="00010679">
        <w:t>Some commenters seek to capture a broad range of distributed energy resources in the definition.  Advanced Energy Economy asks the Commission to re</w:t>
      </w:r>
      <w:r>
        <w:t>vise</w:t>
      </w:r>
      <w:r w:rsidRPr="00010679">
        <w:t xml:space="preserve"> the definition to</w:t>
      </w:r>
      <w:r w:rsidR="00A93034">
        <w:t xml:space="preserve"> explicitly</w:t>
      </w:r>
      <w:r w:rsidRPr="00010679">
        <w:t xml:space="preserve"> include</w:t>
      </w:r>
      <w:r w:rsidR="00A93034">
        <w:t xml:space="preserve"> </w:t>
      </w:r>
      <w:r w:rsidRPr="00010679" w:rsidR="00A93034">
        <w:t>energy efficiency and demand response resources of all types</w:t>
      </w:r>
      <w:r w:rsidR="00A93034">
        <w:t xml:space="preserve"> as well as</w:t>
      </w:r>
      <w:r w:rsidRPr="00010679">
        <w:t xml:space="preserve"> “</w:t>
      </w:r>
      <w:r w:rsidRPr="003A4BC9">
        <w:t>customer site</w:t>
      </w:r>
      <w:r w:rsidRPr="003A4BC9" w:rsidR="00A93034">
        <w:t>[s]</w:t>
      </w:r>
      <w:r w:rsidRPr="003A4BC9">
        <w:t xml:space="preserve"> capable of demand reduction</w:t>
      </w:r>
      <w:r w:rsidRPr="00010679">
        <w:t>.</w:t>
      </w:r>
      <w:r w:rsidR="00A93034">
        <w:t>”</w:t>
      </w:r>
      <w:r w:rsidRPr="00C2545B">
        <w:rPr>
          <w:rStyle w:val="FootnoteReference"/>
        </w:rPr>
        <w:footnoteReference w:id="264"/>
      </w:r>
      <w:r w:rsidRPr="00010679">
        <w:t xml:space="preserve">  </w:t>
      </w:r>
      <w:r w:rsidR="00A93034">
        <w:t>Other c</w:t>
      </w:r>
      <w:r>
        <w:t xml:space="preserve">ommenters also request or support </w:t>
      </w:r>
      <w:r w:rsidRPr="00010679">
        <w:t>includ</w:t>
      </w:r>
      <w:r>
        <w:t>ing</w:t>
      </w:r>
      <w:r w:rsidRPr="00010679">
        <w:t xml:space="preserve"> energy efficiency resources in the definition of distributed energy resource</w:t>
      </w:r>
      <w:r>
        <w:t>.</w:t>
      </w:r>
      <w:r w:rsidRPr="00C2545B">
        <w:rPr>
          <w:rStyle w:val="FootnoteReference"/>
        </w:rPr>
        <w:footnoteReference w:id="265"/>
      </w:r>
      <w:r w:rsidRPr="00C2545B" w:rsidDel="00341C6A">
        <w:rPr>
          <w:rStyle w:val="FootnoteReference"/>
        </w:rPr>
        <w:t xml:space="preserve"> </w:t>
      </w:r>
      <w:r w:rsidRPr="001F1F01">
        <w:t xml:space="preserve"> </w:t>
      </w:r>
      <w:r w:rsidRPr="00E8780E">
        <w:t>NYISO Indicated Transmission Owners request clarification that intermittent generation may be considered a distributed energy resource, which can be aggregated into dispatchable distributed energy resource aggregations.</w:t>
      </w:r>
      <w:r w:rsidRPr="00367C29">
        <w:rPr>
          <w:rStyle w:val="FootnoteReference"/>
        </w:rPr>
        <w:footnoteReference w:id="266"/>
      </w:r>
      <w:r>
        <w:t xml:space="preserve">  They</w:t>
      </w:r>
      <w:r w:rsidRPr="00D2659D">
        <w:t xml:space="preserve"> </w:t>
      </w:r>
      <w:r>
        <w:t>add</w:t>
      </w:r>
      <w:r w:rsidRPr="00D2659D">
        <w:t xml:space="preserve"> that certain behind-the-meter intermittent generation may not be a </w:t>
      </w:r>
      <w:r>
        <w:t>distributed energy resource</w:t>
      </w:r>
      <w:r w:rsidRPr="00D2659D">
        <w:t xml:space="preserve"> </w:t>
      </w:r>
      <w:r>
        <w:t>if it</w:t>
      </w:r>
      <w:r w:rsidRPr="00D2659D">
        <w:t xml:space="preserve"> participat</w:t>
      </w:r>
      <w:r>
        <w:t>es</w:t>
      </w:r>
      <w:r w:rsidRPr="00D2659D">
        <w:t xml:space="preserve"> in a distribution utilit</w:t>
      </w:r>
      <w:r>
        <w:t>y’</w:t>
      </w:r>
      <w:r w:rsidRPr="00D2659D">
        <w:t xml:space="preserve">s net metering or other program </w:t>
      </w:r>
      <w:r w:rsidR="00D0032F">
        <w:t>regarding</w:t>
      </w:r>
      <w:r w:rsidRPr="00D2659D">
        <w:t xml:space="preserve"> which </w:t>
      </w:r>
      <w:r>
        <w:t>the Commission</w:t>
      </w:r>
      <w:r w:rsidRPr="00D2659D">
        <w:t xml:space="preserve"> has clarified that the resource is not engaging in a wholesale sale for jurisdictional purposes.</w:t>
      </w:r>
      <w:r w:rsidRPr="00367C29">
        <w:rPr>
          <w:rStyle w:val="FootnoteReference"/>
        </w:rPr>
        <w:footnoteReference w:id="267"/>
      </w:r>
    </w:p>
    <w:p w:rsidR="00A34068" w:rsidP="00A34068" w:rsidRDefault="00A34068" w14:paraId="6CA294B2" w14:textId="68EA198F">
      <w:pPr>
        <w:pStyle w:val="FERCparanumber"/>
      </w:pPr>
      <w:r w:rsidRPr="007756B2">
        <w:t>Advanced Energy Management requests that the Commission clarify that its definition of distributed energy resources includes demand response resources</w:t>
      </w:r>
      <w:r>
        <w:t>, or that demand response resources can choose to participate in distributed energy resource participation models where they are a better fit</w:t>
      </w:r>
      <w:r w:rsidRPr="007756B2">
        <w:t>.</w:t>
      </w:r>
      <w:r w:rsidRPr="00367C29">
        <w:rPr>
          <w:rStyle w:val="FootnoteReference"/>
        </w:rPr>
        <w:footnoteReference w:id="268"/>
      </w:r>
      <w:r w:rsidRPr="007756B2">
        <w:t xml:space="preserve">  </w:t>
      </w:r>
    </w:p>
    <w:p w:rsidR="00A34068" w:rsidDel="00CB3FE0" w:rsidP="00A34068" w:rsidRDefault="00A34068" w14:paraId="342F6F85" w14:textId="213B2C91">
      <w:pPr>
        <w:pStyle w:val="FERCparanumber"/>
      </w:pPr>
      <w:r w:rsidRPr="00A50DBE">
        <w:t xml:space="preserve">Commenters ask for assurance that the </w:t>
      </w:r>
      <w:r>
        <w:t>NOPR</w:t>
      </w:r>
      <w:r w:rsidRPr="00A50DBE">
        <w:t xml:space="preserve"> does not change existing </w:t>
      </w:r>
      <w:r>
        <w:t>demand response</w:t>
      </w:r>
      <w:r w:rsidRPr="00A50DBE">
        <w:t xml:space="preserve"> rules, and that resources currently participating as demand response could continue to do so, even if they would fall under the definition of </w:t>
      </w:r>
      <w:r>
        <w:t>a distributed energy resource</w:t>
      </w:r>
      <w:r w:rsidRPr="00A50DBE">
        <w:t>.</w:t>
      </w:r>
      <w:r w:rsidRPr="00367C29">
        <w:rPr>
          <w:rStyle w:val="FootnoteReference"/>
        </w:rPr>
        <w:footnoteReference w:id="269"/>
      </w:r>
      <w:r w:rsidRPr="00A50DBE">
        <w:t xml:space="preserve"> </w:t>
      </w:r>
      <w:r>
        <w:t xml:space="preserve"> </w:t>
      </w:r>
      <w:r w:rsidRPr="00A50DBE">
        <w:t xml:space="preserve">They note that </w:t>
      </w:r>
      <w:r>
        <w:t>certain reforms</w:t>
      </w:r>
      <w:r w:rsidRPr="00A50DBE">
        <w:t xml:space="preserve"> may drive existing</w:t>
      </w:r>
      <w:r>
        <w:t>,</w:t>
      </w:r>
      <w:r w:rsidRPr="00A50DBE">
        <w:t xml:space="preserve"> low</w:t>
      </w:r>
      <w:r>
        <w:t>-</w:t>
      </w:r>
      <w:r w:rsidRPr="00A50DBE">
        <w:t xml:space="preserve">cost </w:t>
      </w:r>
      <w:r>
        <w:t>commercial and industrial demand response</w:t>
      </w:r>
      <w:r w:rsidRPr="00A50DBE">
        <w:t xml:space="preserve"> from the market.</w:t>
      </w:r>
      <w:r w:rsidRPr="00367C29">
        <w:rPr>
          <w:rStyle w:val="FootnoteReference"/>
        </w:rPr>
        <w:footnoteReference w:id="270"/>
      </w:r>
      <w:r w:rsidRPr="00A50DBE">
        <w:rPr>
          <w:rFonts w:eastAsia="Times New Roman"/>
          <w:color w:val="000000"/>
        </w:rPr>
        <w:t xml:space="preserve">  </w:t>
      </w:r>
      <w:r>
        <w:rPr>
          <w:rFonts w:eastAsia="Times New Roman"/>
          <w:color w:val="000000"/>
        </w:rPr>
        <w:t>Advanced Energy Management</w:t>
      </w:r>
      <w:r w:rsidRPr="00A50DBE">
        <w:rPr>
          <w:rFonts w:eastAsia="Times New Roman"/>
          <w:color w:val="000000"/>
        </w:rPr>
        <w:t xml:space="preserve"> argue</w:t>
      </w:r>
      <w:r>
        <w:rPr>
          <w:rFonts w:eastAsia="Times New Roman"/>
          <w:color w:val="000000"/>
        </w:rPr>
        <w:t>s</w:t>
      </w:r>
      <w:r w:rsidRPr="00A50DBE">
        <w:rPr>
          <w:rFonts w:eastAsia="Times New Roman"/>
          <w:color w:val="000000"/>
        </w:rPr>
        <w:t xml:space="preserve"> that the NOPR may be more applicable to newer forms of </w:t>
      </w:r>
      <w:r>
        <w:rPr>
          <w:rFonts w:eastAsia="Times New Roman"/>
          <w:color w:val="000000"/>
        </w:rPr>
        <w:t>distributed energy resources</w:t>
      </w:r>
      <w:r w:rsidRPr="00A50DBE">
        <w:rPr>
          <w:rFonts w:eastAsia="Times New Roman"/>
          <w:color w:val="000000"/>
        </w:rPr>
        <w:t xml:space="preserve"> that currently are not accommodated by a </w:t>
      </w:r>
      <w:r>
        <w:rPr>
          <w:rFonts w:eastAsia="Times New Roman"/>
          <w:color w:val="000000"/>
        </w:rPr>
        <w:t>demand response</w:t>
      </w:r>
      <w:r w:rsidRPr="00A50DBE">
        <w:rPr>
          <w:rFonts w:eastAsia="Times New Roman"/>
          <w:color w:val="000000"/>
        </w:rPr>
        <w:t xml:space="preserve"> model </w:t>
      </w:r>
      <w:r w:rsidR="00B501C7">
        <w:rPr>
          <w:rFonts w:eastAsia="Times New Roman"/>
          <w:color w:val="000000"/>
        </w:rPr>
        <w:t>and</w:t>
      </w:r>
      <w:r w:rsidRPr="00A50DBE" w:rsidR="00B501C7">
        <w:rPr>
          <w:rFonts w:eastAsia="Times New Roman"/>
          <w:color w:val="000000"/>
        </w:rPr>
        <w:t xml:space="preserve"> </w:t>
      </w:r>
      <w:r w:rsidRPr="00A50DBE">
        <w:rPr>
          <w:rFonts w:eastAsia="Times New Roman"/>
          <w:color w:val="000000"/>
        </w:rPr>
        <w:t xml:space="preserve">that the </w:t>
      </w:r>
      <w:r>
        <w:rPr>
          <w:rFonts w:eastAsia="Times New Roman"/>
          <w:color w:val="000000"/>
        </w:rPr>
        <w:t>demand response</w:t>
      </w:r>
      <w:r w:rsidRPr="00A50DBE">
        <w:rPr>
          <w:rFonts w:eastAsia="Times New Roman"/>
          <w:color w:val="000000"/>
        </w:rPr>
        <w:t xml:space="preserve"> model should</w:t>
      </w:r>
      <w:r>
        <w:rPr>
          <w:rFonts w:eastAsia="Times New Roman"/>
          <w:color w:val="000000"/>
        </w:rPr>
        <w:t xml:space="preserve"> not</w:t>
      </w:r>
      <w:r w:rsidRPr="00A50DBE">
        <w:rPr>
          <w:rFonts w:eastAsia="Times New Roman"/>
          <w:color w:val="000000"/>
        </w:rPr>
        <w:t xml:space="preserve"> be changed.</w:t>
      </w:r>
      <w:r w:rsidRPr="00367C29">
        <w:rPr>
          <w:rStyle w:val="FootnoteReference"/>
        </w:rPr>
        <w:footnoteReference w:id="271"/>
      </w:r>
    </w:p>
    <w:p w:rsidR="00A34068" w:rsidP="00A34068" w:rsidRDefault="00A34068" w14:paraId="1AD608BA" w14:textId="626DFDDF">
      <w:pPr>
        <w:pStyle w:val="FERCparanumber"/>
      </w:pPr>
      <w:r w:rsidRPr="00E5687C">
        <w:rPr>
          <w:lang w:eastAsia="ja-JP"/>
        </w:rPr>
        <w:t>PJM</w:t>
      </w:r>
      <w:r>
        <w:rPr>
          <w:lang w:eastAsia="ja-JP"/>
        </w:rPr>
        <w:t>, however,</w:t>
      </w:r>
      <w:r w:rsidRPr="00E5687C">
        <w:rPr>
          <w:lang w:eastAsia="ja-JP"/>
        </w:rPr>
        <w:t xml:space="preserve"> states that it does not view energy efficiency or load curtailment as </w:t>
      </w:r>
      <w:r>
        <w:rPr>
          <w:lang w:eastAsia="ja-JP"/>
        </w:rPr>
        <w:t>distributed energy resources</w:t>
      </w:r>
      <w:r w:rsidRPr="00E5687C">
        <w:rPr>
          <w:lang w:eastAsia="ja-JP"/>
        </w:rPr>
        <w:t xml:space="preserve">, based upon PJM’s distinction between </w:t>
      </w:r>
      <w:r>
        <w:rPr>
          <w:lang w:eastAsia="ja-JP"/>
        </w:rPr>
        <w:t>its</w:t>
      </w:r>
      <w:r w:rsidRPr="00E5687C">
        <w:rPr>
          <w:lang w:eastAsia="ja-JP"/>
        </w:rPr>
        <w:t xml:space="preserve"> existing and robust participation models for energy efficiency and demand response.</w:t>
      </w:r>
      <w:r w:rsidRPr="00C2545B">
        <w:rPr>
          <w:rStyle w:val="FootnoteReference"/>
        </w:rPr>
        <w:footnoteReference w:id="272"/>
      </w:r>
      <w:r w:rsidRPr="00E5687C">
        <w:rPr>
          <w:lang w:eastAsia="ja-JP"/>
        </w:rPr>
        <w:t xml:space="preserve">  </w:t>
      </w:r>
      <w:r>
        <w:rPr>
          <w:lang w:eastAsia="ja-JP"/>
        </w:rPr>
        <w:t xml:space="preserve">To limit disruption to its models, </w:t>
      </w:r>
      <w:r w:rsidRPr="00E5687C">
        <w:rPr>
          <w:lang w:eastAsia="ja-JP"/>
        </w:rPr>
        <w:t xml:space="preserve">PJM distinguishes </w:t>
      </w:r>
      <w:r>
        <w:rPr>
          <w:lang w:eastAsia="ja-JP"/>
        </w:rPr>
        <w:t>distributed energy resources</w:t>
      </w:r>
      <w:r w:rsidRPr="00E5687C">
        <w:rPr>
          <w:lang w:eastAsia="ja-JP"/>
        </w:rPr>
        <w:t xml:space="preserve"> by limiting the</w:t>
      </w:r>
      <w:r>
        <w:rPr>
          <w:lang w:eastAsia="ja-JP"/>
        </w:rPr>
        <w:t>m</w:t>
      </w:r>
      <w:r w:rsidRPr="00E5687C">
        <w:rPr>
          <w:lang w:eastAsia="ja-JP"/>
        </w:rPr>
        <w:t xml:space="preserve"> to generation and e</w:t>
      </w:r>
      <w:r>
        <w:rPr>
          <w:lang w:eastAsia="ja-JP"/>
        </w:rPr>
        <w:t>lectric</w:t>
      </w:r>
      <w:r w:rsidRPr="00E5687C">
        <w:rPr>
          <w:lang w:eastAsia="ja-JP"/>
        </w:rPr>
        <w:t xml:space="preserve"> storage resources capable of injecting energy onto the distribution system.</w:t>
      </w:r>
      <w:r w:rsidRPr="00C2545B">
        <w:rPr>
          <w:rStyle w:val="FootnoteReference"/>
        </w:rPr>
        <w:footnoteReference w:id="273"/>
      </w:r>
      <w:r w:rsidRPr="00E5687C">
        <w:rPr>
          <w:lang w:eastAsia="ja-JP"/>
        </w:rPr>
        <w:t xml:space="preserve">  </w:t>
      </w:r>
    </w:p>
    <w:p w:rsidRPr="00E71D0E" w:rsidR="00A34068" w:rsidP="00E71D0E" w:rsidRDefault="00A34068" w14:paraId="441BAB46" w14:textId="6518B1FC">
      <w:pPr>
        <w:pStyle w:val="FERCparanumber"/>
        <w:rPr>
          <w:rFonts w:eastAsia="Times New Roman"/>
          <w:color w:val="000000"/>
        </w:rPr>
      </w:pPr>
      <w:r w:rsidRPr="007756B2">
        <w:t xml:space="preserve">A few commenters discuss the definition of </w:t>
      </w:r>
      <w:r>
        <w:t xml:space="preserve">a </w:t>
      </w:r>
      <w:r w:rsidRPr="003816BE" w:rsidR="007176F3">
        <w:t xml:space="preserve">distributed energy resource </w:t>
      </w:r>
      <w:r w:rsidRPr="007756B2">
        <w:t>aggregator.  E4TheFuture supports the Commission’s proposal to require each RTO/ISO to revise its tariff to define distributed energy resource aggregators as a type of market participant.</w:t>
      </w:r>
      <w:r w:rsidRPr="00C2545B">
        <w:rPr>
          <w:rStyle w:val="FootnoteReference"/>
        </w:rPr>
        <w:footnoteReference w:id="274"/>
      </w:r>
      <w:r w:rsidRPr="007756B2">
        <w:t xml:space="preserve">  Efficient Holdings asks the Commission to create a universal and comprehensive market participant definition for distributed energy resource aggregators that would be flexible enough to incorporate emerging technologies and provide these resources the </w:t>
      </w:r>
      <w:r>
        <w:t xml:space="preserve">same </w:t>
      </w:r>
      <w:r w:rsidRPr="007756B2">
        <w:t>ability to offer multiple products afforded to large scale generators.</w:t>
      </w:r>
      <w:r w:rsidRPr="00C2545B">
        <w:rPr>
          <w:rStyle w:val="FootnoteReference"/>
        </w:rPr>
        <w:footnoteReference w:id="275"/>
      </w:r>
      <w:r w:rsidRPr="007756B2">
        <w:t xml:space="preserve">  </w:t>
      </w:r>
      <w:r w:rsidRPr="001B6DF2">
        <w:t xml:space="preserve"> </w:t>
      </w:r>
      <w:r w:rsidRPr="00E8780E" w:rsidDel="00E33AFF">
        <w:t xml:space="preserve">MISO Transmission Owners </w:t>
      </w:r>
      <w:r w:rsidRPr="00E8780E" w:rsidDel="004450D7">
        <w:t>a</w:t>
      </w:r>
      <w:r w:rsidDel="004450D7">
        <w:t>lso assert</w:t>
      </w:r>
      <w:r w:rsidRPr="00E8780E" w:rsidDel="004450D7">
        <w:t xml:space="preserve"> that the term “distributed energy resource aggregator” should be formally defined</w:t>
      </w:r>
      <w:r w:rsidDel="004450D7" w:rsidR="007176F3">
        <w:t>; in addition</w:t>
      </w:r>
      <w:r w:rsidRPr="00E8780E" w:rsidDel="004450D7">
        <w:t xml:space="preserve">, </w:t>
      </w:r>
      <w:r w:rsidDel="004450D7" w:rsidR="007176F3">
        <w:t>they</w:t>
      </w:r>
      <w:r w:rsidRPr="00E8780E" w:rsidDel="004450D7">
        <w:t xml:space="preserve"> </w:t>
      </w:r>
      <w:r w:rsidRPr="00E8780E" w:rsidDel="00E33AFF">
        <w:t>ask whether th</w:t>
      </w:r>
      <w:r w:rsidRPr="00E8780E" w:rsidDel="004450D7">
        <w:t>at</w:t>
      </w:r>
      <w:r w:rsidRPr="00E8780E" w:rsidDel="00E33AFF">
        <w:t xml:space="preserve"> term is inclusive of behind</w:t>
      </w:r>
      <w:r w:rsidDel="00E33AFF">
        <w:t>-</w:t>
      </w:r>
      <w:r w:rsidRPr="00E8780E" w:rsidDel="00E33AFF">
        <w:t xml:space="preserve"> and front</w:t>
      </w:r>
      <w:r w:rsidDel="00E33AFF">
        <w:t>-</w:t>
      </w:r>
      <w:r w:rsidRPr="00E8780E" w:rsidDel="00E33AFF">
        <w:t>of</w:t>
      </w:r>
      <w:r w:rsidDel="00E33AFF">
        <w:t>-</w:t>
      </w:r>
      <w:r w:rsidRPr="00E8780E" w:rsidDel="00E33AFF">
        <w:t>the</w:t>
      </w:r>
      <w:r w:rsidDel="00E33AFF">
        <w:t>-</w:t>
      </w:r>
      <w:r w:rsidRPr="00E8780E" w:rsidDel="00E33AFF">
        <w:t xml:space="preserve">meter products and whether a utility could bid </w:t>
      </w:r>
      <w:r w:rsidDel="00E33AFF" w:rsidR="007176F3">
        <w:t>its</w:t>
      </w:r>
      <w:r w:rsidRPr="00E8780E" w:rsidDel="00E33AFF" w:rsidR="007176F3">
        <w:t xml:space="preserve"> </w:t>
      </w:r>
      <w:r w:rsidRPr="00E8780E" w:rsidDel="00E33AFF">
        <w:t>existing demand response peak shaving assets into the market as a distributed energy resource aggregator.</w:t>
      </w:r>
      <w:r w:rsidR="00197D0F">
        <w:rPr>
          <w:rStyle w:val="FootnoteReference"/>
        </w:rPr>
        <w:footnoteReference w:id="276"/>
      </w:r>
      <w:r w:rsidRPr="00304955" w:rsidDel="00E33AFF">
        <w:rPr>
          <w:rFonts w:eastAsia="Times New Roman"/>
          <w:color w:val="000000"/>
        </w:rPr>
        <w:t xml:space="preserve"> </w:t>
      </w:r>
      <w:r w:rsidDel="00E33AFF" w:rsidR="007176F3">
        <w:rPr>
          <w:rFonts w:eastAsia="Times New Roman"/>
          <w:color w:val="000000"/>
        </w:rPr>
        <w:t xml:space="preserve"> </w:t>
      </w:r>
      <w:r w:rsidRPr="00A50DBE">
        <w:rPr>
          <w:rFonts w:eastAsia="Times New Roman"/>
          <w:color w:val="000000"/>
        </w:rPr>
        <w:t xml:space="preserve">Advanced Energy Management requests clarification on the distinction between </w:t>
      </w:r>
      <w:r>
        <w:rPr>
          <w:rFonts w:eastAsia="Times New Roman"/>
          <w:color w:val="000000"/>
        </w:rPr>
        <w:t>demand response</w:t>
      </w:r>
      <w:r w:rsidRPr="00A50DBE">
        <w:rPr>
          <w:rFonts w:eastAsia="Times New Roman"/>
          <w:color w:val="000000"/>
        </w:rPr>
        <w:t xml:space="preserve"> and </w:t>
      </w:r>
      <w:r>
        <w:rPr>
          <w:rFonts w:eastAsia="Times New Roman"/>
          <w:color w:val="000000"/>
        </w:rPr>
        <w:t>distributed energy resource</w:t>
      </w:r>
      <w:r w:rsidRPr="00A50DBE">
        <w:rPr>
          <w:rFonts w:eastAsia="Times New Roman"/>
          <w:color w:val="000000"/>
        </w:rPr>
        <w:t xml:space="preserve"> aggregators, arguing that the former should consist of behind-the-meter resources that participate only in the demand response framework, while the lat</w:t>
      </w:r>
      <w:r>
        <w:rPr>
          <w:rFonts w:eastAsia="Times New Roman"/>
          <w:color w:val="000000"/>
        </w:rPr>
        <w:t>t</w:t>
      </w:r>
      <w:r w:rsidRPr="00A50DBE">
        <w:rPr>
          <w:rFonts w:eastAsia="Times New Roman"/>
          <w:color w:val="000000"/>
        </w:rPr>
        <w:t>er could be either behind</w:t>
      </w:r>
      <w:r>
        <w:rPr>
          <w:rFonts w:eastAsia="Times New Roman"/>
          <w:color w:val="000000"/>
        </w:rPr>
        <w:t>-</w:t>
      </w:r>
      <w:r w:rsidRPr="00A50DBE">
        <w:rPr>
          <w:rFonts w:eastAsia="Times New Roman"/>
          <w:color w:val="000000"/>
        </w:rPr>
        <w:t xml:space="preserve"> or front</w:t>
      </w:r>
      <w:r>
        <w:rPr>
          <w:rFonts w:eastAsia="Times New Roman"/>
          <w:color w:val="000000"/>
        </w:rPr>
        <w:t>-</w:t>
      </w:r>
      <w:r w:rsidRPr="00A50DBE">
        <w:rPr>
          <w:rFonts w:eastAsia="Times New Roman"/>
          <w:color w:val="000000"/>
        </w:rPr>
        <w:t>of</w:t>
      </w:r>
      <w:r>
        <w:rPr>
          <w:rFonts w:eastAsia="Times New Roman"/>
          <w:color w:val="000000"/>
        </w:rPr>
        <w:t>-</w:t>
      </w:r>
      <w:r w:rsidRPr="00A50DBE">
        <w:rPr>
          <w:rFonts w:eastAsia="Times New Roman"/>
          <w:color w:val="000000"/>
        </w:rPr>
        <w:t>the</w:t>
      </w:r>
      <w:r>
        <w:rPr>
          <w:rFonts w:eastAsia="Times New Roman"/>
          <w:color w:val="000000"/>
        </w:rPr>
        <w:t>-</w:t>
      </w:r>
      <w:r w:rsidRPr="00A50DBE">
        <w:rPr>
          <w:rFonts w:eastAsia="Times New Roman"/>
          <w:color w:val="000000"/>
        </w:rPr>
        <w:t xml:space="preserve">meter </w:t>
      </w:r>
      <w:r>
        <w:rPr>
          <w:rFonts w:eastAsia="Times New Roman"/>
          <w:color w:val="000000"/>
        </w:rPr>
        <w:t xml:space="preserve">resources </w:t>
      </w:r>
      <w:r w:rsidRPr="00A50DBE">
        <w:rPr>
          <w:rFonts w:eastAsia="Times New Roman"/>
          <w:color w:val="000000"/>
        </w:rPr>
        <w:t>and participate in any model.</w:t>
      </w:r>
      <w:r w:rsidRPr="00367C29">
        <w:rPr>
          <w:rStyle w:val="FootnoteReference"/>
        </w:rPr>
        <w:footnoteReference w:id="277"/>
      </w:r>
      <w:r w:rsidRPr="00A50DBE">
        <w:rPr>
          <w:rFonts w:eastAsia="Times New Roman"/>
          <w:color w:val="000000"/>
        </w:rPr>
        <w:t xml:space="preserve"> </w:t>
      </w:r>
      <w:r>
        <w:rPr>
          <w:rFonts w:eastAsia="Times New Roman"/>
          <w:color w:val="000000"/>
        </w:rPr>
        <w:t xml:space="preserve"> </w:t>
      </w:r>
    </w:p>
    <w:p w:rsidR="00E552DE" w:rsidDel="00C0130C" w:rsidP="00E552DE" w:rsidRDefault="00E552DE" w14:paraId="53FD6001" w14:textId="5336C487">
      <w:pPr>
        <w:pStyle w:val="Heading3"/>
      </w:pPr>
      <w:bookmarkStart w:name="_bmk20" w:id="43"/>
      <w:r w:rsidDel="00C0130C">
        <w:t>C</w:t>
      </w:r>
      <w:bookmarkEnd w:id="43"/>
      <w:r w:rsidDel="00C0130C">
        <w:t>ommission Determination</w:t>
      </w:r>
    </w:p>
    <w:p w:rsidRPr="009E0582" w:rsidR="00C85C59" w:rsidDel="00C0130C" w:rsidP="00C85C59" w:rsidRDefault="00E552DE" w14:paraId="7F6987FD" w14:textId="229FBB2A">
      <w:pPr>
        <w:pStyle w:val="FERCparanumber"/>
        <w:rPr>
          <w:b/>
        </w:rPr>
      </w:pPr>
      <w:r w:rsidDel="00C0130C">
        <w:t xml:space="preserve">Upon consideration of the </w:t>
      </w:r>
      <w:r w:rsidRPr="00A50DBE" w:rsidDel="00C0130C">
        <w:t>comments received</w:t>
      </w:r>
      <w:r w:rsidDel="00C0130C" w:rsidR="00DC6052">
        <w:t>,</w:t>
      </w:r>
      <w:r w:rsidDel="00C0130C" w:rsidR="00F27A71">
        <w:t xml:space="preserve"> </w:t>
      </w:r>
      <w:r w:rsidDel="00C0130C">
        <w:t>we modify</w:t>
      </w:r>
      <w:r w:rsidRPr="00A50DBE" w:rsidDel="00C0130C">
        <w:t xml:space="preserve"> the definition </w:t>
      </w:r>
      <w:r w:rsidDel="00C0130C">
        <w:t xml:space="preserve">of distributed energy resource </w:t>
      </w:r>
      <w:r w:rsidRPr="00A50DBE" w:rsidDel="00C0130C">
        <w:t>proposed in the NOPR</w:t>
      </w:r>
      <w:r w:rsidDel="00C0130C">
        <w:t>.</w:t>
      </w:r>
      <w:r w:rsidRPr="00A50DBE" w:rsidDel="00C0130C">
        <w:t xml:space="preserve"> </w:t>
      </w:r>
      <w:r w:rsidDel="00C0130C">
        <w:t xml:space="preserve"> Specifically, we amend </w:t>
      </w:r>
      <w:r w:rsidDel="00C0130C" w:rsidR="00F16837">
        <w:t xml:space="preserve">§ </w:t>
      </w:r>
      <w:r w:rsidDel="00C0130C">
        <w:t xml:space="preserve">35.28(b) of the Commission’s regulations </w:t>
      </w:r>
      <w:r w:rsidRPr="00A50DBE" w:rsidDel="00C0130C">
        <w:t xml:space="preserve">to </w:t>
      </w:r>
      <w:r w:rsidDel="00C0130C">
        <w:t xml:space="preserve">define </w:t>
      </w:r>
      <w:r w:rsidRPr="00A50DBE" w:rsidDel="00C0130C">
        <w:t xml:space="preserve">a </w:t>
      </w:r>
      <w:r w:rsidDel="00C0130C">
        <w:t>distributed energy resource as</w:t>
      </w:r>
      <w:r w:rsidRPr="00A50DBE" w:rsidDel="00C0130C">
        <w:t xml:space="preserve"> “any resource located on the distribution system, any subsystem thereof or behind a customer meter.”</w:t>
      </w:r>
      <w:r w:rsidDel="00C0130C" w:rsidR="00D52A6F">
        <w:t xml:space="preserve">  </w:t>
      </w:r>
      <w:r w:rsidRPr="00A50DBE" w:rsidDel="00C0130C">
        <w:t xml:space="preserve">These resources may include, but are not limited to, </w:t>
      </w:r>
      <w:r w:rsidDel="00C0130C" w:rsidR="000260F2">
        <w:t xml:space="preserve">resources that are </w:t>
      </w:r>
      <w:r w:rsidR="00A127AC">
        <w:t xml:space="preserve">in front of and </w:t>
      </w:r>
      <w:r w:rsidDel="00C0130C" w:rsidR="000260F2">
        <w:t xml:space="preserve">behind the customer meter, </w:t>
      </w:r>
      <w:r w:rsidRPr="00A50DBE" w:rsidDel="00C0130C">
        <w:t xml:space="preserve">electric storage resources, </w:t>
      </w:r>
      <w:r w:rsidDel="00C0130C" w:rsidR="00CD0BB7">
        <w:t xml:space="preserve">intermittent generation, </w:t>
      </w:r>
      <w:r w:rsidRPr="00A50DBE" w:rsidDel="00C0130C">
        <w:t xml:space="preserve">distributed generation, </w:t>
      </w:r>
      <w:r w:rsidDel="00C0130C">
        <w:t xml:space="preserve">demand response, </w:t>
      </w:r>
      <w:r w:rsidRPr="00A50DBE" w:rsidDel="00C0130C">
        <w:t xml:space="preserve">energy efficiency, thermal storage, and electric vehicles </w:t>
      </w:r>
      <w:r w:rsidRPr="00E71B0D" w:rsidDel="00C0130C">
        <w:t>and their supply equipment</w:t>
      </w:r>
      <w:r w:rsidRPr="00E71B0D" w:rsidR="00A5189D">
        <w:t xml:space="preserve"> – as long as such a resource is “located on the distribution system, any subsystem thereof or behind a customer meter</w:t>
      </w:r>
      <w:r w:rsidRPr="00E71B0D" w:rsidDel="00C0130C" w:rsidR="00CD0BB7">
        <w:t>.</w:t>
      </w:r>
      <w:r w:rsidRPr="00E71B0D" w:rsidR="00A5189D">
        <w:t>”</w:t>
      </w:r>
      <w:r w:rsidRPr="00E71B0D" w:rsidDel="00C0130C" w:rsidR="003A7282">
        <w:rPr>
          <w:b/>
          <w:vertAlign w:val="superscript"/>
        </w:rPr>
        <w:footnoteReference w:id="278"/>
      </w:r>
      <w:r w:rsidRPr="00E71B0D" w:rsidDel="00C0130C" w:rsidR="00CD0BB7">
        <w:t xml:space="preserve">  </w:t>
      </w:r>
      <w:r w:rsidRPr="00E71B0D" w:rsidDel="00C0130C" w:rsidR="00C85C59">
        <w:t>The revised definition of</w:t>
      </w:r>
      <w:r w:rsidDel="00C0130C" w:rsidR="00C85C59">
        <w:t xml:space="preserve"> distributed energy resource </w:t>
      </w:r>
      <w:r w:rsidDel="00C0130C" w:rsidR="006B6905">
        <w:t xml:space="preserve">that we </w:t>
      </w:r>
      <w:r w:rsidDel="00C0130C" w:rsidR="00C85C59">
        <w:t xml:space="preserve">adopt </w:t>
      </w:r>
      <w:r w:rsidRPr="00A50DBE" w:rsidDel="00C0130C" w:rsidR="00C85C59">
        <w:t>in th</w:t>
      </w:r>
      <w:r w:rsidDel="00C0130C" w:rsidR="00C85C59">
        <w:t>is</w:t>
      </w:r>
      <w:r w:rsidRPr="00A50DBE" w:rsidDel="00C0130C" w:rsidR="00C85C59">
        <w:t xml:space="preserve"> </w:t>
      </w:r>
      <w:r w:rsidRPr="00D51270" w:rsidR="00D51270">
        <w:t>final rule</w:t>
      </w:r>
      <w:r w:rsidRPr="00A50DBE" w:rsidDel="00C0130C" w:rsidR="00C85C59">
        <w:t xml:space="preserve"> is </w:t>
      </w:r>
      <w:r w:rsidDel="00C0130C" w:rsidR="00C85C59">
        <w:t>technology-neutral</w:t>
      </w:r>
      <w:r w:rsidRPr="00A50DBE" w:rsidDel="00C0130C" w:rsidR="00C85C59">
        <w:t xml:space="preserve">, thereby ensuring that any resource that is </w:t>
      </w:r>
      <w:r w:rsidRPr="00944C3D" w:rsidDel="00C0130C" w:rsidR="00C85C59">
        <w:t>technically capable</w:t>
      </w:r>
      <w:r w:rsidRPr="00A50DBE" w:rsidDel="00C0130C" w:rsidR="00C85C59">
        <w:t xml:space="preserve"> of providing wholesale services </w:t>
      </w:r>
      <w:r w:rsidDel="00C0130C" w:rsidR="00C85C59">
        <w:t>through aggregation</w:t>
      </w:r>
      <w:r w:rsidRPr="00767729" w:rsidDel="00C0130C" w:rsidR="00C85C59">
        <w:t xml:space="preserve"> </w:t>
      </w:r>
      <w:r w:rsidRPr="00A50DBE" w:rsidDel="00C0130C" w:rsidR="00C85C59">
        <w:t xml:space="preserve">is eligible to do so, which </w:t>
      </w:r>
      <w:r w:rsidRPr="00A50DBE" w:rsidDel="00C0130C" w:rsidR="00C85C59">
        <w:rPr>
          <w:rFonts w:eastAsia="Times New Roman"/>
        </w:rPr>
        <w:t xml:space="preserve">enhances competition in the </w:t>
      </w:r>
      <w:r w:rsidDel="00C0130C" w:rsidR="00C85C59">
        <w:rPr>
          <w:rFonts w:eastAsia="Times New Roman"/>
        </w:rPr>
        <w:t>RTO/ISO</w:t>
      </w:r>
      <w:r w:rsidRPr="00A50DBE" w:rsidDel="00C0130C" w:rsidR="00C85C59">
        <w:rPr>
          <w:rFonts w:eastAsia="Times New Roman"/>
        </w:rPr>
        <w:t xml:space="preserve"> markets and, in turn, helps to ensure that these markets produce just and reasonable rates.</w:t>
      </w:r>
      <w:r w:rsidRPr="00AF3995" w:rsidDel="00C0130C" w:rsidR="00C85C59">
        <w:rPr>
          <w:rStyle w:val="FootnoteReference"/>
        </w:rPr>
        <w:footnoteReference w:id="279"/>
      </w:r>
      <w:r w:rsidRPr="00A50DBE" w:rsidDel="00C0130C" w:rsidR="00C85C59">
        <w:t xml:space="preserve"> </w:t>
      </w:r>
      <w:r w:rsidDel="00C0130C" w:rsidR="00C85C59">
        <w:rPr>
          <w:b/>
        </w:rPr>
        <w:t xml:space="preserve"> </w:t>
      </w:r>
    </w:p>
    <w:p w:rsidRPr="00574F87" w:rsidR="00E1424E" w:rsidDel="00C0130C" w:rsidP="00E1424E" w:rsidRDefault="009C5AC4" w14:paraId="7DC78F12" w14:textId="2AAEFB94">
      <w:pPr>
        <w:pStyle w:val="FERCparanumber"/>
      </w:pPr>
      <w:r w:rsidDel="00C0130C">
        <w:t>I</w:t>
      </w:r>
      <w:r w:rsidRPr="009C5AC4" w:rsidDel="00C0130C">
        <w:t xml:space="preserve">n response to Advanced Energy Economy’s request, we clarify that energy efficiency and demand response resources are capable of providing demand reductions at </w:t>
      </w:r>
      <w:r w:rsidRPr="009C5AC4" w:rsidDel="00C0130C">
        <w:rPr>
          <w:iCs/>
        </w:rPr>
        <w:t>customer sites</w:t>
      </w:r>
      <w:r w:rsidDel="00C0130C" w:rsidR="001B45E9">
        <w:rPr>
          <w:iCs/>
        </w:rPr>
        <w:t xml:space="preserve">, </w:t>
      </w:r>
      <w:r w:rsidDel="00C0130C" w:rsidR="00AA7698">
        <w:rPr>
          <w:iCs/>
        </w:rPr>
        <w:t xml:space="preserve">and </w:t>
      </w:r>
      <w:r w:rsidDel="00C0130C" w:rsidR="001B45E9">
        <w:rPr>
          <w:iCs/>
        </w:rPr>
        <w:t xml:space="preserve">therefore </w:t>
      </w:r>
      <w:r w:rsidDel="00C0130C" w:rsidR="005D6FBC">
        <w:rPr>
          <w:iCs/>
        </w:rPr>
        <w:t>“</w:t>
      </w:r>
      <w:r w:rsidDel="00C0130C" w:rsidR="0084065C">
        <w:rPr>
          <w:iCs/>
        </w:rPr>
        <w:t xml:space="preserve">customer sites capable of demand </w:t>
      </w:r>
      <w:r w:rsidDel="00C0130C" w:rsidR="001C70FF">
        <w:rPr>
          <w:iCs/>
        </w:rPr>
        <w:t>reduction</w:t>
      </w:r>
      <w:r w:rsidDel="00C0130C" w:rsidR="005D6FBC">
        <w:rPr>
          <w:iCs/>
        </w:rPr>
        <w:t>”</w:t>
      </w:r>
      <w:r w:rsidDel="00C0130C" w:rsidR="001C70FF">
        <w:rPr>
          <w:iCs/>
        </w:rPr>
        <w:t xml:space="preserve"> may</w:t>
      </w:r>
      <w:r w:rsidDel="00C0130C" w:rsidR="004306E1">
        <w:rPr>
          <w:iCs/>
        </w:rPr>
        <w:t xml:space="preserve"> meet</w:t>
      </w:r>
      <w:r w:rsidDel="00C0130C" w:rsidR="0073439C">
        <w:rPr>
          <w:iCs/>
        </w:rPr>
        <w:t xml:space="preserve"> the </w:t>
      </w:r>
      <w:r w:rsidRPr="003441EA" w:rsidDel="00C0130C" w:rsidR="0073439C">
        <w:rPr>
          <w:iCs/>
        </w:rPr>
        <w:t>definition</w:t>
      </w:r>
      <w:r w:rsidRPr="003441EA" w:rsidDel="00C0130C" w:rsidR="00131857">
        <w:rPr>
          <w:iCs/>
        </w:rPr>
        <w:t xml:space="preserve"> of </w:t>
      </w:r>
      <w:r w:rsidRPr="003441EA" w:rsidDel="00C0130C" w:rsidR="00F935D9">
        <w:rPr>
          <w:iCs/>
        </w:rPr>
        <w:t xml:space="preserve">a </w:t>
      </w:r>
      <w:r w:rsidRPr="003441EA" w:rsidDel="00C0130C" w:rsidR="00131857">
        <w:rPr>
          <w:iCs/>
        </w:rPr>
        <w:t>distributed energy resource</w:t>
      </w:r>
      <w:r w:rsidRPr="003441EA" w:rsidDel="00C0130C">
        <w:rPr>
          <w:iCs/>
        </w:rPr>
        <w:t>.</w:t>
      </w:r>
      <w:r w:rsidRPr="003441EA" w:rsidDel="00C0130C" w:rsidR="00D5588C">
        <w:rPr>
          <w:rStyle w:val="FootnoteReference"/>
          <w:iCs/>
        </w:rPr>
        <w:footnoteReference w:id="280"/>
      </w:r>
      <w:r w:rsidRPr="003441EA" w:rsidDel="00C0130C" w:rsidR="00E1424E">
        <w:rPr>
          <w:iCs/>
        </w:rPr>
        <w:t xml:space="preserve">  </w:t>
      </w:r>
      <w:r w:rsidRPr="003441EA" w:rsidDel="00C0130C" w:rsidR="00D82CA1">
        <w:rPr>
          <w:iCs/>
        </w:rPr>
        <w:t xml:space="preserve">In response to </w:t>
      </w:r>
      <w:r w:rsidRPr="003441EA" w:rsidDel="00C0130C" w:rsidR="0050214A">
        <w:rPr>
          <w:iCs/>
        </w:rPr>
        <w:t xml:space="preserve">requests for regional </w:t>
      </w:r>
      <w:r w:rsidRPr="00574F87" w:rsidDel="00C0130C" w:rsidR="0050214A">
        <w:rPr>
          <w:iCs/>
        </w:rPr>
        <w:t>flexibility,</w:t>
      </w:r>
      <w:r w:rsidRPr="00574F87" w:rsidDel="00C0130C" w:rsidR="00D82CA1">
        <w:rPr>
          <w:iCs/>
        </w:rPr>
        <w:t xml:space="preserve"> w</w:t>
      </w:r>
      <w:r w:rsidRPr="00574F87" w:rsidDel="00C0130C" w:rsidR="009A1BE0">
        <w:rPr>
          <w:iCs/>
        </w:rPr>
        <w:t>e further note that RTO</w:t>
      </w:r>
      <w:r w:rsidRPr="00574F87" w:rsidDel="00C0130C" w:rsidR="005A78E4">
        <w:rPr>
          <w:iCs/>
        </w:rPr>
        <w:t>s</w:t>
      </w:r>
      <w:r w:rsidRPr="00574F87" w:rsidDel="00C0130C" w:rsidR="009A1BE0">
        <w:rPr>
          <w:iCs/>
        </w:rPr>
        <w:t xml:space="preserve">/ISOs can propose their own definitions </w:t>
      </w:r>
      <w:r w:rsidRPr="00574F87" w:rsidR="00486F87">
        <w:rPr>
          <w:iCs/>
        </w:rPr>
        <w:t xml:space="preserve">for the Commission’s evaluation </w:t>
      </w:r>
      <w:r w:rsidRPr="00574F87" w:rsidDel="00C0130C" w:rsidR="009A1BE0">
        <w:rPr>
          <w:iCs/>
        </w:rPr>
        <w:t xml:space="preserve">as long as </w:t>
      </w:r>
      <w:r w:rsidRPr="00574F87" w:rsidDel="00C0130C" w:rsidR="00DE0C0B">
        <w:rPr>
          <w:iCs/>
        </w:rPr>
        <w:t xml:space="preserve">the scope and applicability </w:t>
      </w:r>
      <w:r w:rsidRPr="00574F87" w:rsidDel="00C0130C" w:rsidR="00696A65">
        <w:rPr>
          <w:iCs/>
        </w:rPr>
        <w:t xml:space="preserve">of the proposed definitions </w:t>
      </w:r>
      <w:r w:rsidRPr="00574F87" w:rsidDel="00C0130C" w:rsidR="00F922FE">
        <w:rPr>
          <w:iCs/>
        </w:rPr>
        <w:t xml:space="preserve">are </w:t>
      </w:r>
      <w:r w:rsidRPr="00574F87" w:rsidDel="00C0130C" w:rsidR="00C248BB">
        <w:rPr>
          <w:iCs/>
        </w:rPr>
        <w:t>consistent with the Commission’s definition</w:t>
      </w:r>
      <w:r w:rsidRPr="00574F87" w:rsidR="00B86702">
        <w:rPr>
          <w:iCs/>
        </w:rPr>
        <w:t xml:space="preserve"> of distributed energy resource and consistent with </w:t>
      </w:r>
      <w:r w:rsidRPr="00574F87" w:rsidR="0074307A">
        <w:rPr>
          <w:iCs/>
        </w:rPr>
        <w:t xml:space="preserve">all aspects of </w:t>
      </w:r>
      <w:r w:rsidRPr="00574F87" w:rsidR="00B86702">
        <w:rPr>
          <w:iCs/>
        </w:rPr>
        <w:t xml:space="preserve">this </w:t>
      </w:r>
      <w:r w:rsidRPr="00D51270" w:rsidR="00D51270">
        <w:rPr>
          <w:iCs/>
        </w:rPr>
        <w:t>final rule</w:t>
      </w:r>
      <w:r w:rsidRPr="00574F87" w:rsidDel="00C0130C" w:rsidR="00C248BB">
        <w:rPr>
          <w:iCs/>
        </w:rPr>
        <w:t>.</w:t>
      </w:r>
    </w:p>
    <w:p w:rsidRPr="00A50DBE" w:rsidR="00E552DE" w:rsidDel="00C0130C" w:rsidP="00AB1997" w:rsidRDefault="00E552DE" w14:paraId="39F8C176" w14:textId="5E0FA04D">
      <w:pPr>
        <w:pStyle w:val="FERCparanumber"/>
      </w:pPr>
      <w:r w:rsidDel="00C0130C">
        <w:t>We</w:t>
      </w:r>
      <w:r w:rsidRPr="00A50DBE" w:rsidDel="00C0130C">
        <w:t xml:space="preserve"> find that the</w:t>
      </w:r>
      <w:r w:rsidDel="00C0130C">
        <w:t xml:space="preserve"> NOPR proposal to</w:t>
      </w:r>
      <w:r w:rsidRPr="00A50DBE" w:rsidDel="00C0130C">
        <w:t xml:space="preserve"> defin</w:t>
      </w:r>
      <w:r w:rsidDel="00C0130C">
        <w:t>e a</w:t>
      </w:r>
      <w:r w:rsidRPr="00A50DBE" w:rsidDel="00C0130C">
        <w:t xml:space="preserve"> </w:t>
      </w:r>
      <w:r w:rsidDel="00C0130C">
        <w:t xml:space="preserve">distributed energy resource </w:t>
      </w:r>
      <w:r w:rsidRPr="00A50DBE" w:rsidDel="00C0130C">
        <w:t>as a source or sink of power</w:t>
      </w:r>
      <w:r w:rsidDel="00C0130C">
        <w:t xml:space="preserve"> </w:t>
      </w:r>
      <w:r w:rsidDel="00C0130C" w:rsidR="00E50517">
        <w:t xml:space="preserve">risked </w:t>
      </w:r>
      <w:r w:rsidDel="00C0130C">
        <w:t>creat</w:t>
      </w:r>
      <w:r w:rsidDel="00C0130C" w:rsidR="00E50517">
        <w:t>ing</w:t>
      </w:r>
      <w:r w:rsidDel="00C0130C">
        <w:t xml:space="preserve"> unnecessary confusion because it</w:t>
      </w:r>
      <w:r w:rsidRPr="00A50DBE" w:rsidDel="00C0130C">
        <w:t xml:space="preserve"> was not clear as to which resources could qualify and </w:t>
      </w:r>
      <w:r w:rsidDel="00C0130C" w:rsidR="00F27A71">
        <w:t>the definition</w:t>
      </w:r>
      <w:r w:rsidRPr="00A50DBE" w:rsidDel="00C0130C">
        <w:t xml:space="preserve"> inadvertently exclud</w:t>
      </w:r>
      <w:r w:rsidDel="00C0130C">
        <w:t>e</w:t>
      </w:r>
      <w:r w:rsidDel="00C0130C" w:rsidR="00E313E5">
        <w:t>d</w:t>
      </w:r>
      <w:r w:rsidRPr="00A50DBE" w:rsidDel="00C0130C">
        <w:t xml:space="preserve"> some resources that </w:t>
      </w:r>
      <w:r w:rsidDel="00C0130C" w:rsidR="00672912">
        <w:t>could</w:t>
      </w:r>
      <w:r w:rsidRPr="00A50DBE" w:rsidDel="00C0130C">
        <w:t xml:space="preserve"> be aggregated to sell </w:t>
      </w:r>
      <w:r w:rsidDel="00C0130C">
        <w:t xml:space="preserve">energy, capacity, or ancillary </w:t>
      </w:r>
      <w:r w:rsidRPr="00A50DBE" w:rsidDel="00C0130C">
        <w:t xml:space="preserve">services.  The </w:t>
      </w:r>
      <w:r w:rsidDel="00C0130C">
        <w:t xml:space="preserve">revised </w:t>
      </w:r>
      <w:r w:rsidRPr="00A50DBE" w:rsidDel="00C0130C">
        <w:t xml:space="preserve">definition </w:t>
      </w:r>
      <w:r w:rsidDel="00C0130C" w:rsidR="00BA5471">
        <w:t>of distributed energy resource</w:t>
      </w:r>
      <w:r w:rsidRPr="00A50DBE" w:rsidDel="00C0130C">
        <w:t xml:space="preserve"> </w:t>
      </w:r>
      <w:r w:rsidDel="00C0130C">
        <w:t>is intended to be</w:t>
      </w:r>
      <w:r w:rsidRPr="00A50DBE" w:rsidDel="00C0130C">
        <w:t xml:space="preserve"> broad enough to </w:t>
      </w:r>
      <w:r w:rsidDel="00C0130C" w:rsidR="00BA5471">
        <w:t>encompass</w:t>
      </w:r>
      <w:r w:rsidRPr="00A50DBE" w:rsidDel="00C0130C" w:rsidR="00BA5471">
        <w:t xml:space="preserve"> </w:t>
      </w:r>
      <w:r w:rsidRPr="00A50DBE" w:rsidDel="00C0130C">
        <w:t xml:space="preserve">current and future technologies that qualify as </w:t>
      </w:r>
      <w:r w:rsidDel="00C0130C">
        <w:t>distributed energy resource</w:t>
      </w:r>
      <w:r w:rsidRPr="00A50DBE" w:rsidDel="00C0130C">
        <w:t xml:space="preserve">s with no further need to clarify or revise the definition as new technologies are developed.  </w:t>
      </w:r>
    </w:p>
    <w:p w:rsidRPr="00A50DBE" w:rsidR="00E552DE" w:rsidDel="00C0130C" w:rsidP="00E552DE" w:rsidRDefault="00E552DE" w14:paraId="1722A20A" w14:textId="3AF4F462">
      <w:pPr>
        <w:pStyle w:val="FERCparanumber"/>
      </w:pPr>
      <w:r w:rsidDel="00C0130C">
        <w:t xml:space="preserve">As discussed further </w:t>
      </w:r>
      <w:r w:rsidDel="00C0130C" w:rsidR="00B90E69">
        <w:t>below</w:t>
      </w:r>
      <w:r w:rsidDel="00C0130C" w:rsidR="00E7797C">
        <w:t xml:space="preserve"> in </w:t>
      </w:r>
      <w:r w:rsidRPr="0070592C" w:rsidDel="00C0130C" w:rsidR="00F16837">
        <w:t>S</w:t>
      </w:r>
      <w:r w:rsidRPr="0070592C" w:rsidDel="00C0130C" w:rsidR="00E7797C">
        <w:t>ection</w:t>
      </w:r>
      <w:r w:rsidRPr="0070592C" w:rsidDel="00C0130C" w:rsidR="00305D30">
        <w:t>s</w:t>
      </w:r>
      <w:r w:rsidRPr="0070592C" w:rsidDel="00C0130C" w:rsidR="00E7797C">
        <w:t xml:space="preserve"> </w:t>
      </w:r>
      <w:r w:rsidRPr="0070592C" w:rsidDel="00C0130C" w:rsidR="00305D30">
        <w:t>IV.</w:t>
      </w:r>
      <w:r w:rsidRPr="0070592C" w:rsidDel="00C0130C" w:rsidR="00E7797C">
        <w:t>C</w:t>
      </w:r>
      <w:r w:rsidRPr="0070592C" w:rsidR="0070592C">
        <w:t xml:space="preserve">, </w:t>
      </w:r>
      <w:r w:rsidRPr="0070592C" w:rsidDel="00C0130C" w:rsidR="00305D30">
        <w:t>IV.</w:t>
      </w:r>
      <w:r w:rsidRPr="0070592C" w:rsidDel="00C0130C" w:rsidR="00E7797C">
        <w:t>F</w:t>
      </w:r>
      <w:r w:rsidRPr="0070592C" w:rsidR="0070592C">
        <w:t xml:space="preserve">, </w:t>
      </w:r>
      <w:r w:rsidRPr="0070592C" w:rsidDel="00C0130C" w:rsidR="00E7797C">
        <w:t xml:space="preserve">and </w:t>
      </w:r>
      <w:r w:rsidRPr="0070592C" w:rsidDel="00C0130C" w:rsidR="00305D30">
        <w:t>IV.</w:t>
      </w:r>
      <w:r w:rsidRPr="0070592C" w:rsidDel="00C0130C" w:rsidR="00E7797C">
        <w:t>H</w:t>
      </w:r>
      <w:r w:rsidRPr="0070592C" w:rsidDel="00C0130C">
        <w:t>,</w:t>
      </w:r>
      <w:r w:rsidDel="00C0130C">
        <w:t xml:space="preserve"> we</w:t>
      </w:r>
      <w:r w:rsidRPr="00A50DBE" w:rsidDel="00C0130C">
        <w:t xml:space="preserve"> clarif</w:t>
      </w:r>
      <w:r w:rsidDel="00C0130C">
        <w:t>y</w:t>
      </w:r>
      <w:r w:rsidRPr="00A50DBE" w:rsidDel="00C0130C">
        <w:t xml:space="preserve"> that </w:t>
      </w:r>
      <w:r w:rsidDel="00C0130C">
        <w:t>distributed energy resource</w:t>
      </w:r>
      <w:r w:rsidRPr="00A50DBE" w:rsidDel="00C0130C">
        <w:t xml:space="preserve"> aggregations must be able to meet the qualification and performance requirements to provide the service that they are offering into </w:t>
      </w:r>
      <w:r w:rsidDel="00C0130C">
        <w:t>RTO/ISO</w:t>
      </w:r>
      <w:r w:rsidRPr="00A50DBE" w:rsidDel="00C0130C">
        <w:t xml:space="preserve"> markets.  </w:t>
      </w:r>
      <w:r w:rsidDel="00C0130C" w:rsidR="00672B56">
        <w:t xml:space="preserve">For example, </w:t>
      </w:r>
      <w:r w:rsidDel="00C0130C" w:rsidR="00D0032F">
        <w:t>because</w:t>
      </w:r>
      <w:r w:rsidRPr="00A50DBE" w:rsidDel="00C0130C">
        <w:t xml:space="preserve"> a </w:t>
      </w:r>
      <w:r w:rsidDel="00C0130C" w:rsidR="007372D9">
        <w:t xml:space="preserve">type of </w:t>
      </w:r>
      <w:r w:rsidRPr="00A50DBE" w:rsidDel="00C0130C">
        <w:t>resource like energy efficiency cannot be dispatched, metered</w:t>
      </w:r>
      <w:r w:rsidDel="00C0130C" w:rsidR="00672B56">
        <w:t>,</w:t>
      </w:r>
      <w:r w:rsidRPr="00A50DBE" w:rsidDel="00C0130C">
        <w:t xml:space="preserve"> or telemetered, it would </w:t>
      </w:r>
      <w:r w:rsidDel="00C0130C" w:rsidR="00EB6A29">
        <w:t xml:space="preserve">likely </w:t>
      </w:r>
      <w:r w:rsidRPr="00A50DBE" w:rsidDel="00C0130C">
        <w:t xml:space="preserve">be impossible for </w:t>
      </w:r>
      <w:r w:rsidDel="00C0130C">
        <w:t>distributed energy resource</w:t>
      </w:r>
      <w:r w:rsidRPr="00A50DBE" w:rsidDel="00C0130C">
        <w:t xml:space="preserve"> aggregations comprised </w:t>
      </w:r>
      <w:r w:rsidDel="00C0130C" w:rsidR="00672B56">
        <w:t xml:space="preserve">exclusively </w:t>
      </w:r>
      <w:r w:rsidRPr="00A50DBE" w:rsidDel="00C0130C">
        <w:t xml:space="preserve">of energy efficiency resources to be able to provide energy or ancillary services to the RTOs/ISOs because the aggregation would not be </w:t>
      </w:r>
      <w:r w:rsidRPr="00AE45E0" w:rsidDel="00C0130C">
        <w:t>technically capable</w:t>
      </w:r>
      <w:r w:rsidRPr="00A50DBE" w:rsidDel="00C0130C">
        <w:t xml:space="preserve"> of providing those services.</w:t>
      </w:r>
      <w:r w:rsidDel="00C0130C" w:rsidR="003E6361">
        <w:t xml:space="preserve">  </w:t>
      </w:r>
    </w:p>
    <w:p w:rsidRPr="00E552DE" w:rsidR="00FC369E" w:rsidDel="00C0130C" w:rsidP="00FC369E" w:rsidRDefault="00E552DE" w14:paraId="015132C7" w14:textId="4B2280E7">
      <w:pPr>
        <w:pStyle w:val="FERCparanumber"/>
      </w:pPr>
      <w:r w:rsidRPr="009E0582" w:rsidDel="00C0130C">
        <w:t xml:space="preserve">We also </w:t>
      </w:r>
      <w:r w:rsidDel="00C0130C" w:rsidR="00A16FCE">
        <w:t>adopt</w:t>
      </w:r>
      <w:r w:rsidDel="00C0130C" w:rsidR="009660A1">
        <w:t xml:space="preserve"> a modified</w:t>
      </w:r>
      <w:r w:rsidRPr="009E0582" w:rsidDel="00C0130C">
        <w:t xml:space="preserve"> definition </w:t>
      </w:r>
      <w:r w:rsidDel="00C0130C" w:rsidR="001F10D8">
        <w:t>of distributed energy resource aggregator</w:t>
      </w:r>
      <w:r w:rsidRPr="009E0582" w:rsidDel="00C0130C">
        <w:t xml:space="preserve"> </w:t>
      </w:r>
      <w:r w:rsidDel="00C0130C" w:rsidR="0044570E">
        <w:t>tha</w:t>
      </w:r>
      <w:r w:rsidDel="00C0130C" w:rsidR="00BE3B50">
        <w:t>n</w:t>
      </w:r>
      <w:r w:rsidDel="00C0130C" w:rsidR="0044570E">
        <w:t xml:space="preserve"> was </w:t>
      </w:r>
      <w:r w:rsidRPr="009E0582" w:rsidDel="00C0130C">
        <w:t xml:space="preserve">proposed in the NOPR, and </w:t>
      </w:r>
      <w:r w:rsidDel="00C0130C" w:rsidR="00F37526">
        <w:t>therefore</w:t>
      </w:r>
      <w:r w:rsidRPr="009E0582" w:rsidDel="00C0130C">
        <w:t xml:space="preserve"> amend </w:t>
      </w:r>
      <w:r w:rsidDel="00C0130C" w:rsidR="00F16837">
        <w:t>§</w:t>
      </w:r>
      <w:r w:rsidRPr="009E0582" w:rsidDel="00C0130C">
        <w:t xml:space="preserve"> 35.28(b) of the Commission’s regulations to define a distributed energy resource aggregator as “the entity that aggregates one or more distributed energy resources for purposes of participation in the capacity, energy and</w:t>
      </w:r>
      <w:r w:rsidDel="00C0130C" w:rsidR="00E73841">
        <w:t>/or</w:t>
      </w:r>
      <w:r w:rsidRPr="009E0582" w:rsidDel="00C0130C">
        <w:t xml:space="preserve"> ancillary service markets of the regional transmission organizations and</w:t>
      </w:r>
      <w:r w:rsidDel="00C0130C" w:rsidR="00E73841">
        <w:t>/or</w:t>
      </w:r>
      <w:r w:rsidRPr="009E0582" w:rsidDel="00C0130C">
        <w:t xml:space="preserve"> independent system operators.”</w:t>
      </w:r>
      <w:r w:rsidR="006C07BF">
        <w:rPr>
          <w:rStyle w:val="FootnoteReference"/>
        </w:rPr>
        <w:footnoteReference w:id="281"/>
      </w:r>
      <w:r w:rsidDel="00C0130C">
        <w:t xml:space="preserve">  We clarify that</w:t>
      </w:r>
      <w:r w:rsidDel="00C0130C" w:rsidR="000A2162">
        <w:t>,</w:t>
      </w:r>
      <w:r w:rsidDel="00C0130C">
        <w:t xml:space="preserve"> because demand response falls under the definition of distributed energy resource, an aggregator of demand response could participate as a distributed energy resource aggregator.</w:t>
      </w:r>
      <w:r w:rsidDel="00C0130C" w:rsidR="008A3A08">
        <w:t xml:space="preserve"> </w:t>
      </w:r>
      <w:r w:rsidDel="00C0130C" w:rsidR="003A7282">
        <w:t xml:space="preserve"> However, </w:t>
      </w:r>
      <w:r w:rsidDel="00C0130C" w:rsidR="003A7282">
        <w:rPr>
          <w:iCs/>
        </w:rPr>
        <w:t>t</w:t>
      </w:r>
      <w:r w:rsidRPr="00E1424E" w:rsidDel="00C0130C" w:rsidR="003A7282">
        <w:rPr>
          <w:iCs/>
        </w:rPr>
        <w:t>h</w:t>
      </w:r>
      <w:r w:rsidDel="00C0130C" w:rsidR="003A7282">
        <w:rPr>
          <w:iCs/>
        </w:rPr>
        <w:t xml:space="preserve">is </w:t>
      </w:r>
      <w:r w:rsidRPr="00D51270" w:rsidR="00D51270">
        <w:rPr>
          <w:iCs/>
        </w:rPr>
        <w:t>final rule</w:t>
      </w:r>
      <w:r w:rsidDel="00C0130C" w:rsidR="003A7282">
        <w:rPr>
          <w:iCs/>
        </w:rPr>
        <w:t xml:space="preserve"> </w:t>
      </w:r>
      <w:r w:rsidRPr="00E1424E" w:rsidDel="00C0130C" w:rsidR="003A7282">
        <w:rPr>
          <w:iCs/>
        </w:rPr>
        <w:t xml:space="preserve">does not affect </w:t>
      </w:r>
      <w:r w:rsidDel="00C0130C" w:rsidR="003A7282">
        <w:rPr>
          <w:iCs/>
        </w:rPr>
        <w:t xml:space="preserve">existing </w:t>
      </w:r>
      <w:r w:rsidRPr="00E1424E" w:rsidDel="00C0130C" w:rsidR="003A7282">
        <w:rPr>
          <w:iCs/>
        </w:rPr>
        <w:t>demand response rules</w:t>
      </w:r>
      <w:r w:rsidDel="00C0130C" w:rsidR="003A7282">
        <w:rPr>
          <w:iCs/>
        </w:rPr>
        <w:t>.</w:t>
      </w:r>
      <w:r w:rsidRPr="003E6361" w:rsidDel="00C0130C" w:rsidR="007D64C5">
        <w:rPr>
          <w:iCs/>
        </w:rPr>
        <w:t xml:space="preserve"> </w:t>
      </w:r>
    </w:p>
    <w:p w:rsidR="006B591B" w:rsidP="00FB7F86" w:rsidRDefault="006B591B" w14:paraId="6F7B0D65" w14:textId="57A52C50">
      <w:pPr>
        <w:pStyle w:val="Heading2"/>
        <w:keepNext w:val="0"/>
        <w:keepLines w:val="0"/>
        <w:pageBreakBefore/>
        <w:widowControl w:val="0"/>
        <w:spacing w:line="240" w:lineRule="auto"/>
      </w:pPr>
      <w:bookmarkStart w:name="_bmk21" w:id="44"/>
      <w:r w:rsidRPr="006B591B">
        <w:t>E</w:t>
      </w:r>
      <w:bookmarkEnd w:id="44"/>
      <w:r w:rsidRPr="006B591B">
        <w:t>ligibility</w:t>
      </w:r>
      <w:r>
        <w:t xml:space="preserve"> to Participate in RTO/ISO Markets through a Distributed Energy Resource Aggregator</w:t>
      </w:r>
    </w:p>
    <w:p w:rsidRPr="00EA17B7" w:rsidR="00EA17B7" w:rsidP="00CD0BB7" w:rsidRDefault="00EA17B7" w14:paraId="2F33EB5F" w14:textId="77777777">
      <w:pPr>
        <w:pStyle w:val="FERCparanumber"/>
        <w:numPr>
          <w:ilvl w:val="0"/>
          <w:numId w:val="0"/>
        </w:numPr>
        <w:spacing w:line="240" w:lineRule="auto"/>
      </w:pPr>
    </w:p>
    <w:p w:rsidR="00FA6741" w:rsidP="00B625CB" w:rsidRDefault="00FA6741" w14:paraId="40D558D5" w14:textId="1C810313">
      <w:pPr>
        <w:pStyle w:val="Heading3"/>
        <w:rPr>
          <w:lang w:eastAsia="ja-JP"/>
        </w:rPr>
      </w:pPr>
      <w:bookmarkStart w:name="_bmk22" w:id="45"/>
      <w:r>
        <w:rPr>
          <w:lang w:eastAsia="ja-JP"/>
        </w:rPr>
        <w:t>P</w:t>
      </w:r>
      <w:bookmarkEnd w:id="45"/>
      <w:r>
        <w:rPr>
          <w:lang w:eastAsia="ja-JP"/>
        </w:rPr>
        <w:t xml:space="preserve">articipation Model </w:t>
      </w:r>
    </w:p>
    <w:p w:rsidR="00E741B4" w:rsidP="00B625CB" w:rsidRDefault="00E741B4" w14:paraId="7DC83072" w14:textId="2A177C0D">
      <w:pPr>
        <w:pStyle w:val="Heading4"/>
      </w:pPr>
      <w:bookmarkStart w:name="_bmk23" w:id="46"/>
      <w:r>
        <w:t>N</w:t>
      </w:r>
      <w:bookmarkEnd w:id="46"/>
      <w:r>
        <w:t>OPR Proposal</w:t>
      </w:r>
    </w:p>
    <w:p w:rsidRPr="00E741B4" w:rsidR="00E741B4" w:rsidP="00E741B4" w:rsidRDefault="00E741B4" w14:paraId="61FEBB30" w14:textId="0FC6AFD1">
      <w:pPr>
        <w:pStyle w:val="FERCparanumber"/>
      </w:pPr>
      <w:r w:rsidRPr="00E8780E">
        <w:t xml:space="preserve">In the NOPR, </w:t>
      </w:r>
      <w:r w:rsidR="008561D6">
        <w:t xml:space="preserve">the Commission </w:t>
      </w:r>
      <w:r w:rsidRPr="00A961B9" w:rsidR="00A961B9">
        <w:t>propose</w:t>
      </w:r>
      <w:r w:rsidR="00A961B9">
        <w:t>d</w:t>
      </w:r>
      <w:r w:rsidRPr="00A961B9" w:rsidR="00A961B9">
        <w:t xml:space="preserve"> to require each RTO/ISO to revise its tariff as necessary to allow distributed energy resource aggregators to offer to sell capacity, energy, and ancillary services in </w:t>
      </w:r>
      <w:r w:rsidR="00A961B9">
        <w:t>RTO/ISO</w:t>
      </w:r>
      <w:r w:rsidRPr="00A961B9" w:rsidR="00A961B9">
        <w:t xml:space="preserve"> markets.</w:t>
      </w:r>
      <w:r w:rsidR="00A961B9">
        <w:rPr>
          <w:rStyle w:val="FootnoteReference"/>
        </w:rPr>
        <w:footnoteReference w:id="282"/>
      </w:r>
      <w:r w:rsidRPr="00A961B9" w:rsidR="00A961B9">
        <w:t xml:space="preserve"> </w:t>
      </w:r>
      <w:r w:rsidR="00A961B9">
        <w:t xml:space="preserve"> Specifically, </w:t>
      </w:r>
      <w:r w:rsidRPr="00E8780E">
        <w:t xml:space="preserve">the Commission proposed to require </w:t>
      </w:r>
      <w:r>
        <w:t xml:space="preserve">that </w:t>
      </w:r>
      <w:r w:rsidRPr="00E8780E">
        <w:t xml:space="preserve">each RTO/ISO revise its tariff to define </w:t>
      </w:r>
      <w:r>
        <w:t>distributed energy resource</w:t>
      </w:r>
      <w:r w:rsidRPr="00E8780E">
        <w:t xml:space="preserve"> aggregators as a type of market participant that can participate in </w:t>
      </w:r>
      <w:r>
        <w:t>RTO/ISO</w:t>
      </w:r>
      <w:r w:rsidRPr="00E8780E">
        <w:t xml:space="preserve"> markets under the participation model that best accommodates the physical and operational characteristics of its </w:t>
      </w:r>
      <w:r>
        <w:t>distributed energy resource</w:t>
      </w:r>
      <w:r w:rsidRPr="00E8780E">
        <w:t xml:space="preserve"> aggregation. </w:t>
      </w:r>
      <w:r w:rsidR="00B625CB">
        <w:t xml:space="preserve"> </w:t>
      </w:r>
      <w:r w:rsidRPr="00E8780E">
        <w:t xml:space="preserve">The Commission explained that this means that the </w:t>
      </w:r>
      <w:r>
        <w:t>distributed energy resource</w:t>
      </w:r>
      <w:r w:rsidRPr="00E8780E">
        <w:t xml:space="preserve"> aggregator would register as, for example, a generation asset if that is the participation model that best reflects its physical characteristics.</w:t>
      </w:r>
      <w:r w:rsidR="00A961B9">
        <w:rPr>
          <w:rStyle w:val="FootnoteReference"/>
        </w:rPr>
        <w:footnoteReference w:id="283"/>
      </w:r>
      <w:r w:rsidRPr="00E8780E">
        <w:t xml:space="preserve">  The Commission stated that, while it expect</w:t>
      </w:r>
      <w:r>
        <w:t>s</w:t>
      </w:r>
      <w:r w:rsidRPr="00E8780E">
        <w:t xml:space="preserve"> efficiencies to be gained by allowing </w:t>
      </w:r>
      <w:r>
        <w:t>distributed energy resource</w:t>
      </w:r>
      <w:r w:rsidRPr="00E8780E">
        <w:t xml:space="preserve"> aggregations to participate under existing participation models, it also acknowledge</w:t>
      </w:r>
      <w:r>
        <w:t>s</w:t>
      </w:r>
      <w:r w:rsidRPr="00E8780E">
        <w:t xml:space="preserve"> that the use of existing participation models may not be possible in every RTO/ISO based on how market participation is structured.  However, the Commission emphasized that, where </w:t>
      </w:r>
      <w:r w:rsidR="00AE3281">
        <w:t>participation under existing participation models</w:t>
      </w:r>
      <w:r w:rsidRPr="00E8780E" w:rsidR="00AE3281">
        <w:t xml:space="preserve"> </w:t>
      </w:r>
      <w:r w:rsidRPr="00E8780E">
        <w:t>is possible</w:t>
      </w:r>
      <w:r>
        <w:t xml:space="preserve">, </w:t>
      </w:r>
      <w:r w:rsidRPr="00E8780E">
        <w:t xml:space="preserve">the </w:t>
      </w:r>
      <w:r>
        <w:t>distributed energy resource</w:t>
      </w:r>
      <w:r w:rsidRPr="00E8780E">
        <w:t xml:space="preserve"> aggregation must still satisfy </w:t>
      </w:r>
      <w:r>
        <w:t>the</w:t>
      </w:r>
      <w:r w:rsidRPr="00E8780E">
        <w:t xml:space="preserve"> eligibility requirements of the applicable participation model before it can participate in </w:t>
      </w:r>
      <w:r>
        <w:t>RTO/ISO</w:t>
      </w:r>
      <w:r w:rsidRPr="00E8780E">
        <w:t xml:space="preserve"> markets under that participation model.  Therefore, to accommodate the participation of </w:t>
      </w:r>
      <w:r>
        <w:t>distributed energy resource</w:t>
      </w:r>
      <w:r w:rsidRPr="00E8780E">
        <w:t xml:space="preserve"> aggregations, the Commission proposed that each RTO/ISO modify the eligibility requirements for existing participation models as necessary to allow for </w:t>
      </w:r>
      <w:r>
        <w:t xml:space="preserve">such </w:t>
      </w:r>
      <w:r w:rsidRPr="00E8780E">
        <w:t>participation.</w:t>
      </w:r>
    </w:p>
    <w:p w:rsidR="00CB7468" w:rsidP="00B625CB" w:rsidRDefault="00CB7468" w14:paraId="1D938727" w14:textId="4DB3411F">
      <w:pPr>
        <w:pStyle w:val="Heading4"/>
      </w:pPr>
      <w:bookmarkStart w:name="_bmk24" w:id="47"/>
      <w:r>
        <w:t>C</w:t>
      </w:r>
      <w:bookmarkEnd w:id="47"/>
      <w:r>
        <w:t>omments</w:t>
      </w:r>
    </w:p>
    <w:p w:rsidRPr="00641833" w:rsidR="00E95583" w:rsidP="00E95583" w:rsidRDefault="00E95583" w14:paraId="56FADA35" w14:textId="6C26E2EF">
      <w:pPr>
        <w:pStyle w:val="FERCparanumber"/>
      </w:pPr>
      <w:r w:rsidRPr="00641833">
        <w:t>Several commenters assert that a new participation model for distributed energy resource aggregations is necessary.</w:t>
      </w:r>
      <w:r>
        <w:rPr>
          <w:rStyle w:val="FootnoteReference"/>
        </w:rPr>
        <w:footnoteReference w:id="284"/>
      </w:r>
      <w:r w:rsidRPr="00641833">
        <w:t xml:space="preserve">  </w:t>
      </w:r>
      <w:r>
        <w:t xml:space="preserve">The </w:t>
      </w:r>
      <w:r w:rsidRPr="00641833">
        <w:t>Ohio Commission</w:t>
      </w:r>
      <w:r>
        <w:t xml:space="preserve">, Tesla/SolarCity, and </w:t>
      </w:r>
      <w:r w:rsidRPr="00641833">
        <w:rPr>
          <w:color w:val="000000"/>
        </w:rPr>
        <w:t xml:space="preserve">Public </w:t>
      </w:r>
      <w:r>
        <w:rPr>
          <w:color w:val="000000"/>
        </w:rPr>
        <w:t>Interest Organizations</w:t>
      </w:r>
      <w:r w:rsidRPr="00641833">
        <w:t xml:space="preserve"> support the Commission’s efforts to require </w:t>
      </w:r>
      <w:r>
        <w:t xml:space="preserve">each RTO/ISO to modify its tariff to provide a </w:t>
      </w:r>
      <w:r w:rsidRPr="00641833">
        <w:t>participation model for distributed energy resource aggregators.</w:t>
      </w:r>
      <w:r w:rsidRPr="00550B44">
        <w:rPr>
          <w:rStyle w:val="FootnoteReference"/>
        </w:rPr>
        <w:footnoteReference w:id="285"/>
      </w:r>
      <w:r w:rsidRPr="00641833">
        <w:t xml:space="preserve">  AES Companies explain that a new and separate participation model is </w:t>
      </w:r>
      <w:r>
        <w:t>necessary</w:t>
      </w:r>
      <w:r w:rsidRPr="00641833">
        <w:t xml:space="preserve"> to facilitate market participation of distributed energy resource aggregations due to their unique impacts on the bulk electric system and state-jurisdictional considerations.</w:t>
      </w:r>
      <w:r w:rsidRPr="00550B44">
        <w:rPr>
          <w:rStyle w:val="FootnoteReference"/>
        </w:rPr>
        <w:footnoteReference w:id="286"/>
      </w:r>
      <w:r w:rsidRPr="00641833">
        <w:t xml:space="preserve">  Stem </w:t>
      </w:r>
      <w:r>
        <w:t xml:space="preserve">also </w:t>
      </w:r>
      <w:r w:rsidRPr="00641833">
        <w:t xml:space="preserve">asserts </w:t>
      </w:r>
      <w:r w:rsidRPr="00641833" w:rsidDel="004C7B63">
        <w:t xml:space="preserve">that each </w:t>
      </w:r>
      <w:r w:rsidRPr="00641833">
        <w:t>RTO/</w:t>
      </w:r>
      <w:r w:rsidRPr="00641833" w:rsidDel="004C7B63">
        <w:t>ISO needs to implement a model that accommodates behind-the-meter exporting resources</w:t>
      </w:r>
      <w:r>
        <w:t xml:space="preserve"> or, if that is impractical, to implement a model in which behind-the-meter non-exporting resources can fully participate</w:t>
      </w:r>
      <w:r w:rsidRPr="00641833">
        <w:t>.</w:t>
      </w:r>
      <w:r w:rsidRPr="00550B44">
        <w:rPr>
          <w:rStyle w:val="FootnoteReference"/>
        </w:rPr>
        <w:footnoteReference w:id="287"/>
      </w:r>
      <w:r w:rsidRPr="00641833">
        <w:t xml:space="preserve">  </w:t>
      </w:r>
      <w:r w:rsidRPr="00A50DBE" w:rsidR="00234301">
        <w:t xml:space="preserve">Microgrid Resources Coalition notes </w:t>
      </w:r>
      <w:r w:rsidR="00234301">
        <w:t>its</w:t>
      </w:r>
      <w:r w:rsidRPr="00A50DBE" w:rsidR="00234301">
        <w:t xml:space="preserve"> support for allowing aggregations </w:t>
      </w:r>
      <w:r w:rsidR="00234301">
        <w:t xml:space="preserve">of </w:t>
      </w:r>
      <w:r w:rsidRPr="00A50DBE" w:rsidR="00234301">
        <w:t xml:space="preserve">behind-the-meter </w:t>
      </w:r>
      <w:r w:rsidR="00234301">
        <w:t>distributed energy resources</w:t>
      </w:r>
      <w:r w:rsidRPr="00A50DBE" w:rsidR="00234301">
        <w:t xml:space="preserve"> to participate fully and notes that it is important to </w:t>
      </w:r>
      <w:r w:rsidR="00234301">
        <w:t>allow for the participation of distributed energy resources</w:t>
      </w:r>
      <w:r w:rsidRPr="00A50DBE" w:rsidR="00234301">
        <w:t xml:space="preserve"> that ha</w:t>
      </w:r>
      <w:r w:rsidR="00234301">
        <w:t>ve</w:t>
      </w:r>
      <w:r w:rsidRPr="00A50DBE" w:rsidR="00234301">
        <w:t xml:space="preserve"> flexible controllable output.</w:t>
      </w:r>
      <w:r w:rsidRPr="00D457DD" w:rsidR="00234301">
        <w:rPr>
          <w:rStyle w:val="FootnoteReference"/>
        </w:rPr>
        <w:footnoteReference w:id="288"/>
      </w:r>
    </w:p>
    <w:p w:rsidRPr="0038597B" w:rsidR="00661616" w:rsidP="00CB7468" w:rsidRDefault="0074459E" w14:paraId="74C86B6E" w14:textId="61BA7BD2">
      <w:pPr>
        <w:pStyle w:val="FERCparanumber"/>
      </w:pPr>
      <w:r>
        <w:t>Commenters offer a range of views regarding how distributed energy resource aggregations should be treated under an RTO</w:t>
      </w:r>
      <w:r w:rsidR="00467A41">
        <w:t>’s</w:t>
      </w:r>
      <w:r>
        <w:t xml:space="preserve">/ISO’s participation model.  </w:t>
      </w:r>
      <w:r w:rsidR="00C57001">
        <w:t>Some co</w:t>
      </w:r>
      <w:r w:rsidRPr="00A50DBE" w:rsidR="00CB7468">
        <w:t xml:space="preserve">mmenters suggest that </w:t>
      </w:r>
      <w:r w:rsidR="0006427C">
        <w:t>when acting as a generator,</w:t>
      </w:r>
      <w:r w:rsidRPr="00A50DBE" w:rsidR="00CB7468">
        <w:t xml:space="preserve"> </w:t>
      </w:r>
      <w:r w:rsidR="00CB7468">
        <w:t xml:space="preserve">distributed energy </w:t>
      </w:r>
      <w:r w:rsidRPr="00A50DBE" w:rsidR="00CB7468">
        <w:t xml:space="preserve">resource </w:t>
      </w:r>
      <w:r w:rsidR="00185641">
        <w:t>aggregations</w:t>
      </w:r>
      <w:r w:rsidRPr="00A50DBE" w:rsidR="00CB7468">
        <w:t xml:space="preserve"> should be treated like any generator.</w:t>
      </w:r>
      <w:r w:rsidRPr="00367C29" w:rsidR="00CB7468">
        <w:rPr>
          <w:rStyle w:val="FootnoteReference"/>
        </w:rPr>
        <w:footnoteReference w:id="289"/>
      </w:r>
      <w:r w:rsidRPr="00A50DBE" w:rsidR="00CB7468">
        <w:t xml:space="preserve">  Other</w:t>
      </w:r>
      <w:r w:rsidR="006725D5">
        <w:t xml:space="preserve"> commenter</w:t>
      </w:r>
      <w:r w:rsidRPr="00A50DBE" w:rsidR="00CB7468">
        <w:t xml:space="preserve">s focus on the need for clarity around what </w:t>
      </w:r>
      <w:r w:rsidR="00D9037C">
        <w:t xml:space="preserve">services </w:t>
      </w:r>
      <w:r w:rsidR="00CB7468">
        <w:t>distributed energy resource</w:t>
      </w:r>
      <w:r w:rsidR="00EB24D2">
        <w:t>s</w:t>
      </w:r>
      <w:r w:rsidRPr="00A50DBE" w:rsidR="00CB7468">
        <w:t xml:space="preserve"> will be allowed to </w:t>
      </w:r>
      <w:r w:rsidR="00D9037C">
        <w:t xml:space="preserve">provide </w:t>
      </w:r>
      <w:r w:rsidRPr="00A50DBE" w:rsidR="00CB7468">
        <w:t>and how they can be aggregated.</w:t>
      </w:r>
      <w:r w:rsidRPr="00367C29" w:rsidR="00CB7468">
        <w:rPr>
          <w:rStyle w:val="FootnoteReference"/>
        </w:rPr>
        <w:footnoteReference w:id="290"/>
      </w:r>
      <w:r w:rsidRPr="00A50DBE" w:rsidR="00CB7468">
        <w:t xml:space="preserve"> </w:t>
      </w:r>
      <w:r w:rsidR="00A1587C">
        <w:t xml:space="preserve"> </w:t>
      </w:r>
      <w:r w:rsidR="008111CA">
        <w:t xml:space="preserve">For example, </w:t>
      </w:r>
      <w:r w:rsidRPr="00B625CB" w:rsidR="008111CA">
        <w:rPr>
          <w:rFonts w:eastAsia="Calibri"/>
        </w:rPr>
        <w:t>Xcel Energy Services contends that distributed energy resources will likely not have firm transmission service and may not be able to deliver services to the system that depend on firm transmission such as capacity or black start capability.</w:t>
      </w:r>
      <w:r w:rsidRPr="00550B44" w:rsidR="008111CA">
        <w:rPr>
          <w:rStyle w:val="FootnoteReference"/>
        </w:rPr>
        <w:footnoteReference w:id="291"/>
      </w:r>
      <w:r w:rsidRPr="00B625CB" w:rsidR="008111CA">
        <w:rPr>
          <w:rFonts w:eastAsia="Calibri"/>
        </w:rPr>
        <w:t xml:space="preserve">  </w:t>
      </w:r>
      <w:r w:rsidR="00CB7468">
        <w:rPr>
          <w:rFonts w:eastAsia="Cambria"/>
        </w:rPr>
        <w:t>Some c</w:t>
      </w:r>
      <w:r w:rsidRPr="008C7F91" w:rsidR="00CB7468">
        <w:rPr>
          <w:rFonts w:eastAsia="Cambria"/>
        </w:rPr>
        <w:t xml:space="preserve">ommenters argue that an aggregation of distributed energy resources should be treated as a single resource by the wholesale market operator, noting </w:t>
      </w:r>
      <w:r w:rsidR="005673F9">
        <w:rPr>
          <w:rFonts w:eastAsia="Cambria"/>
        </w:rPr>
        <w:t xml:space="preserve">that </w:t>
      </w:r>
      <w:r w:rsidRPr="008C7F91" w:rsidR="00CB7468">
        <w:rPr>
          <w:rFonts w:eastAsia="Cambria"/>
        </w:rPr>
        <w:t>this would reduce barriers and may improve performance.</w:t>
      </w:r>
      <w:r w:rsidRPr="00367C29" w:rsidR="00CB7468">
        <w:rPr>
          <w:rStyle w:val="FootnoteReference"/>
        </w:rPr>
        <w:footnoteReference w:id="292"/>
      </w:r>
      <w:r w:rsidRPr="008C7F91" w:rsidR="00CB7468">
        <w:rPr>
          <w:rFonts w:eastAsia="Cambria"/>
        </w:rPr>
        <w:t xml:space="preserve"> </w:t>
      </w:r>
      <w:r w:rsidR="00CB7468">
        <w:rPr>
          <w:rFonts w:eastAsia="Cambria"/>
        </w:rPr>
        <w:t xml:space="preserve"> </w:t>
      </w:r>
      <w:r w:rsidRPr="008C7F91" w:rsidR="00CB7468">
        <w:rPr>
          <w:rFonts w:eastAsia="Cambria"/>
        </w:rPr>
        <w:t xml:space="preserve">Other </w:t>
      </w:r>
      <w:r w:rsidR="006725D5">
        <w:rPr>
          <w:rFonts w:eastAsia="Cambria"/>
        </w:rPr>
        <w:t>commenters</w:t>
      </w:r>
      <w:r w:rsidRPr="008C7F91" w:rsidR="00CB7468">
        <w:rPr>
          <w:rFonts w:eastAsia="Cambria"/>
        </w:rPr>
        <w:t xml:space="preserve"> similarly support the ability of an aggregator to transact directly </w:t>
      </w:r>
      <w:r w:rsidR="00CB7468">
        <w:rPr>
          <w:rFonts w:eastAsia="Cambria"/>
        </w:rPr>
        <w:t>in</w:t>
      </w:r>
      <w:r w:rsidRPr="008C7F91" w:rsidR="00CB7468">
        <w:rPr>
          <w:rFonts w:eastAsia="Cambria"/>
        </w:rPr>
        <w:t xml:space="preserve"> the wholesale market without a </w:t>
      </w:r>
      <w:r w:rsidR="005673F9">
        <w:rPr>
          <w:rFonts w:eastAsia="Cambria"/>
        </w:rPr>
        <w:t>load serving entity or electric distribution company</w:t>
      </w:r>
      <w:r w:rsidRPr="008C7F91" w:rsidR="00CB7468">
        <w:rPr>
          <w:rFonts w:eastAsia="Cambria"/>
        </w:rPr>
        <w:t xml:space="preserve"> as agent.</w:t>
      </w:r>
      <w:r w:rsidRPr="00367C29" w:rsidR="00CB7468">
        <w:rPr>
          <w:rStyle w:val="FootnoteReference"/>
        </w:rPr>
        <w:footnoteReference w:id="293"/>
      </w:r>
      <w:r w:rsidRPr="008C7F91" w:rsidR="00CB7468">
        <w:rPr>
          <w:rFonts w:eastAsia="Cambria"/>
        </w:rPr>
        <w:t xml:space="preserve">  </w:t>
      </w:r>
    </w:p>
    <w:p w:rsidRPr="00EE5027" w:rsidR="00C516CD" w:rsidP="00C403FF" w:rsidRDefault="00CB7468" w14:paraId="369763A4" w14:textId="35A71445">
      <w:pPr>
        <w:pStyle w:val="FERCparanumber"/>
      </w:pPr>
      <w:r w:rsidRPr="00A50DBE">
        <w:t xml:space="preserve">Some commenters posit that the </w:t>
      </w:r>
      <w:r w:rsidR="002E01B4">
        <w:t xml:space="preserve">Commission should allow the distributed energy resource aggregator to determine the </w:t>
      </w:r>
      <w:r w:rsidRPr="00A50DBE">
        <w:t xml:space="preserve">participation model for </w:t>
      </w:r>
      <w:r>
        <w:t>distributed energy resource</w:t>
      </w:r>
      <w:r w:rsidRPr="00A50DBE">
        <w:t xml:space="preserve"> aggregation</w:t>
      </w:r>
      <w:r w:rsidR="005673F9">
        <w:t>s</w:t>
      </w:r>
      <w:r w:rsidRPr="00A50DBE">
        <w:t xml:space="preserve"> </w:t>
      </w:r>
      <w:r w:rsidR="005673F9">
        <w:t>based on</w:t>
      </w:r>
      <w:r w:rsidRPr="00A50DBE">
        <w:t xml:space="preserve"> the characteristics of the aggregation as a whole, even if it includes diverse technologies,</w:t>
      </w:r>
      <w:r w:rsidRPr="00367C29">
        <w:rPr>
          <w:rStyle w:val="FootnoteReference"/>
        </w:rPr>
        <w:footnoteReference w:id="294"/>
      </w:r>
      <w:r w:rsidRPr="00A50DBE">
        <w:t xml:space="preserve"> and that aggregators should be able to define the capabilities of </w:t>
      </w:r>
      <w:r w:rsidR="00EB5244">
        <w:t>the</w:t>
      </w:r>
      <w:r w:rsidRPr="00A50DBE" w:rsidR="00EB5244">
        <w:t xml:space="preserve"> </w:t>
      </w:r>
      <w:r w:rsidRPr="00A50DBE">
        <w:t>resources</w:t>
      </w:r>
      <w:r w:rsidR="00EB5244">
        <w:t xml:space="preserve"> in their aggregations</w:t>
      </w:r>
      <w:r w:rsidRPr="00A50DBE">
        <w:t>.</w:t>
      </w:r>
      <w:r w:rsidRPr="00367C29">
        <w:rPr>
          <w:rStyle w:val="FootnoteReference"/>
        </w:rPr>
        <w:footnoteReference w:id="295"/>
      </w:r>
      <w:r w:rsidRPr="00A50DBE">
        <w:t xml:space="preserve"> </w:t>
      </w:r>
      <w:r>
        <w:t xml:space="preserve"> </w:t>
      </w:r>
      <w:r w:rsidRPr="00A50DBE">
        <w:t>Some commenters stress the importance of allowing diverse technologies (e.g.</w:t>
      </w:r>
      <w:r w:rsidR="00211A61">
        <w:t>,</w:t>
      </w:r>
      <w:r w:rsidRPr="00A50DBE">
        <w:t xml:space="preserve"> solar, storage</w:t>
      </w:r>
      <w:r w:rsidR="00C57001">
        <w:t>,</w:t>
      </w:r>
      <w:r w:rsidRPr="00A50DBE">
        <w:t xml:space="preserve"> and demand response)</w:t>
      </w:r>
      <w:r w:rsidRPr="00367C29">
        <w:rPr>
          <w:rStyle w:val="FootnoteReference"/>
        </w:rPr>
        <w:footnoteReference w:id="296"/>
      </w:r>
      <w:r w:rsidRPr="00A50DBE">
        <w:t xml:space="preserve"> to be in the same aggregation, while others argue that entities that own multiple </w:t>
      </w:r>
      <w:r>
        <w:t>distributed energy resources</w:t>
      </w:r>
      <w:r w:rsidRPr="00A50DBE">
        <w:t xml:space="preserve"> should be allowed to participate in more than one aggregation.</w:t>
      </w:r>
      <w:r w:rsidRPr="00367C29">
        <w:rPr>
          <w:rStyle w:val="FootnoteReference"/>
        </w:rPr>
        <w:footnoteReference w:id="297"/>
      </w:r>
      <w:r w:rsidR="0051771F">
        <w:t xml:space="preserve">  </w:t>
      </w:r>
      <w:r w:rsidRPr="0051771F" w:rsidR="0051771F">
        <w:t>Stem asserts that, if behind-the-meter resources are directed to an existing participation model, then the Commission should require a detailed review to show that the existing model does not discriminate against the capabilities of new resources.</w:t>
      </w:r>
      <w:r w:rsidRPr="0051771F" w:rsidR="0051771F">
        <w:rPr>
          <w:b/>
          <w:vertAlign w:val="superscript"/>
        </w:rPr>
        <w:footnoteReference w:id="298"/>
      </w:r>
      <w:r w:rsidRPr="0051771F" w:rsidR="0051771F">
        <w:t xml:space="preserve">  </w:t>
      </w:r>
    </w:p>
    <w:p w:rsidRPr="00C9354A" w:rsidR="009667BC" w:rsidP="00C403FF" w:rsidRDefault="00CB7468" w14:paraId="06157CDE" w14:textId="77777777">
      <w:pPr>
        <w:pStyle w:val="FERCparanumber"/>
        <w:rPr>
          <w:b/>
        </w:rPr>
      </w:pPr>
      <w:r w:rsidRPr="007756B2" w:rsidDel="006B7F31">
        <w:t>Advanced Energy Management states that</w:t>
      </w:r>
      <w:r w:rsidR="007C2805">
        <w:t>,</w:t>
      </w:r>
      <w:r w:rsidRPr="007756B2" w:rsidDel="006B7F31">
        <w:t xml:space="preserve"> if an end-use customer is capable of curtailing load and discharging a battery located behind </w:t>
      </w:r>
      <w:r w:rsidR="00C57001">
        <w:t>its</w:t>
      </w:r>
      <w:r w:rsidRPr="007756B2" w:rsidDel="006B7F31">
        <w:t xml:space="preserve"> meter, it </w:t>
      </w:r>
      <w:r w:rsidDel="006B7F31">
        <w:t>is</w:t>
      </w:r>
      <w:r w:rsidRPr="007756B2" w:rsidDel="006B7F31">
        <w:t xml:space="preserve"> unclear </w:t>
      </w:r>
      <w:r w:rsidDel="006B7F31">
        <w:t>whether</w:t>
      </w:r>
      <w:r w:rsidRPr="007756B2" w:rsidDel="006B7F31">
        <w:t xml:space="preserve"> the customer’s distributed energy resource aggregator could aggregate both the storage and load curtailment into the same resource.  Advanced Energy Management also states that it would be inefficient to have the same customer participat</w:t>
      </w:r>
      <w:r w:rsidR="001055EA">
        <w:t>e</w:t>
      </w:r>
      <w:r w:rsidRPr="007756B2" w:rsidDel="006B7F31">
        <w:t xml:space="preserve"> as part of two different resources or through two unnecessarily separate participation models.</w:t>
      </w:r>
      <w:r w:rsidRPr="00367C29" w:rsidDel="006B7F31">
        <w:rPr>
          <w:rStyle w:val="FootnoteReference"/>
        </w:rPr>
        <w:footnoteReference w:id="299"/>
      </w:r>
      <w:r w:rsidR="00B00BF1">
        <w:t xml:space="preserve">  </w:t>
      </w:r>
      <w:r w:rsidRPr="00A50DBE" w:rsidR="00B00BF1">
        <w:t xml:space="preserve">MISO </w:t>
      </w:r>
      <w:r w:rsidR="00B00BF1">
        <w:t xml:space="preserve">Transmission Owners </w:t>
      </w:r>
      <w:r w:rsidRPr="00A50DBE" w:rsidR="00B00BF1">
        <w:t xml:space="preserve">request clarity on the interplay between </w:t>
      </w:r>
      <w:r w:rsidRPr="00D8566D" w:rsidR="00B00BF1">
        <w:t>the</w:t>
      </w:r>
      <w:r w:rsidRPr="00A50DBE" w:rsidR="00B00BF1">
        <w:t xml:space="preserve"> </w:t>
      </w:r>
      <w:r w:rsidR="00D8566D">
        <w:t xml:space="preserve">rules that apply to </w:t>
      </w:r>
      <w:r w:rsidRPr="00A50DBE" w:rsidR="00B00BF1">
        <w:t xml:space="preserve">storage and </w:t>
      </w:r>
      <w:r w:rsidR="00D8566D">
        <w:t xml:space="preserve">the rules that apply to </w:t>
      </w:r>
      <w:r w:rsidR="00B00BF1">
        <w:t>distributed energy resource</w:t>
      </w:r>
      <w:r w:rsidR="00D8566D">
        <w:t>s,</w:t>
      </w:r>
      <w:r w:rsidRPr="00A50DBE" w:rsidR="00B00BF1">
        <w:t xml:space="preserve"> noting that some resources may fall into both categories, and any </w:t>
      </w:r>
      <w:r w:rsidR="00D8566D">
        <w:t xml:space="preserve">potential </w:t>
      </w:r>
      <w:r w:rsidRPr="00A50DBE" w:rsidR="00B00BF1">
        <w:t>conflicts should be resolved.</w:t>
      </w:r>
      <w:r w:rsidR="00D8566D">
        <w:t xml:space="preserve">  For example, MISO Transmission Owners seek clarity on whether an aggregator of electric vehicles is considered storage or a distributed energy resource aggregator, or both.</w:t>
      </w:r>
      <w:r w:rsidRPr="00367C29" w:rsidR="00D8566D">
        <w:rPr>
          <w:rStyle w:val="FootnoteReference"/>
        </w:rPr>
        <w:footnoteReference w:id="300"/>
      </w:r>
      <w:r w:rsidR="00C516CD">
        <w:t xml:space="preserve">  </w:t>
      </w:r>
    </w:p>
    <w:p w:rsidRPr="00C640A5" w:rsidR="00CB7468" w:rsidP="00C403FF" w:rsidRDefault="009667BC" w14:paraId="70D4C892" w14:textId="27BF8023">
      <w:pPr>
        <w:pStyle w:val="FERCparanumber"/>
        <w:rPr>
          <w:b/>
        </w:rPr>
      </w:pPr>
      <w:r>
        <w:t>Microgrid Resources Coalition argues that RTOs/ISOs should allow aggregators to bid their resources together or separately as demand response and delivered power.</w:t>
      </w:r>
      <w:r w:rsidRPr="00367C29">
        <w:rPr>
          <w:rStyle w:val="FootnoteReference"/>
        </w:rPr>
        <w:footnoteReference w:id="301"/>
      </w:r>
      <w:r>
        <w:t xml:space="preserve">  </w:t>
      </w:r>
      <w:r w:rsidRPr="00A50DBE">
        <w:t xml:space="preserve">Energy Storage Association also argues that </w:t>
      </w:r>
      <w:r>
        <w:t>any</w:t>
      </w:r>
      <w:r w:rsidRPr="00A50DBE">
        <w:t xml:space="preserve"> </w:t>
      </w:r>
      <w:r>
        <w:t>final</w:t>
      </w:r>
      <w:r w:rsidRPr="00A50DBE">
        <w:t xml:space="preserve"> rule should account for </w:t>
      </w:r>
      <w:r>
        <w:t>distributed energy resources’</w:t>
      </w:r>
      <w:r w:rsidRPr="00A50DBE">
        <w:t xml:space="preserve"> provision of bi-directional services,</w:t>
      </w:r>
      <w:r w:rsidRPr="00D457DD">
        <w:rPr>
          <w:rStyle w:val="FootnoteReference"/>
        </w:rPr>
        <w:footnoteReference w:id="302"/>
      </w:r>
      <w:r w:rsidRPr="00A50DBE">
        <w:t xml:space="preserve"> and Icetec asserts that a participation model should allow sites that mix load reductions and </w:t>
      </w:r>
      <w:r>
        <w:t>distributed energy resource</w:t>
      </w:r>
      <w:r w:rsidRPr="00A50DBE">
        <w:t>s to offer their combined capacity as a single market resource.</w:t>
      </w:r>
      <w:r w:rsidRPr="00D457DD">
        <w:rPr>
          <w:rStyle w:val="FootnoteReference"/>
        </w:rPr>
        <w:footnoteReference w:id="303"/>
      </w:r>
      <w:r>
        <w:t xml:space="preserve">  </w:t>
      </w:r>
      <w:r w:rsidRPr="00641833" w:rsidR="00CB7468">
        <w:t xml:space="preserve">Microgrid Resources Coalition also argues that distributed energy resource aggregations, particularly microgrids, do not fit neatly into existing participation models or the new </w:t>
      </w:r>
      <w:r w:rsidR="007C2805">
        <w:t>participation</w:t>
      </w:r>
      <w:r w:rsidRPr="00641833" w:rsidR="00CB7468">
        <w:t xml:space="preserve"> model </w:t>
      </w:r>
      <w:r w:rsidR="007C2805">
        <w:t xml:space="preserve">for </w:t>
      </w:r>
      <w:r w:rsidR="00CD0BB7">
        <w:t xml:space="preserve">electric </w:t>
      </w:r>
      <w:r w:rsidR="007C2805">
        <w:t>storage resources</w:t>
      </w:r>
      <w:r w:rsidRPr="00641833" w:rsidR="00CB7468">
        <w:t xml:space="preserve"> proposed in the NOPR.</w:t>
      </w:r>
      <w:r w:rsidRPr="00550B44" w:rsidR="00CB7468">
        <w:rPr>
          <w:rStyle w:val="FootnoteReference"/>
        </w:rPr>
        <w:footnoteReference w:id="304"/>
      </w:r>
      <w:r w:rsidRPr="00641833" w:rsidR="00CB7468">
        <w:t xml:space="preserve">  </w:t>
      </w:r>
    </w:p>
    <w:p w:rsidRPr="00641833" w:rsidR="00CB7468" w:rsidP="006801A0" w:rsidRDefault="00CB7468" w14:paraId="4CB808AC" w14:textId="462BD8F2">
      <w:pPr>
        <w:pStyle w:val="FERCparanumber"/>
      </w:pPr>
      <w:r>
        <w:t xml:space="preserve">Other commenters recommend that </w:t>
      </w:r>
      <w:r w:rsidR="00395728">
        <w:t xml:space="preserve">the Commission require the RTOs/ISOs to incorporate </w:t>
      </w:r>
      <w:r w:rsidR="00514A5E">
        <w:t>sufficient flexibility</w:t>
      </w:r>
      <w:r>
        <w:t xml:space="preserve"> in</w:t>
      </w:r>
      <w:r w:rsidR="00395728">
        <w:t>to t</w:t>
      </w:r>
      <w:r w:rsidR="003713AC">
        <w:t>h</w:t>
      </w:r>
      <w:r w:rsidR="00395728">
        <w:t>eir</w:t>
      </w:r>
      <w:r>
        <w:t xml:space="preserve"> participation models.  </w:t>
      </w:r>
      <w:r w:rsidR="00A46723">
        <w:t>Public Interest Organizations suggest that</w:t>
      </w:r>
      <w:r w:rsidR="005C60F8">
        <w:t>, in order to take advantage of distributed energy resources’ ability to absorb excess electricity, shift load, and reinject electricity onto the grid at peak times,</w:t>
      </w:r>
      <w:r w:rsidR="00A46723">
        <w:t xml:space="preserve"> participation model</w:t>
      </w:r>
      <w:r w:rsidR="005C60F8">
        <w:t>s</w:t>
      </w:r>
      <w:r w:rsidR="00A46723">
        <w:t xml:space="preserve"> should</w:t>
      </w:r>
      <w:r>
        <w:t xml:space="preserve"> </w:t>
      </w:r>
      <w:r w:rsidR="005C60F8">
        <w:t>be flexible and enable resources to act</w:t>
      </w:r>
      <w:r w:rsidR="005C60F8">
        <w:rPr>
          <w:color w:val="000000"/>
        </w:rPr>
        <w:t xml:space="preserve"> as demand-side resources and</w:t>
      </w:r>
      <w:r w:rsidRPr="008D273B">
        <w:rPr>
          <w:color w:val="000000"/>
        </w:rPr>
        <w:t>/or as generation</w:t>
      </w:r>
      <w:r w:rsidR="005C60F8">
        <w:rPr>
          <w:color w:val="000000"/>
        </w:rPr>
        <w:t xml:space="preserve"> and should not require resources to </w:t>
      </w:r>
      <w:r w:rsidRPr="008D273B">
        <w:rPr>
          <w:color w:val="000000"/>
        </w:rPr>
        <w:t>choose one participation model exclusively.</w:t>
      </w:r>
      <w:r w:rsidR="003441EA">
        <w:rPr>
          <w:rStyle w:val="FootnoteReference"/>
          <w:color w:val="000000"/>
        </w:rPr>
        <w:footnoteReference w:id="305"/>
      </w:r>
      <w:r w:rsidRPr="008D273B">
        <w:rPr>
          <w:color w:val="000000"/>
        </w:rPr>
        <w:t xml:space="preserve">  </w:t>
      </w:r>
      <w:r>
        <w:rPr>
          <w:color w:val="000000"/>
        </w:rPr>
        <w:t xml:space="preserve">Efficient Holdings similarly </w:t>
      </w:r>
      <w:r w:rsidRPr="00641833">
        <w:t xml:space="preserve">contends that participation models </w:t>
      </w:r>
      <w:r>
        <w:t xml:space="preserve">should not </w:t>
      </w:r>
      <w:r w:rsidRPr="00641833">
        <w:t xml:space="preserve">force </w:t>
      </w:r>
      <w:r>
        <w:t xml:space="preserve">distributed energy </w:t>
      </w:r>
      <w:r w:rsidRPr="00641833">
        <w:t>resources to choose between individual categories of services to offer into the market at any given time.</w:t>
      </w:r>
      <w:r w:rsidRPr="00550B44">
        <w:rPr>
          <w:rStyle w:val="FootnoteReference"/>
        </w:rPr>
        <w:footnoteReference w:id="306"/>
      </w:r>
      <w:r w:rsidRPr="00641833">
        <w:t xml:space="preserve">  </w:t>
      </w:r>
      <w:r w:rsidRPr="00641833" w:rsidR="009111BA">
        <w:t xml:space="preserve">NYISO Indicated Transmission Owners </w:t>
      </w:r>
      <w:r w:rsidR="009111BA">
        <w:t xml:space="preserve">request that </w:t>
      </w:r>
      <w:r w:rsidRPr="00641833" w:rsidR="009111BA">
        <w:t>energy-only distributed energy resource aggregations</w:t>
      </w:r>
      <w:r w:rsidR="009111BA">
        <w:t xml:space="preserve"> be allowed in the distributed energy resource participation model,</w:t>
      </w:r>
      <w:r w:rsidRPr="00641833" w:rsidR="009111BA">
        <w:t xml:space="preserve"> </w:t>
      </w:r>
      <w:r w:rsidR="009111BA">
        <w:t>and</w:t>
      </w:r>
      <w:r w:rsidRPr="00641833" w:rsidR="009111BA">
        <w:t xml:space="preserve"> consistent with existing practice for other energy-only resources, should not be required to offer in the day-ahead market and should be permitted in both the day-ahead and real-time markets.</w:t>
      </w:r>
      <w:r w:rsidRPr="00550B44" w:rsidR="009111BA">
        <w:rPr>
          <w:rStyle w:val="FootnoteReference"/>
        </w:rPr>
        <w:footnoteReference w:id="307"/>
      </w:r>
      <w:r w:rsidRPr="00641833" w:rsidR="009111BA">
        <w:t xml:space="preserve">  </w:t>
      </w:r>
      <w:r w:rsidRPr="002628B2" w:rsidR="002628B2">
        <w:t>NYISO also asks the Commission to permit regional flexibility that would allow NYISO to create rules and market designs that meet its needs while meeting the Commission’s desire to integrate distributed energy resources into the wholesale energy, ancillary service, and capacity markets.</w:t>
      </w:r>
      <w:r w:rsidRPr="002628B2" w:rsidR="002628B2">
        <w:rPr>
          <w:b/>
          <w:vertAlign w:val="superscript"/>
        </w:rPr>
        <w:footnoteReference w:id="308"/>
      </w:r>
    </w:p>
    <w:p w:rsidRPr="00DA5DDF" w:rsidR="00CB7468" w:rsidP="00661616" w:rsidRDefault="00CB7468" w14:paraId="21E6B127" w14:textId="37D772C1">
      <w:pPr>
        <w:pStyle w:val="FERCparanumber"/>
      </w:pPr>
      <w:r w:rsidRPr="00641833">
        <w:t>New York State Entities ask the Commission to grant RTOs/ISOs the flexibility to devise participation models that reflect market conditions and ongoing initiatives such as those described in NYISO’s D</w:t>
      </w:r>
      <w:r w:rsidR="00BE71BD">
        <w:t>istributed Energy Resource</w:t>
      </w:r>
      <w:r w:rsidRPr="00641833">
        <w:t xml:space="preserve"> Roadmap.</w:t>
      </w:r>
      <w:r w:rsidRPr="00550B44">
        <w:rPr>
          <w:rStyle w:val="FootnoteReference"/>
        </w:rPr>
        <w:footnoteReference w:id="309"/>
      </w:r>
      <w:r w:rsidRPr="00641833">
        <w:t xml:space="preserve">  New York State Entities highlight that NYISO is attempting to harmonize the developing wholesale market enhancements with the complementary retail programs emerging from </w:t>
      </w:r>
      <w:r w:rsidR="00BE71BD">
        <w:t>New York’s</w:t>
      </w:r>
      <w:r w:rsidRPr="00641833">
        <w:t xml:space="preserve"> </w:t>
      </w:r>
      <w:r w:rsidR="00BE71BD">
        <w:t>Reforming the Energy Vision</w:t>
      </w:r>
      <w:r w:rsidRPr="00641833">
        <w:t xml:space="preserve"> initiative.</w:t>
      </w:r>
      <w:r w:rsidRPr="00550B44">
        <w:rPr>
          <w:rStyle w:val="FootnoteReference"/>
        </w:rPr>
        <w:footnoteReference w:id="310"/>
      </w:r>
    </w:p>
    <w:p w:rsidR="00952A12" w:rsidP="00CB7468" w:rsidRDefault="00CB7468" w14:paraId="3EDF7A70" w14:textId="00ABA66F">
      <w:pPr>
        <w:pStyle w:val="FERCparanumber"/>
      </w:pPr>
      <w:r>
        <w:t>Some c</w:t>
      </w:r>
      <w:r w:rsidRPr="00A50DBE">
        <w:t xml:space="preserve">ommenters note that </w:t>
      </w:r>
      <w:r w:rsidR="00F71711">
        <w:t xml:space="preserve">the RTOs/ISOs need </w:t>
      </w:r>
      <w:r w:rsidRPr="00A50DBE">
        <w:t xml:space="preserve">new and revised market rules </w:t>
      </w:r>
      <w:r w:rsidR="00F71711">
        <w:t xml:space="preserve">to </w:t>
      </w:r>
      <w:r w:rsidR="00D96AF5">
        <w:t>incorporate distributed energy resources</w:t>
      </w:r>
      <w:r w:rsidRPr="00A50DBE">
        <w:t>, but not necessarily a new participation model</w:t>
      </w:r>
      <w:r>
        <w:t>.</w:t>
      </w:r>
      <w:r w:rsidRPr="00367C29">
        <w:rPr>
          <w:rStyle w:val="FootnoteReference"/>
        </w:rPr>
        <w:footnoteReference w:id="311"/>
      </w:r>
      <w:r w:rsidRPr="00A50DBE">
        <w:t xml:space="preserve"> </w:t>
      </w:r>
      <w:r w:rsidR="00FB1189">
        <w:t xml:space="preserve"> </w:t>
      </w:r>
      <w:r w:rsidRPr="00A50DBE">
        <w:t xml:space="preserve">ISO-NE argues </w:t>
      </w:r>
      <w:r w:rsidR="00BE71BD">
        <w:t xml:space="preserve">that </w:t>
      </w:r>
      <w:r w:rsidRPr="00A50DBE">
        <w:t xml:space="preserve">a new participation model would be costly and disruptive and create no additional value because </w:t>
      </w:r>
      <w:r>
        <w:t>distributed energy resource</w:t>
      </w:r>
      <w:r w:rsidRPr="00A50DBE">
        <w:t xml:space="preserve">s </w:t>
      </w:r>
      <w:r w:rsidR="006D7FAB">
        <w:t>can</w:t>
      </w:r>
      <w:r w:rsidRPr="00A50DBE">
        <w:t xml:space="preserve"> monetize their value to the grid</w:t>
      </w:r>
      <w:r w:rsidR="006D7FAB">
        <w:t xml:space="preserve"> through several existing avenues</w:t>
      </w:r>
      <w:r w:rsidRPr="00A50DBE">
        <w:t>.</w:t>
      </w:r>
      <w:r w:rsidRPr="00367C29">
        <w:rPr>
          <w:rStyle w:val="FootnoteReference"/>
        </w:rPr>
        <w:footnoteReference w:id="312"/>
      </w:r>
      <w:r w:rsidRPr="00A50DBE">
        <w:t xml:space="preserve"> </w:t>
      </w:r>
      <w:r>
        <w:t xml:space="preserve"> </w:t>
      </w:r>
      <w:r w:rsidRPr="00A50DBE" w:rsidR="008A018E">
        <w:t xml:space="preserve">  </w:t>
      </w:r>
    </w:p>
    <w:p w:rsidRPr="00A50DBE" w:rsidR="00523E88" w:rsidP="00523E88" w:rsidRDefault="00CB7468" w14:paraId="694495F2" w14:textId="389EECCB">
      <w:pPr>
        <w:pStyle w:val="FERCparanumber"/>
      </w:pPr>
      <w:r w:rsidRPr="00A50DBE">
        <w:t>A</w:t>
      </w:r>
      <w:r>
        <w:t xml:space="preserve">dvanced Energy </w:t>
      </w:r>
      <w:r w:rsidRPr="00A50DBE">
        <w:t>M</w:t>
      </w:r>
      <w:r>
        <w:t>anagement</w:t>
      </w:r>
      <w:r w:rsidRPr="00A50DBE">
        <w:t xml:space="preserve"> argues that </w:t>
      </w:r>
      <w:r w:rsidR="003E35CA">
        <w:t>a</w:t>
      </w:r>
      <w:r w:rsidRPr="00A50DBE">
        <w:t xml:space="preserve"> </w:t>
      </w:r>
      <w:r w:rsidR="001C19E3">
        <w:t>f</w:t>
      </w:r>
      <w:r w:rsidR="00353916">
        <w:t xml:space="preserve">inal </w:t>
      </w:r>
      <w:r w:rsidR="001C19E3">
        <w:t>r</w:t>
      </w:r>
      <w:r w:rsidR="00353916">
        <w:t>ule</w:t>
      </w:r>
      <w:r w:rsidRPr="00A50DBE">
        <w:t xml:space="preserve"> should not require </w:t>
      </w:r>
      <w:r w:rsidR="00B41EB9">
        <w:t xml:space="preserve">RTOs/ISOs to </w:t>
      </w:r>
      <w:r w:rsidRPr="00A50DBE">
        <w:t>replace</w:t>
      </w:r>
      <w:r w:rsidR="00B41EB9">
        <w:t xml:space="preserve"> their</w:t>
      </w:r>
      <w:r w:rsidRPr="00A50DBE">
        <w:t xml:space="preserve"> existing programs, such as </w:t>
      </w:r>
      <w:r w:rsidR="00C03AD5">
        <w:t>demand response</w:t>
      </w:r>
      <w:r w:rsidRPr="00A50DBE">
        <w:t xml:space="preserve"> programs.</w:t>
      </w:r>
      <w:r w:rsidRPr="00367C29">
        <w:rPr>
          <w:rStyle w:val="FootnoteReference"/>
        </w:rPr>
        <w:footnoteReference w:id="313"/>
      </w:r>
      <w:r w:rsidRPr="00A50DBE">
        <w:t xml:space="preserve">  Icetec argues</w:t>
      </w:r>
      <w:r w:rsidR="00C03AD5">
        <w:t>, however,</w:t>
      </w:r>
      <w:r w:rsidRPr="00A50DBE">
        <w:t xml:space="preserve"> </w:t>
      </w:r>
      <w:r w:rsidR="00C03AD5">
        <w:t xml:space="preserve">that </w:t>
      </w:r>
      <w:r w:rsidRPr="00A50DBE">
        <w:t xml:space="preserve">existing </w:t>
      </w:r>
      <w:r w:rsidR="00586486">
        <w:t>“</w:t>
      </w:r>
      <w:r>
        <w:t xml:space="preserve">interconnected </w:t>
      </w:r>
      <w:r w:rsidRPr="00A50DBE">
        <w:t>generat</w:t>
      </w:r>
      <w:r>
        <w:t>ion</w:t>
      </w:r>
      <w:r w:rsidR="00B32787">
        <w:t>”</w:t>
      </w:r>
      <w:r w:rsidRPr="00A50DBE" w:rsidDel="00B32787">
        <w:t xml:space="preserve"> </w:t>
      </w:r>
      <w:r w:rsidR="00586486">
        <w:t>model</w:t>
      </w:r>
      <w:r w:rsidR="00612475">
        <w:t>s</w:t>
      </w:r>
      <w:r w:rsidRPr="00A50DBE">
        <w:t xml:space="preserve"> and </w:t>
      </w:r>
      <w:r w:rsidR="00C03AD5">
        <w:t>demand response</w:t>
      </w:r>
      <w:r w:rsidRPr="00A50DBE">
        <w:t xml:space="preserve"> models are not sufficient</w:t>
      </w:r>
      <w:r w:rsidR="00B41EB9">
        <w:t xml:space="preserve"> for </w:t>
      </w:r>
      <w:r w:rsidR="00D13829">
        <w:t>distributed energy resource participation</w:t>
      </w:r>
      <w:r w:rsidRPr="00A50DBE">
        <w:t xml:space="preserve">, </w:t>
      </w:r>
      <w:r>
        <w:t>and states</w:t>
      </w:r>
      <w:r w:rsidRPr="00A50DBE">
        <w:t xml:space="preserve"> that capacity market requirements for year-round performance in PJM prevent </w:t>
      </w:r>
      <w:r>
        <w:t>distributed energy resource</w:t>
      </w:r>
      <w:r w:rsidRPr="00A50DBE">
        <w:t>s from offering their full capacity value.</w:t>
      </w:r>
      <w:r w:rsidRPr="00367C29">
        <w:rPr>
          <w:rStyle w:val="FootnoteReference"/>
        </w:rPr>
        <w:footnoteReference w:id="314"/>
      </w:r>
      <w:r w:rsidRPr="00A50DBE">
        <w:t xml:space="preserve"> </w:t>
      </w:r>
      <w:r>
        <w:t xml:space="preserve"> </w:t>
      </w:r>
      <w:r w:rsidR="00C03AD5">
        <w:t>Tesla</w:t>
      </w:r>
      <w:r w:rsidRPr="00A50DBE">
        <w:t xml:space="preserve"> argue</w:t>
      </w:r>
      <w:r w:rsidR="00C03AD5">
        <w:t>s</w:t>
      </w:r>
      <w:r w:rsidR="009F6328">
        <w:t xml:space="preserve"> that</w:t>
      </w:r>
      <w:r w:rsidR="00C03AD5">
        <w:t>,</w:t>
      </w:r>
      <w:r w:rsidRPr="00A50DBE">
        <w:t xml:space="preserve"> regardless of model</w:t>
      </w:r>
      <w:r w:rsidR="0023739B">
        <w:t>,</w:t>
      </w:r>
      <w:r w:rsidRPr="00A50DBE">
        <w:t xml:space="preserve"> </w:t>
      </w:r>
      <w:r w:rsidR="00FB1189">
        <w:t>d</w:t>
      </w:r>
      <w:r>
        <w:t xml:space="preserve">istributed </w:t>
      </w:r>
      <w:r w:rsidR="00FB1189">
        <w:t>e</w:t>
      </w:r>
      <w:r>
        <w:t xml:space="preserve">nergy </w:t>
      </w:r>
      <w:r w:rsidR="00FB1189">
        <w:t>r</w:t>
      </w:r>
      <w:r w:rsidRPr="00A50DBE">
        <w:t>esources should receive comparable compensation.</w:t>
      </w:r>
      <w:r w:rsidRPr="00367C29">
        <w:rPr>
          <w:rStyle w:val="FootnoteReference"/>
        </w:rPr>
        <w:footnoteReference w:id="315"/>
      </w:r>
      <w:r w:rsidRPr="00A50DBE">
        <w:t xml:space="preserve"> </w:t>
      </w:r>
    </w:p>
    <w:p w:rsidR="002012C2" w:rsidP="00A64D7F" w:rsidRDefault="002012C2" w14:paraId="661993DD" w14:textId="2E73E06A">
      <w:pPr>
        <w:pStyle w:val="Heading4"/>
      </w:pPr>
      <w:bookmarkStart w:name="_bmk25" w:id="49"/>
      <w:r>
        <w:t>C</w:t>
      </w:r>
      <w:bookmarkEnd w:id="49"/>
      <w:r>
        <w:t>ommission Determination</w:t>
      </w:r>
    </w:p>
    <w:p w:rsidR="0011340D" w:rsidP="0011340D" w:rsidRDefault="002012C2" w14:paraId="20B4BD0C" w14:textId="13C18BDF">
      <w:pPr>
        <w:pStyle w:val="FERCparanumber"/>
      </w:pPr>
      <w:r>
        <w:t xml:space="preserve">In this </w:t>
      </w:r>
      <w:r w:rsidRPr="00D51270" w:rsidR="00D51270">
        <w:t>final rule</w:t>
      </w:r>
      <w:r>
        <w:t xml:space="preserve">, </w:t>
      </w:r>
      <w:r w:rsidRPr="00F16020">
        <w:t xml:space="preserve">we </w:t>
      </w:r>
      <w:r w:rsidRPr="009C3F04">
        <w:t xml:space="preserve">adopt the NOPR proposal </w:t>
      </w:r>
      <w:r>
        <w:t>to</w:t>
      </w:r>
      <w:r w:rsidRPr="009C3F04">
        <w:t xml:space="preserve"> require each RTO/ISO to have tariff provisions that allow distributed energy resource aggregations to participate directly in </w:t>
      </w:r>
      <w:r>
        <w:t>RTO/ISO</w:t>
      </w:r>
      <w:r w:rsidRPr="009C3F04">
        <w:t xml:space="preserve"> markets</w:t>
      </w:r>
      <w:r>
        <w:t xml:space="preserve">. </w:t>
      </w:r>
      <w:r w:rsidR="00A44787">
        <w:t xml:space="preserve"> </w:t>
      </w:r>
      <w:r w:rsidR="0011340D">
        <w:t>We</w:t>
      </w:r>
      <w:r w:rsidRPr="00053249" w:rsidR="0011340D">
        <w:t xml:space="preserve"> conclude that existing participation models may create barriers to the participation of </w:t>
      </w:r>
      <w:r w:rsidR="0011340D">
        <w:t>distributed energy resource</w:t>
      </w:r>
      <w:r w:rsidRPr="00053249" w:rsidR="0011340D">
        <w:t xml:space="preserve"> aggregators in </w:t>
      </w:r>
      <w:r w:rsidR="0011340D">
        <w:t>RTO/ISO</w:t>
      </w:r>
      <w:r w:rsidRPr="00053249" w:rsidR="0011340D">
        <w:t xml:space="preserve"> markets by limiting the operation of </w:t>
      </w:r>
      <w:r w:rsidR="0011340D">
        <w:t>distributed energy resource</w:t>
      </w:r>
      <w:r w:rsidRPr="00053249" w:rsidR="0011340D">
        <w:t xml:space="preserve"> aggregations and the services that they may be eligible to provide.  </w:t>
      </w:r>
    </w:p>
    <w:p w:rsidR="002012C2" w:rsidP="00C403FF" w:rsidRDefault="001941F1" w14:paraId="64F6A328" w14:textId="287A0A32">
      <w:pPr>
        <w:pStyle w:val="FERCparanumber"/>
      </w:pPr>
      <w:bookmarkStart w:name="_Hlk46216002" w:id="50"/>
      <w:r>
        <w:t>W</w:t>
      </w:r>
      <w:r w:rsidR="00A44787">
        <w:t xml:space="preserve">e </w:t>
      </w:r>
      <w:r w:rsidR="00CC490A">
        <w:t>therefore</w:t>
      </w:r>
      <w:r w:rsidR="00A44787">
        <w:t xml:space="preserve"> adopt the NOPR proposal to </w:t>
      </w:r>
      <w:r w:rsidRPr="009C3F04" w:rsidR="00A44787">
        <w:rPr>
          <w:szCs w:val="26"/>
        </w:rPr>
        <w:t xml:space="preserve">add </w:t>
      </w:r>
      <w:r w:rsidR="00F16837">
        <w:rPr>
          <w:szCs w:val="26"/>
        </w:rPr>
        <w:t>§</w:t>
      </w:r>
      <w:r w:rsidRPr="009C3F04" w:rsidR="00A44787">
        <w:rPr>
          <w:szCs w:val="26"/>
        </w:rPr>
        <w:t xml:space="preserve"> 35.28(g)(</w:t>
      </w:r>
      <w:r w:rsidR="00A44787">
        <w:rPr>
          <w:szCs w:val="26"/>
        </w:rPr>
        <w:t>1</w:t>
      </w:r>
      <w:r w:rsidR="00CD5DB1">
        <w:rPr>
          <w:szCs w:val="26"/>
        </w:rPr>
        <w:t>2</w:t>
      </w:r>
      <w:r w:rsidRPr="009C3F04" w:rsidR="00A44787">
        <w:rPr>
          <w:szCs w:val="26"/>
        </w:rPr>
        <w:t>)(i) to</w:t>
      </w:r>
      <w:r w:rsidR="00A44787">
        <w:t xml:space="preserve"> </w:t>
      </w:r>
      <w:r w:rsidRPr="009C3F04" w:rsidR="00A44787">
        <w:rPr>
          <w:szCs w:val="26"/>
        </w:rPr>
        <w:t>the Commission’s regulations</w:t>
      </w:r>
      <w:r w:rsidR="00A44787">
        <w:t xml:space="preserve"> </w:t>
      </w:r>
      <w:r w:rsidR="0011340D">
        <w:t>and require e</w:t>
      </w:r>
      <w:r w:rsidRPr="001A44B0" w:rsidR="00A44787">
        <w:t xml:space="preserve">ach </w:t>
      </w:r>
      <w:r w:rsidR="0011340D">
        <w:t>RTO/ISO to establish</w:t>
      </w:r>
      <w:r w:rsidRPr="001A44B0" w:rsidR="00A44787">
        <w:t xml:space="preserve"> distributed energy resource aggregators as a type of market participant and </w:t>
      </w:r>
      <w:r w:rsidR="0011340D">
        <w:t>to</w:t>
      </w:r>
      <w:r w:rsidRPr="001A44B0" w:rsidR="00A44787">
        <w:t xml:space="preserve"> allow distributed energy resource aggregators to register distributed energy resource aggregations under </w:t>
      </w:r>
      <w:r w:rsidR="0011340D">
        <w:t>one or more</w:t>
      </w:r>
      <w:r w:rsidRPr="001A44B0" w:rsidR="00A44787">
        <w:t xml:space="preserve"> participation mo</w:t>
      </w:r>
      <w:r w:rsidR="0011340D">
        <w:t>dels</w:t>
      </w:r>
      <w:r w:rsidRPr="001A44B0" w:rsidR="00A44787">
        <w:t xml:space="preserve"> in the</w:t>
      </w:r>
      <w:r w:rsidR="0011340D">
        <w:t xml:space="preserve"> RTO’s/ISO’s</w:t>
      </w:r>
      <w:r w:rsidRPr="001A44B0" w:rsidR="00A44787">
        <w:t xml:space="preserve"> tariff that accommodate the physical and operational characteristics of the distributed energy resource aggregation.</w:t>
      </w:r>
      <w:r w:rsidR="006B591B">
        <w:t xml:space="preserve">  </w:t>
      </w:r>
      <w:r w:rsidR="00CF51C0">
        <w:t>However, u</w:t>
      </w:r>
      <w:r w:rsidRPr="00053249" w:rsidR="002012C2">
        <w:t xml:space="preserve">pon consideration of the comments, </w:t>
      </w:r>
      <w:r w:rsidR="002012C2">
        <w:t xml:space="preserve">we modify </w:t>
      </w:r>
      <w:r w:rsidRPr="00053249" w:rsidR="002012C2">
        <w:t xml:space="preserve">the NOPR proposal </w:t>
      </w:r>
      <w:r w:rsidR="00D7700A">
        <w:t>to</w:t>
      </w:r>
      <w:r w:rsidRPr="00053249" w:rsidR="002012C2">
        <w:t xml:space="preserve"> </w:t>
      </w:r>
      <w:r w:rsidR="005C536B">
        <w:t xml:space="preserve">provide </w:t>
      </w:r>
      <w:r w:rsidRPr="00053249" w:rsidR="002012C2">
        <w:t xml:space="preserve">each RTO/ISO </w:t>
      </w:r>
      <w:r w:rsidR="005C536B">
        <w:t xml:space="preserve">with </w:t>
      </w:r>
      <w:r w:rsidRPr="00053249" w:rsidR="002012C2">
        <w:t xml:space="preserve">greater flexibility to determine how best </w:t>
      </w:r>
      <w:r w:rsidR="00CF51C0">
        <w:t xml:space="preserve">to </w:t>
      </w:r>
      <w:r w:rsidRPr="00053249" w:rsidR="002012C2">
        <w:t xml:space="preserve">revise the participation models set forth in its market rules to facilitate the participation of </w:t>
      </w:r>
      <w:r w:rsidR="002012C2">
        <w:t>distributed energy resource</w:t>
      </w:r>
      <w:r w:rsidRPr="00053249" w:rsidR="002012C2">
        <w:t xml:space="preserve"> </w:t>
      </w:r>
      <w:r w:rsidRPr="00BC2D36" w:rsidR="002012C2">
        <w:t xml:space="preserve">aggregations.  </w:t>
      </w:r>
      <w:r w:rsidRPr="00BC2D36" w:rsidR="004151EA">
        <w:t>Specifically, t</w:t>
      </w:r>
      <w:r w:rsidRPr="00BC2D36" w:rsidR="002012C2">
        <w:t xml:space="preserve">o meet the goals of the </w:t>
      </w:r>
      <w:r w:rsidRPr="00D51270" w:rsidR="00D51270">
        <w:t>final rule</w:t>
      </w:r>
      <w:r w:rsidRPr="00BC2D36" w:rsidR="002012C2">
        <w:t xml:space="preserve">, each RTO/ISO </w:t>
      </w:r>
      <w:r w:rsidRPr="00BC2D36" w:rsidR="00BA4BED">
        <w:t>can</w:t>
      </w:r>
      <w:r w:rsidRPr="00053249" w:rsidR="002012C2">
        <w:t xml:space="preserve"> comply </w:t>
      </w:r>
      <w:r w:rsidRPr="009E05D0" w:rsidR="009E05D0">
        <w:t xml:space="preserve">with the requirement to allow distributed energy resource aggregators to participate in its markets </w:t>
      </w:r>
      <w:r w:rsidRPr="00053249" w:rsidR="002012C2">
        <w:t xml:space="preserve">by modifying its </w:t>
      </w:r>
      <w:r w:rsidR="00631223">
        <w:t>existing</w:t>
      </w:r>
      <w:r w:rsidRPr="00053249" w:rsidR="00631223">
        <w:t xml:space="preserve"> </w:t>
      </w:r>
      <w:r w:rsidRPr="00053249" w:rsidR="002012C2">
        <w:t xml:space="preserve">participation models to facilitate the participation of </w:t>
      </w:r>
      <w:r w:rsidR="002012C2">
        <w:t>distributed energy resource</w:t>
      </w:r>
      <w:r w:rsidRPr="00053249" w:rsidR="002012C2">
        <w:t xml:space="preserve"> aggregations</w:t>
      </w:r>
      <w:r w:rsidR="00BA4BED">
        <w:t>,</w:t>
      </w:r>
      <w:r w:rsidRPr="00053249" w:rsidR="002012C2">
        <w:t xml:space="preserve"> </w:t>
      </w:r>
      <w:r w:rsidR="009E05D0">
        <w:t>by</w:t>
      </w:r>
      <w:r w:rsidRPr="00053249" w:rsidR="002012C2">
        <w:t xml:space="preserve"> establishing </w:t>
      </w:r>
      <w:r w:rsidR="00DD0D99">
        <w:t>one or more</w:t>
      </w:r>
      <w:r w:rsidRPr="00053249" w:rsidR="002012C2">
        <w:t xml:space="preserve"> new participation model</w:t>
      </w:r>
      <w:r w:rsidR="00195D74">
        <w:t>s</w:t>
      </w:r>
      <w:r w:rsidRPr="00053249" w:rsidR="002012C2">
        <w:t xml:space="preserve"> for </w:t>
      </w:r>
      <w:r w:rsidR="002012C2">
        <w:t>distributed energy resource</w:t>
      </w:r>
      <w:r w:rsidRPr="00053249" w:rsidR="002012C2">
        <w:t xml:space="preserve"> aggregations</w:t>
      </w:r>
      <w:r w:rsidR="007567C8">
        <w:t xml:space="preserve">, or </w:t>
      </w:r>
      <w:r w:rsidR="000E65AC">
        <w:t xml:space="preserve">by adopting a </w:t>
      </w:r>
      <w:r w:rsidR="007567C8">
        <w:t>combination of th</w:t>
      </w:r>
      <w:r w:rsidR="000E65AC">
        <w:t>os</w:t>
      </w:r>
      <w:r w:rsidR="007567C8">
        <w:t>e two approaches</w:t>
      </w:r>
      <w:r w:rsidRPr="00053249" w:rsidR="002012C2">
        <w:t xml:space="preserve">.  </w:t>
      </w:r>
      <w:r w:rsidR="00A604A1">
        <w:t xml:space="preserve">The Commission </w:t>
      </w:r>
      <w:r w:rsidRPr="002628B2" w:rsidR="002628B2">
        <w:t xml:space="preserve">will evaluate </w:t>
      </w:r>
      <w:r w:rsidR="008F2AD6">
        <w:t>each proposal</w:t>
      </w:r>
      <w:r w:rsidR="00A604A1">
        <w:t xml:space="preserve"> </w:t>
      </w:r>
      <w:r w:rsidR="00F03046">
        <w:t xml:space="preserve">submitted on compliance </w:t>
      </w:r>
      <w:r w:rsidRPr="002628B2" w:rsidR="002628B2">
        <w:t xml:space="preserve">to </w:t>
      </w:r>
      <w:r w:rsidR="00DB1226">
        <w:t>determine</w:t>
      </w:r>
      <w:r w:rsidRPr="002628B2" w:rsidR="002628B2">
        <w:t xml:space="preserve"> </w:t>
      </w:r>
      <w:r w:rsidRPr="00BF6E15" w:rsidR="00870F94">
        <w:t>whether</w:t>
      </w:r>
      <w:r w:rsidRPr="002628B2" w:rsidR="00870F94">
        <w:t xml:space="preserve"> </w:t>
      </w:r>
      <w:r w:rsidRPr="002628B2" w:rsidR="002628B2">
        <w:t>it meets the goals of th</w:t>
      </w:r>
      <w:r w:rsidR="00BC3187">
        <w:t>is</w:t>
      </w:r>
      <w:r w:rsidRPr="002628B2" w:rsidR="002628B2">
        <w:t xml:space="preserve"> </w:t>
      </w:r>
      <w:r w:rsidRPr="00D51270" w:rsidR="00D51270">
        <w:t>final rule</w:t>
      </w:r>
      <w:r w:rsidRPr="002628B2" w:rsidR="002628B2">
        <w:t xml:space="preserve"> to allow distributed energy resources to provide all services </w:t>
      </w:r>
      <w:r w:rsidR="00F75707">
        <w:t>that</w:t>
      </w:r>
      <w:r w:rsidRPr="002628B2" w:rsidR="002628B2">
        <w:t xml:space="preserve"> they are </w:t>
      </w:r>
      <w:r w:rsidR="00695E3A">
        <w:t xml:space="preserve">technically </w:t>
      </w:r>
      <w:r w:rsidRPr="002628B2" w:rsidR="002628B2">
        <w:t>capable of providing</w:t>
      </w:r>
      <w:r w:rsidR="00695E3A">
        <w:t xml:space="preserve"> </w:t>
      </w:r>
      <w:r w:rsidR="006530B7">
        <w:t>through</w:t>
      </w:r>
      <w:r w:rsidR="00695E3A">
        <w:t xml:space="preserve"> aggregation</w:t>
      </w:r>
      <w:r w:rsidR="008C18A1">
        <w:t xml:space="preserve">.  </w:t>
      </w:r>
    </w:p>
    <w:p w:rsidRPr="00BC2D36" w:rsidR="004151EA" w:rsidP="002012C2" w:rsidRDefault="002012C2" w14:paraId="5B22DF1C" w14:textId="471867E5">
      <w:pPr>
        <w:pStyle w:val="FERCparanumber"/>
      </w:pPr>
      <w:bookmarkStart w:name="_Hlk46216028" w:id="51"/>
      <w:bookmarkEnd w:id="50"/>
      <w:r w:rsidRPr="00BC2D36">
        <w:t xml:space="preserve">This approach will </w:t>
      </w:r>
      <w:r w:rsidRPr="00BC2D36" w:rsidR="005C536B">
        <w:t xml:space="preserve">provide </w:t>
      </w:r>
      <w:r w:rsidRPr="00BC2D36" w:rsidR="00F440EC">
        <w:t xml:space="preserve">each </w:t>
      </w:r>
      <w:r w:rsidRPr="00BC2D36">
        <w:t xml:space="preserve">RTO/ISO </w:t>
      </w:r>
      <w:r w:rsidRPr="00BC2D36" w:rsidR="005C536B">
        <w:t>with</w:t>
      </w:r>
      <w:r w:rsidRPr="00BC2D36">
        <w:t xml:space="preserve"> </w:t>
      </w:r>
      <w:r w:rsidRPr="00BC2D36" w:rsidR="003C5699">
        <w:t xml:space="preserve">the </w:t>
      </w:r>
      <w:r w:rsidRPr="00BC2D36">
        <w:t xml:space="preserve">flexibility to facilitate the participation of distributed energy resource aggregations in </w:t>
      </w:r>
      <w:r w:rsidRPr="00BC2D36" w:rsidR="00F440EC">
        <w:t xml:space="preserve">its </w:t>
      </w:r>
      <w:r w:rsidRPr="00BC2D36">
        <w:t xml:space="preserve">markets in </w:t>
      </w:r>
      <w:r w:rsidRPr="00BC2D36" w:rsidR="00D41272">
        <w:t xml:space="preserve">a </w:t>
      </w:r>
      <w:r w:rsidRPr="00BC2D36">
        <w:t xml:space="preserve">way that </w:t>
      </w:r>
      <w:r w:rsidRPr="00BC2D36" w:rsidR="00860972">
        <w:t xml:space="preserve">is efficient and cost-effective </w:t>
      </w:r>
      <w:r w:rsidRPr="00BC2D36" w:rsidR="001B7E12">
        <w:t>as well as</w:t>
      </w:r>
      <w:r w:rsidRPr="00BC2D36" w:rsidR="00860972">
        <w:t xml:space="preserve"> </w:t>
      </w:r>
      <w:r w:rsidRPr="00BC2D36">
        <w:t xml:space="preserve">fits </w:t>
      </w:r>
      <w:r w:rsidRPr="00BC2D36" w:rsidR="00C54F92">
        <w:t xml:space="preserve">the </w:t>
      </w:r>
      <w:r w:rsidRPr="00BC2D36">
        <w:t xml:space="preserve">market design </w:t>
      </w:r>
      <w:r w:rsidRPr="00BC2D36" w:rsidR="00C54F92">
        <w:t>of the RTO/ISO</w:t>
      </w:r>
      <w:r w:rsidRPr="00BC2D36">
        <w:t xml:space="preserve">.  Permitting each RTO/ISO to create </w:t>
      </w:r>
      <w:r w:rsidRPr="00BC2D36" w:rsidR="00D41272">
        <w:t xml:space="preserve">one or more </w:t>
      </w:r>
      <w:r w:rsidRPr="00BC2D36">
        <w:t>new participation model</w:t>
      </w:r>
      <w:r w:rsidRPr="00BC2D36" w:rsidR="00D41272">
        <w:t>s</w:t>
      </w:r>
      <w:r w:rsidRPr="00BC2D36">
        <w:t xml:space="preserve"> for distributed energy </w:t>
      </w:r>
      <w:r w:rsidR="007D5A76">
        <w:t xml:space="preserve">resources </w:t>
      </w:r>
      <w:r w:rsidRPr="00BC2D36" w:rsidR="004029E3">
        <w:t>address</w:t>
      </w:r>
      <w:r w:rsidRPr="00BC2D36" w:rsidR="00D41272">
        <w:t>es</w:t>
      </w:r>
      <w:r w:rsidRPr="00BC2D36" w:rsidR="004029E3">
        <w:t xml:space="preserve"> commenter concerns about </w:t>
      </w:r>
      <w:r w:rsidRPr="00BC2D36" w:rsidR="007D5AD3">
        <w:t>the limitations of</w:t>
      </w:r>
      <w:r w:rsidRPr="00BC2D36" w:rsidR="004029E3">
        <w:t xml:space="preserve"> </w:t>
      </w:r>
      <w:r w:rsidRPr="00BC2D36" w:rsidR="007D5AD3">
        <w:t xml:space="preserve">existing </w:t>
      </w:r>
      <w:r w:rsidRPr="00BC2D36" w:rsidR="004029E3">
        <w:t>models</w:t>
      </w:r>
      <w:r w:rsidRPr="00BC2D36">
        <w:t>.</w:t>
      </w:r>
      <w:r w:rsidRPr="00BC2D36" w:rsidR="0025620F">
        <w:t xml:space="preserve">  </w:t>
      </w:r>
      <w:r w:rsidRPr="00BC2D36" w:rsidR="00137414">
        <w:t>Likewise, p</w:t>
      </w:r>
      <w:r w:rsidRPr="00BC2D36" w:rsidR="0025620F">
        <w:t xml:space="preserve">ermitting each RTO/ISO to </w:t>
      </w:r>
      <w:r w:rsidRPr="00BC2D36" w:rsidR="00AC0D63">
        <w:t>modify existing participation models</w:t>
      </w:r>
      <w:r w:rsidRPr="00BC2D36" w:rsidR="00E312B3">
        <w:t xml:space="preserve">, instead of requiring </w:t>
      </w:r>
      <w:r w:rsidRPr="00BC2D36" w:rsidR="005606DC">
        <w:t>creation of one or more new</w:t>
      </w:r>
      <w:r w:rsidRPr="00BC2D36" w:rsidR="00E312B3">
        <w:t xml:space="preserve"> participation models,</w:t>
      </w:r>
      <w:r w:rsidRPr="00BC2D36" w:rsidR="005606DC">
        <w:t xml:space="preserve"> </w:t>
      </w:r>
      <w:r w:rsidRPr="00BC2D36" w:rsidR="007A76FC">
        <w:t xml:space="preserve">addresses commenter concerns that creating a new </w:t>
      </w:r>
      <w:r w:rsidRPr="00BC2D36" w:rsidR="00FB67ED">
        <w:t xml:space="preserve">participation </w:t>
      </w:r>
      <w:r w:rsidRPr="00BC2D36" w:rsidR="007A76FC">
        <w:t xml:space="preserve">model </w:t>
      </w:r>
      <w:r w:rsidRPr="00BC2D36" w:rsidR="00FB67ED">
        <w:t>may</w:t>
      </w:r>
      <w:r w:rsidRPr="00BC2D36" w:rsidR="00D82CA1">
        <w:t xml:space="preserve"> be</w:t>
      </w:r>
      <w:r w:rsidRPr="00BC2D36" w:rsidR="007A76FC">
        <w:t xml:space="preserve"> too costly or </w:t>
      </w:r>
      <w:r w:rsidRPr="00BC2D36" w:rsidR="00FB67ED">
        <w:t>disruptive</w:t>
      </w:r>
      <w:r w:rsidRPr="00BC2D36" w:rsidR="009C6BE0">
        <w:t xml:space="preserve">, or </w:t>
      </w:r>
      <w:r w:rsidRPr="00BC2D36" w:rsidR="001E510D">
        <w:t xml:space="preserve">that existing models </w:t>
      </w:r>
      <w:r w:rsidRPr="00BC2D36" w:rsidR="00947EB2">
        <w:t>do not need to be</w:t>
      </w:r>
      <w:r w:rsidRPr="00BC2D36" w:rsidR="00B53A0E">
        <w:t xml:space="preserve"> </w:t>
      </w:r>
      <w:r w:rsidRPr="00BC2D36" w:rsidR="00100E16">
        <w:t>replace</w:t>
      </w:r>
      <w:r w:rsidRPr="00BC2D36" w:rsidR="00947EB2">
        <w:t>d</w:t>
      </w:r>
      <w:r w:rsidRPr="00BC2D36">
        <w:t>.</w:t>
      </w:r>
    </w:p>
    <w:p w:rsidRPr="0060123E" w:rsidR="002012C2" w:rsidP="002012C2" w:rsidRDefault="005C536B" w14:paraId="37380D98" w14:textId="1DB62377">
      <w:pPr>
        <w:pStyle w:val="FERCparanumber"/>
      </w:pPr>
      <w:r w:rsidRPr="0060123E">
        <w:t>Providing</w:t>
      </w:r>
      <w:r w:rsidRPr="0060123E" w:rsidR="009D3E57">
        <w:t xml:space="preserve"> </w:t>
      </w:r>
      <w:r w:rsidRPr="0060123E" w:rsidR="003C5699">
        <w:t>RTO</w:t>
      </w:r>
      <w:r w:rsidRPr="0060123E" w:rsidR="0040577F">
        <w:t>s</w:t>
      </w:r>
      <w:r w:rsidRPr="0060123E" w:rsidR="003C5699">
        <w:t>/ISO</w:t>
      </w:r>
      <w:r w:rsidRPr="0060123E" w:rsidR="0040577F">
        <w:t>s</w:t>
      </w:r>
      <w:r w:rsidRPr="0060123E" w:rsidR="009D3E57">
        <w:t xml:space="preserve"> </w:t>
      </w:r>
      <w:r w:rsidRPr="0060123E">
        <w:t xml:space="preserve">with the </w:t>
      </w:r>
      <w:r w:rsidRPr="0060123E" w:rsidR="009D3E57">
        <w:t xml:space="preserve">flexibility </w:t>
      </w:r>
      <w:r w:rsidRPr="0060123E">
        <w:t xml:space="preserve">to </w:t>
      </w:r>
      <w:r w:rsidRPr="0060123E" w:rsidR="0040577F">
        <w:t>determin</w:t>
      </w:r>
      <w:r w:rsidRPr="0060123E">
        <w:t>e</w:t>
      </w:r>
      <w:r w:rsidRPr="0060123E" w:rsidR="009D3E57">
        <w:t xml:space="preserve"> </w:t>
      </w:r>
      <w:r w:rsidRPr="0060123E" w:rsidR="007D5AD3">
        <w:t>whether to</w:t>
      </w:r>
      <w:r w:rsidRPr="0060123E" w:rsidR="00337027">
        <w:t xml:space="preserve"> modify existing </w:t>
      </w:r>
      <w:r w:rsidRPr="0060123E" w:rsidR="007E2786">
        <w:t xml:space="preserve">participation </w:t>
      </w:r>
      <w:r w:rsidRPr="0060123E" w:rsidR="00337027">
        <w:t>models</w:t>
      </w:r>
      <w:r w:rsidRPr="0060123E" w:rsidR="007D5AD3">
        <w:t>,</w:t>
      </w:r>
      <w:r w:rsidRPr="0060123E" w:rsidR="00337027">
        <w:t xml:space="preserve"> creat</w:t>
      </w:r>
      <w:r w:rsidRPr="0060123E" w:rsidR="007D5AD3">
        <w:t>e</w:t>
      </w:r>
      <w:r w:rsidRPr="0060123E" w:rsidR="00337027">
        <w:t xml:space="preserve"> </w:t>
      </w:r>
      <w:r w:rsidRPr="0060123E" w:rsidR="007E2786">
        <w:t>one or more</w:t>
      </w:r>
      <w:r w:rsidRPr="0060123E" w:rsidR="00337027">
        <w:t xml:space="preserve"> new </w:t>
      </w:r>
      <w:r w:rsidRPr="0060123E" w:rsidR="007E2786">
        <w:t xml:space="preserve">participation </w:t>
      </w:r>
      <w:r w:rsidRPr="0060123E" w:rsidR="00337027">
        <w:t>model</w:t>
      </w:r>
      <w:r w:rsidRPr="0060123E" w:rsidR="007E2786">
        <w:t>s</w:t>
      </w:r>
      <w:r w:rsidRPr="0060123E" w:rsidR="00337027">
        <w:t>,</w:t>
      </w:r>
      <w:r w:rsidRPr="0060123E" w:rsidR="007D5AD3">
        <w:t xml:space="preserve"> or use a combination of existing and new participation models </w:t>
      </w:r>
      <w:r w:rsidRPr="0060123E" w:rsidR="003B4EB9">
        <w:t xml:space="preserve">will allow </w:t>
      </w:r>
      <w:r w:rsidRPr="0060123E" w:rsidR="00E3143D">
        <w:t>each</w:t>
      </w:r>
      <w:r w:rsidRPr="0060123E" w:rsidR="003B4EB9">
        <w:t xml:space="preserve"> RTO/ISO to reflect </w:t>
      </w:r>
      <w:r w:rsidRPr="0060123E" w:rsidR="007D5AD3">
        <w:t>varying regional needs</w:t>
      </w:r>
      <w:r w:rsidRPr="0060123E" w:rsidR="00A17DBB">
        <w:t xml:space="preserve"> </w:t>
      </w:r>
      <w:r w:rsidRPr="0060123E" w:rsidR="00E3143D">
        <w:t>in its approach to allow distributed energy resource aggregators to participate in its markets.</w:t>
      </w:r>
    </w:p>
    <w:p w:rsidRPr="00E73BEF" w:rsidR="00E73BEF" w:rsidP="00E73BEF" w:rsidRDefault="00E73BEF" w14:paraId="5F1A55B4" w14:textId="7C50E4F4">
      <w:pPr>
        <w:pStyle w:val="Heading3"/>
      </w:pPr>
      <w:bookmarkStart w:name="_bmk26" w:id="52"/>
      <w:bookmarkEnd w:id="51"/>
      <w:r>
        <w:t>T</w:t>
      </w:r>
      <w:bookmarkEnd w:id="52"/>
      <w:r>
        <w:t>ypes of Technologies</w:t>
      </w:r>
    </w:p>
    <w:p w:rsidR="00E73BEF" w:rsidP="00E73BEF" w:rsidRDefault="00E73BEF" w14:paraId="71ECB340" w14:textId="0BD7105D">
      <w:pPr>
        <w:pStyle w:val="Heading4"/>
      </w:pPr>
      <w:bookmarkStart w:name="_bmk27" w:id="53"/>
      <w:r>
        <w:t>N</w:t>
      </w:r>
      <w:bookmarkEnd w:id="53"/>
      <w:r>
        <w:t>OPR Proposal</w:t>
      </w:r>
    </w:p>
    <w:p w:rsidRPr="00FF61B5" w:rsidR="00FF61B5" w:rsidP="00FF61B5" w:rsidRDefault="00A961B9" w14:paraId="59EC2E20" w14:textId="52A489E3">
      <w:pPr>
        <w:pStyle w:val="FERCparanumber"/>
      </w:pPr>
      <w:r>
        <w:rPr>
          <w:lang w:eastAsia="ja-JP"/>
        </w:rPr>
        <w:t>In the NOPR, the Commission</w:t>
      </w:r>
      <w:r w:rsidRPr="00A961B9">
        <w:rPr>
          <w:lang w:eastAsia="ja-JP"/>
        </w:rPr>
        <w:t xml:space="preserve"> </w:t>
      </w:r>
      <w:r w:rsidR="00B01A12">
        <w:rPr>
          <w:lang w:eastAsia="ja-JP"/>
        </w:rPr>
        <w:t xml:space="preserve">stated that distributed energy resources </w:t>
      </w:r>
      <w:r w:rsidRPr="00B01A12" w:rsidR="00B01A12">
        <w:rPr>
          <w:lang w:eastAsia="ja-JP"/>
        </w:rPr>
        <w:t xml:space="preserve">may include, but are not limited to, electric </w:t>
      </w:r>
      <w:r w:rsidRPr="0018301F" w:rsidR="0018301F">
        <w:rPr>
          <w:lang w:eastAsia="ja-JP"/>
        </w:rPr>
        <w:t>storage resources, distributed generation, thermal storage, and electric vehicles and their supply equipment</w:t>
      </w:r>
      <w:r w:rsidR="0018301F">
        <w:rPr>
          <w:lang w:eastAsia="ja-JP"/>
        </w:rPr>
        <w:t>.</w:t>
      </w:r>
      <w:r w:rsidR="0018301F">
        <w:rPr>
          <w:rStyle w:val="FootnoteReference"/>
          <w:lang w:eastAsia="ja-JP"/>
        </w:rPr>
        <w:footnoteReference w:id="316"/>
      </w:r>
      <w:r w:rsidR="0018301F">
        <w:rPr>
          <w:lang w:eastAsia="ja-JP"/>
        </w:rPr>
        <w:t xml:space="preserve">  The Commission </w:t>
      </w:r>
      <w:r w:rsidR="00C940EA">
        <w:rPr>
          <w:lang w:eastAsia="ja-JP"/>
        </w:rPr>
        <w:t>also</w:t>
      </w:r>
      <w:r w:rsidRPr="00A961B9">
        <w:rPr>
          <w:lang w:eastAsia="ja-JP"/>
        </w:rPr>
        <w:t xml:space="preserve"> preliminarily f</w:t>
      </w:r>
      <w:r>
        <w:rPr>
          <w:lang w:eastAsia="ja-JP"/>
        </w:rPr>
        <w:t>ound</w:t>
      </w:r>
      <w:r w:rsidRPr="00A961B9">
        <w:rPr>
          <w:lang w:eastAsia="ja-JP"/>
        </w:rPr>
        <w:t xml:space="preserve"> that limiting the types of technologies that are allowed to participate in the </w:t>
      </w:r>
      <w:r>
        <w:rPr>
          <w:lang w:eastAsia="ja-JP"/>
        </w:rPr>
        <w:t>RTO/ISO</w:t>
      </w:r>
      <w:r w:rsidRPr="00A961B9">
        <w:rPr>
          <w:lang w:eastAsia="ja-JP"/>
        </w:rPr>
        <w:t xml:space="preserve"> markets through distributed energy resource aggregator</w:t>
      </w:r>
      <w:r>
        <w:rPr>
          <w:lang w:eastAsia="ja-JP"/>
        </w:rPr>
        <w:t>s</w:t>
      </w:r>
      <w:r w:rsidRPr="00A961B9">
        <w:rPr>
          <w:lang w:eastAsia="ja-JP"/>
        </w:rPr>
        <w:t xml:space="preserve"> would create a barrier to entry for emerging or future technologies, potentially precluding them from being eligible to provide all of the capacity, energy and ancillary services that they are technically capable of providing.</w:t>
      </w:r>
      <w:r>
        <w:rPr>
          <w:rStyle w:val="FootnoteReference"/>
          <w:lang w:eastAsia="ja-JP"/>
        </w:rPr>
        <w:footnoteReference w:id="317"/>
      </w:r>
      <w:r w:rsidR="00FF61B5">
        <w:rPr>
          <w:lang w:eastAsia="ja-JP"/>
        </w:rPr>
        <w:t xml:space="preserve">  </w:t>
      </w:r>
      <w:r w:rsidRPr="00494DBC" w:rsidR="008D1463">
        <w:rPr>
          <w:lang w:eastAsia="ja-JP"/>
        </w:rPr>
        <w:t>The Commission stated that, while some individual re</w:t>
      </w:r>
      <w:r w:rsidRPr="00FF61B5" w:rsidR="008D1463">
        <w:rPr>
          <w:szCs w:val="26"/>
        </w:rPr>
        <w:t>sources or certain technologies may not be able to meet the qualification or performance requirements to provide services to the RTO/ISO markets on their own, they may satisfy such requirements as part of a distributed energy resource aggregation where resources complement one another’s capabilities.  The Commission further stated that combining electric storage resources with distributed generation could allow the aggregate resource to achieve performance requirements (such as minimum run times) that an electric storage resource could not meet on its own and provide services (such as regulation) that distributed generation may not be able to provide on its own.</w:t>
      </w:r>
      <w:r w:rsidRPr="00367C29" w:rsidR="008D1463">
        <w:rPr>
          <w:rStyle w:val="FootnoteReference"/>
        </w:rPr>
        <w:footnoteReference w:id="318"/>
      </w:r>
      <w:r w:rsidRPr="00FF61B5" w:rsidR="008D1463">
        <w:rPr>
          <w:szCs w:val="26"/>
        </w:rPr>
        <w:t xml:space="preserve">  </w:t>
      </w:r>
    </w:p>
    <w:p w:rsidRPr="00E73BEF" w:rsidR="00E73BEF" w:rsidP="00FF61B5" w:rsidRDefault="00E56C47" w14:paraId="00A5072D" w14:textId="3F6C0E83">
      <w:pPr>
        <w:pStyle w:val="FERCparanumber"/>
      </w:pPr>
      <w:r>
        <w:rPr>
          <w:lang w:eastAsia="ja-JP"/>
        </w:rPr>
        <w:t xml:space="preserve">In the NOPR, </w:t>
      </w:r>
      <w:r w:rsidR="00FF61B5">
        <w:rPr>
          <w:lang w:eastAsia="ja-JP"/>
        </w:rPr>
        <w:t>t</w:t>
      </w:r>
      <w:r w:rsidRPr="00494DBC" w:rsidR="00FF61B5">
        <w:rPr>
          <w:lang w:eastAsia="ja-JP"/>
        </w:rPr>
        <w:t>he Commission proposed to require that each RTO/ISO revise its tariff so that it does not prohibit the participation of any particular type of technology in the RTO/ISO markets through a distributed energy resource aggregator.</w:t>
      </w:r>
      <w:r w:rsidR="00FF61B5">
        <w:rPr>
          <w:rStyle w:val="FootnoteReference"/>
          <w:lang w:eastAsia="ja-JP"/>
        </w:rPr>
        <w:footnoteReference w:id="319"/>
      </w:r>
      <w:r w:rsidRPr="00494DBC" w:rsidR="00FF61B5">
        <w:rPr>
          <w:lang w:eastAsia="ja-JP"/>
        </w:rPr>
        <w:t xml:space="preserve">  </w:t>
      </w:r>
      <w:r>
        <w:rPr>
          <w:lang w:eastAsia="ja-JP"/>
        </w:rPr>
        <w:t xml:space="preserve">This </w:t>
      </w:r>
      <w:r w:rsidR="00516487">
        <w:rPr>
          <w:lang w:eastAsia="ja-JP"/>
        </w:rPr>
        <w:t xml:space="preserve">was </w:t>
      </w:r>
      <w:r>
        <w:rPr>
          <w:lang w:eastAsia="ja-JP"/>
        </w:rPr>
        <w:t>t</w:t>
      </w:r>
      <w:r w:rsidRPr="00FF61B5" w:rsidR="00246CCD">
        <w:rPr>
          <w:lang w:eastAsia="ja-JP"/>
        </w:rPr>
        <w:t xml:space="preserve">o help ensure that the market rules that RTOs/ISOs develop to comply with any </w:t>
      </w:r>
      <w:r w:rsidRPr="00D51270" w:rsidR="00D51270">
        <w:rPr>
          <w:lang w:eastAsia="ja-JP"/>
        </w:rPr>
        <w:t>final rule</w:t>
      </w:r>
      <w:r w:rsidRPr="00FF61B5" w:rsidR="00246CCD">
        <w:rPr>
          <w:lang w:eastAsia="ja-JP"/>
        </w:rPr>
        <w:t xml:space="preserve"> issued in this proceeding </w:t>
      </w:r>
      <w:r w:rsidR="0046725D">
        <w:rPr>
          <w:lang w:eastAsia="ja-JP"/>
        </w:rPr>
        <w:t>we</w:t>
      </w:r>
      <w:r w:rsidRPr="00FF61B5" w:rsidR="00246CCD">
        <w:rPr>
          <w:lang w:eastAsia="ja-JP"/>
        </w:rPr>
        <w:t>re sufficiently flexible to accommodate the participation of new distributed energy resources as technology evolve</w:t>
      </w:r>
      <w:r w:rsidR="0046725D">
        <w:rPr>
          <w:lang w:eastAsia="ja-JP"/>
        </w:rPr>
        <w:t>s</w:t>
      </w:r>
      <w:r w:rsidR="00246CCD">
        <w:rPr>
          <w:lang w:eastAsia="ja-JP"/>
        </w:rPr>
        <w:t>,</w:t>
      </w:r>
      <w:r w:rsidRPr="00FF61B5" w:rsidR="00246CCD">
        <w:rPr>
          <w:lang w:eastAsia="ja-JP"/>
        </w:rPr>
        <w:t xml:space="preserve"> and to acknowledge the potential </w:t>
      </w:r>
      <w:r w:rsidR="008F480E">
        <w:rPr>
          <w:lang w:eastAsia="ja-JP"/>
        </w:rPr>
        <w:t>that a</w:t>
      </w:r>
      <w:r w:rsidRPr="00FF61B5" w:rsidR="00246CCD">
        <w:rPr>
          <w:lang w:eastAsia="ja-JP"/>
        </w:rPr>
        <w:t xml:space="preserve"> distributed energy resource </w:t>
      </w:r>
      <w:r w:rsidR="00AD139A">
        <w:rPr>
          <w:lang w:eastAsia="ja-JP"/>
        </w:rPr>
        <w:t>may</w:t>
      </w:r>
      <w:r w:rsidRPr="00FF61B5" w:rsidR="00246CCD">
        <w:rPr>
          <w:lang w:eastAsia="ja-JP"/>
        </w:rPr>
        <w:t xml:space="preserve"> </w:t>
      </w:r>
      <w:r w:rsidR="009952F2">
        <w:rPr>
          <w:lang w:eastAsia="ja-JP"/>
        </w:rPr>
        <w:t>meet</w:t>
      </w:r>
      <w:r w:rsidR="008F5DD3">
        <w:rPr>
          <w:lang w:eastAsia="ja-JP"/>
        </w:rPr>
        <w:t xml:space="preserve"> </w:t>
      </w:r>
      <w:r w:rsidRPr="00FF61B5" w:rsidR="00246CCD">
        <w:rPr>
          <w:lang w:eastAsia="ja-JP"/>
        </w:rPr>
        <w:t xml:space="preserve">qualification or performance requirements </w:t>
      </w:r>
      <w:r w:rsidR="004A7D10">
        <w:rPr>
          <w:lang w:eastAsia="ja-JP"/>
        </w:rPr>
        <w:t>by participating in</w:t>
      </w:r>
      <w:r w:rsidRPr="00FF61B5" w:rsidR="00246CCD">
        <w:rPr>
          <w:lang w:eastAsia="ja-JP"/>
        </w:rPr>
        <w:t xml:space="preserve"> a distributed energy resource aggregat</w:t>
      </w:r>
      <w:r w:rsidR="00563629">
        <w:rPr>
          <w:lang w:eastAsia="ja-JP"/>
        </w:rPr>
        <w:t>ion</w:t>
      </w:r>
      <w:r w:rsidR="00BF682A">
        <w:rPr>
          <w:lang w:eastAsia="ja-JP"/>
        </w:rPr>
        <w:t xml:space="preserve"> that it cannot on its own</w:t>
      </w:r>
      <w:r w:rsidR="007D5DD4">
        <w:rPr>
          <w:lang w:eastAsia="ja-JP"/>
        </w:rPr>
        <w:t>.</w:t>
      </w:r>
      <w:r w:rsidR="00246CCD">
        <w:rPr>
          <w:lang w:eastAsia="ja-JP"/>
        </w:rPr>
        <w:t xml:space="preserve"> </w:t>
      </w:r>
      <w:r w:rsidRPr="00494DBC" w:rsidR="00FF61B5">
        <w:rPr>
          <w:lang w:eastAsia="ja-JP"/>
        </w:rPr>
        <w:t xml:space="preserve"> </w:t>
      </w:r>
      <w:r w:rsidR="00FF61B5">
        <w:rPr>
          <w:szCs w:val="26"/>
        </w:rPr>
        <w:t>T</w:t>
      </w:r>
      <w:r w:rsidRPr="00FF61B5" w:rsidR="008D1463">
        <w:rPr>
          <w:szCs w:val="26"/>
        </w:rPr>
        <w:t>he Commission stated</w:t>
      </w:r>
      <w:r w:rsidR="00FF61B5">
        <w:rPr>
          <w:szCs w:val="26"/>
        </w:rPr>
        <w:t>, however,</w:t>
      </w:r>
      <w:r w:rsidRPr="00FF61B5" w:rsidR="008D1463">
        <w:rPr>
          <w:szCs w:val="26"/>
        </w:rPr>
        <w:t xml:space="preserve"> that</w:t>
      </w:r>
      <w:r w:rsidR="00AF7764">
        <w:rPr>
          <w:szCs w:val="26"/>
        </w:rPr>
        <w:t>,</w:t>
      </w:r>
      <w:r w:rsidRPr="00FF61B5" w:rsidR="008D1463">
        <w:rPr>
          <w:szCs w:val="26"/>
        </w:rPr>
        <w:t xml:space="preserve"> to the extent </w:t>
      </w:r>
      <w:r w:rsidR="00AF7764">
        <w:rPr>
          <w:szCs w:val="26"/>
        </w:rPr>
        <w:t>that</w:t>
      </w:r>
      <w:r w:rsidRPr="00FF61B5" w:rsidR="008D1463">
        <w:rPr>
          <w:szCs w:val="26"/>
        </w:rPr>
        <w:t xml:space="preserve"> existing rules or regulations explicitly prohibit certain technologies from participating in RTO/ISO markets, </w:t>
      </w:r>
      <w:r w:rsidR="00FF61B5">
        <w:rPr>
          <w:szCs w:val="26"/>
        </w:rPr>
        <w:t>it did</w:t>
      </w:r>
      <w:r w:rsidRPr="00FF61B5" w:rsidR="008D1463">
        <w:rPr>
          <w:szCs w:val="26"/>
        </w:rPr>
        <w:t xml:space="preserve"> not intend to overturn those rules or regulations.</w:t>
      </w:r>
      <w:r w:rsidDel="00183E7D" w:rsidR="00183E7D">
        <w:rPr>
          <w:rStyle w:val="FootnoteReference"/>
          <w:szCs w:val="26"/>
        </w:rPr>
        <w:t xml:space="preserve"> </w:t>
      </w:r>
    </w:p>
    <w:p w:rsidR="00E73BEF" w:rsidP="00E73BEF" w:rsidRDefault="00E73BEF" w14:paraId="686E3C5B" w14:textId="737AC27A">
      <w:pPr>
        <w:pStyle w:val="Heading4"/>
      </w:pPr>
      <w:bookmarkStart w:name="_bmk28" w:id="54"/>
      <w:r>
        <w:t>C</w:t>
      </w:r>
      <w:bookmarkEnd w:id="54"/>
      <w:r>
        <w:t>omments</w:t>
      </w:r>
    </w:p>
    <w:p w:rsidRPr="0032472E" w:rsidR="00903874" w:rsidP="00903874" w:rsidRDefault="008D1463" w14:paraId="38AC72AD" w14:textId="6C49777C">
      <w:pPr>
        <w:pStyle w:val="FERCparanumber"/>
        <w:rPr>
          <w:color w:val="000000"/>
        </w:rPr>
      </w:pPr>
      <w:r w:rsidRPr="00716CDF">
        <w:t xml:space="preserve">Several commenters support the Commission’s proposal not to prohibit the participation of any particular type of technology in </w:t>
      </w:r>
      <w:r>
        <w:t>RTO/ISO</w:t>
      </w:r>
      <w:r w:rsidRPr="00716CDF">
        <w:t xml:space="preserve"> markets through a distributed energy resource aggregation.</w:t>
      </w:r>
      <w:r w:rsidRPr="00550B44">
        <w:rPr>
          <w:rStyle w:val="FootnoteReference"/>
        </w:rPr>
        <w:footnoteReference w:id="320"/>
      </w:r>
      <w:r w:rsidRPr="00716CDF">
        <w:t xml:space="preserve">  </w:t>
      </w:r>
      <w:r w:rsidR="006B5AE9">
        <w:t xml:space="preserve">Generally, they state that it is important for the market rules to be </w:t>
      </w:r>
      <w:r w:rsidRPr="005D64CC">
        <w:t>resource neutral</w:t>
      </w:r>
      <w:r w:rsidR="006B5AE9">
        <w:t xml:space="preserve">, allowing </w:t>
      </w:r>
      <w:r w:rsidR="00ED331D">
        <w:t>other attributes such as</w:t>
      </w:r>
      <w:r w:rsidRPr="005D64CC">
        <w:t xml:space="preserve"> </w:t>
      </w:r>
      <w:r w:rsidRPr="00716CDF">
        <w:t>cost, quality, flexibility</w:t>
      </w:r>
      <w:r w:rsidR="00AF7764">
        <w:t>,</w:t>
      </w:r>
      <w:r w:rsidR="007B5988">
        <w:t xml:space="preserve"> and other </w:t>
      </w:r>
      <w:r w:rsidR="00ED14A7">
        <w:t>attributes sought by</w:t>
      </w:r>
      <w:r w:rsidRPr="00716CDF" w:rsidR="007B5988">
        <w:t xml:space="preserve"> market participants,</w:t>
      </w:r>
      <w:r w:rsidRPr="00716CDF">
        <w:t xml:space="preserve"> </w:t>
      </w:r>
      <w:r w:rsidR="00ED331D">
        <w:t>to</w:t>
      </w:r>
      <w:r w:rsidRPr="00716CDF">
        <w:t xml:space="preserve"> dictate which </w:t>
      </w:r>
      <w:r>
        <w:t xml:space="preserve">resources </w:t>
      </w:r>
      <w:r w:rsidR="00ED331D">
        <w:t>can successfully participate in RTO/ISO markets</w:t>
      </w:r>
      <w:r w:rsidRPr="00716CDF">
        <w:t>.</w:t>
      </w:r>
      <w:r>
        <w:t xml:space="preserve">  </w:t>
      </w:r>
      <w:r w:rsidR="00ED331D">
        <w:t xml:space="preserve">They assert that </w:t>
      </w:r>
      <w:r w:rsidRPr="005D64CC" w:rsidR="002534B0">
        <w:t>resource neutral</w:t>
      </w:r>
      <w:r w:rsidR="002534B0">
        <w:t>ity</w:t>
      </w:r>
      <w:r w:rsidR="00103A0D">
        <w:t xml:space="preserve"> </w:t>
      </w:r>
      <w:r w:rsidR="00ED331D">
        <w:t>reduces risk</w:t>
      </w:r>
      <w:r>
        <w:t xml:space="preserve"> </w:t>
      </w:r>
      <w:r w:rsidR="00FF7F53">
        <w:t xml:space="preserve">for </w:t>
      </w:r>
      <w:r>
        <w:t xml:space="preserve">investment </w:t>
      </w:r>
      <w:r w:rsidR="00FF7F53">
        <w:t>in</w:t>
      </w:r>
      <w:r>
        <w:t xml:space="preserve"> new technologies</w:t>
      </w:r>
      <w:r w:rsidR="00FF7F53">
        <w:t xml:space="preserve"> and </w:t>
      </w:r>
      <w:r w:rsidRPr="00716CDF">
        <w:t>preserve</w:t>
      </w:r>
      <w:r w:rsidR="00FF7F53">
        <w:t>s</w:t>
      </w:r>
      <w:r w:rsidRPr="00716CDF">
        <w:t xml:space="preserve"> flexibility for the participation of future technologies and avoid unnecessary barriers to entry.</w:t>
      </w:r>
      <w:r>
        <w:t xml:space="preserve">  </w:t>
      </w:r>
    </w:p>
    <w:p w:rsidR="003424F3" w:rsidP="008D1463" w:rsidRDefault="00903874" w14:paraId="38A96965" w14:textId="66F36886">
      <w:pPr>
        <w:pStyle w:val="FERCparanumber"/>
      </w:pPr>
      <w:r>
        <w:t xml:space="preserve">Several commenters argue that distributed energy resource aggregation participation models must allow a variety of technology configurations.  </w:t>
      </w:r>
      <w:r w:rsidRPr="00641833">
        <w:t>Efficient Holdings argues that</w:t>
      </w:r>
      <w:r>
        <w:t xml:space="preserve"> </w:t>
      </w:r>
      <w:r w:rsidRPr="00641833">
        <w:t>third party aggregators of behind-the-meter resources must have better access to the markets</w:t>
      </w:r>
      <w:r>
        <w:t xml:space="preserve">, which can be achieved through reforms including </w:t>
      </w:r>
      <w:r w:rsidRPr="00641833">
        <w:t>refine</w:t>
      </w:r>
      <w:r>
        <w:t>d</w:t>
      </w:r>
      <w:r w:rsidRPr="00641833">
        <w:t xml:space="preserve"> product definitions</w:t>
      </w:r>
      <w:r>
        <w:t>,</w:t>
      </w:r>
      <w:r w:rsidRPr="00641833">
        <w:t xml:space="preserve"> </w:t>
      </w:r>
      <w:r>
        <w:t xml:space="preserve">reduction of </w:t>
      </w:r>
      <w:r w:rsidRPr="00641833">
        <w:t>burdensome and expensive operational requirements</w:t>
      </w:r>
      <w:r>
        <w:t xml:space="preserve">, and </w:t>
      </w:r>
      <w:r w:rsidRPr="00641833">
        <w:t>rules to address distribution utility non-compliance</w:t>
      </w:r>
      <w:r>
        <w:t>,</w:t>
      </w:r>
      <w:r w:rsidRPr="00641833">
        <w:t xml:space="preserve"> embrac</w:t>
      </w:r>
      <w:r>
        <w:t>ing</w:t>
      </w:r>
      <w:r w:rsidRPr="00641833">
        <w:t xml:space="preserve"> the broadest array of technologies possible.</w:t>
      </w:r>
      <w:r w:rsidRPr="00550B44">
        <w:rPr>
          <w:rStyle w:val="FootnoteReference"/>
        </w:rPr>
        <w:footnoteReference w:id="321"/>
      </w:r>
      <w:r w:rsidRPr="00641833">
        <w:t xml:space="preserve"> </w:t>
      </w:r>
      <w:r w:rsidRPr="008D273B">
        <w:rPr>
          <w:color w:val="000000"/>
        </w:rPr>
        <w:t xml:space="preserve"> Energy Storage Association and Stem seek to ensure that front-of-the-meter</w:t>
      </w:r>
      <w:r>
        <w:rPr>
          <w:color w:val="000000"/>
        </w:rPr>
        <w:t xml:space="preserve"> resources,</w:t>
      </w:r>
      <w:r w:rsidRPr="008D273B">
        <w:rPr>
          <w:color w:val="000000"/>
        </w:rPr>
        <w:t xml:space="preserve"> behind-the-meter </w:t>
      </w:r>
      <w:r>
        <w:rPr>
          <w:color w:val="000000"/>
        </w:rPr>
        <w:t xml:space="preserve">exporting and </w:t>
      </w:r>
      <w:r w:rsidRPr="008D273B">
        <w:rPr>
          <w:color w:val="000000"/>
        </w:rPr>
        <w:t>non-exporting</w:t>
      </w:r>
      <w:r>
        <w:rPr>
          <w:color w:val="000000"/>
        </w:rPr>
        <w:t xml:space="preserve"> resources,</w:t>
      </w:r>
      <w:r w:rsidRPr="008D273B">
        <w:rPr>
          <w:color w:val="000000"/>
        </w:rPr>
        <w:t xml:space="preserve"> and </w:t>
      </w:r>
      <w:r>
        <w:rPr>
          <w:color w:val="000000"/>
        </w:rPr>
        <w:t xml:space="preserve">heterogeneous groups of resources </w:t>
      </w:r>
      <w:r w:rsidRPr="008D273B">
        <w:rPr>
          <w:color w:val="000000"/>
        </w:rPr>
        <w:t xml:space="preserve">are </w:t>
      </w:r>
      <w:r>
        <w:rPr>
          <w:color w:val="000000"/>
        </w:rPr>
        <w:t>all</w:t>
      </w:r>
      <w:r w:rsidRPr="008D273B">
        <w:rPr>
          <w:color w:val="000000"/>
        </w:rPr>
        <w:t xml:space="preserve"> able to participate in distributed energy resource aggregations</w:t>
      </w:r>
      <w:r w:rsidRPr="00641833">
        <w:rPr>
          <w:color w:val="000000"/>
        </w:rPr>
        <w:t>.</w:t>
      </w:r>
      <w:r w:rsidRPr="008D273B">
        <w:rPr>
          <w:rStyle w:val="FootnoteReference"/>
          <w:color w:val="000000"/>
        </w:rPr>
        <w:footnoteReference w:id="322"/>
      </w:r>
      <w:r w:rsidRPr="008D273B">
        <w:rPr>
          <w:color w:val="000000"/>
        </w:rPr>
        <w:t xml:space="preserve">  Stem state</w:t>
      </w:r>
      <w:r>
        <w:rPr>
          <w:color w:val="000000"/>
        </w:rPr>
        <w:t>s</w:t>
      </w:r>
      <w:r w:rsidRPr="008D273B">
        <w:rPr>
          <w:color w:val="000000"/>
        </w:rPr>
        <w:t xml:space="preserve"> that it is reasonable to restrict the mixing of front-of-the-meter</w:t>
      </w:r>
      <w:r>
        <w:rPr>
          <w:color w:val="000000"/>
        </w:rPr>
        <w:t>, behind-the-meter exporting,</w:t>
      </w:r>
      <w:r w:rsidRPr="008D273B">
        <w:rPr>
          <w:color w:val="000000"/>
        </w:rPr>
        <w:t xml:space="preserve"> and behind-the-meter non-exporting resources within a single aggregation</w:t>
      </w:r>
      <w:r w:rsidRPr="00641833">
        <w:rPr>
          <w:color w:val="000000"/>
        </w:rPr>
        <w:t>.</w:t>
      </w:r>
      <w:r w:rsidRPr="008D273B">
        <w:rPr>
          <w:rStyle w:val="FootnoteReference"/>
          <w:color w:val="000000"/>
        </w:rPr>
        <w:footnoteReference w:id="323"/>
      </w:r>
      <w:r w:rsidRPr="008D273B">
        <w:rPr>
          <w:color w:val="000000"/>
        </w:rPr>
        <w:t xml:space="preserve">  </w:t>
      </w:r>
      <w:r w:rsidRPr="00641833">
        <w:rPr>
          <w:color w:val="000000"/>
        </w:rPr>
        <w:t xml:space="preserve"> </w:t>
      </w:r>
    </w:p>
    <w:p w:rsidRPr="00716CDF" w:rsidR="008D1463" w:rsidP="008D1463" w:rsidRDefault="00FF7F53" w14:paraId="4D40B4C8" w14:textId="0340E5BA">
      <w:pPr>
        <w:pStyle w:val="FERCparanumber"/>
      </w:pPr>
      <w:r>
        <w:t xml:space="preserve">Commenters also </w:t>
      </w:r>
      <w:r w:rsidR="00D34FF9">
        <w:t xml:space="preserve">note that </w:t>
      </w:r>
      <w:r w:rsidR="008D1463">
        <w:t>allow</w:t>
      </w:r>
      <w:r w:rsidR="00D34FF9">
        <w:t>ing</w:t>
      </w:r>
      <w:r w:rsidRPr="00716CDF" w:rsidR="008D1463">
        <w:t xml:space="preserve"> distributed energy resource aggregations </w:t>
      </w:r>
      <w:r w:rsidR="008D1463">
        <w:t>to</w:t>
      </w:r>
      <w:r w:rsidRPr="00716CDF" w:rsidR="008D1463">
        <w:t xml:space="preserve"> include multiple types of distributed technologies </w:t>
      </w:r>
      <w:r w:rsidR="00A02352">
        <w:t>allows</w:t>
      </w:r>
      <w:r w:rsidR="008D1463">
        <w:t xml:space="preserve"> multi-technology aggregations such as microgrids and complementary resources such as solar and storage </w:t>
      </w:r>
      <w:r w:rsidR="004B183A">
        <w:t xml:space="preserve">to </w:t>
      </w:r>
      <w:r w:rsidR="00D34FF9">
        <w:t>participate</w:t>
      </w:r>
      <w:r w:rsidR="008D1463">
        <w:t xml:space="preserve"> in </w:t>
      </w:r>
      <w:r w:rsidR="00D34FF9">
        <w:t>RTO/ISO</w:t>
      </w:r>
      <w:r w:rsidR="008D1463">
        <w:t xml:space="preserve"> markets</w:t>
      </w:r>
      <w:r w:rsidR="00065AC2">
        <w:t xml:space="preserve">, </w:t>
      </w:r>
      <w:r w:rsidR="007B3936">
        <w:t>will</w:t>
      </w:r>
      <w:r w:rsidR="00065AC2">
        <w:t xml:space="preserve"> </w:t>
      </w:r>
      <w:r w:rsidR="009D3526">
        <w:t xml:space="preserve">provide RTOs/ISOs </w:t>
      </w:r>
      <w:r w:rsidR="00F52323">
        <w:t>another source of</w:t>
      </w:r>
      <w:r w:rsidR="00065AC2">
        <w:t xml:space="preserve"> flexible controllable output</w:t>
      </w:r>
      <w:r w:rsidRPr="00716CDF" w:rsidR="008D1463">
        <w:t>.</w:t>
      </w:r>
      <w:r w:rsidR="008D1463">
        <w:t xml:space="preserve"> </w:t>
      </w:r>
      <w:r w:rsidR="00BC181F">
        <w:t xml:space="preserve"> </w:t>
      </w:r>
      <w:r w:rsidRPr="00716CDF" w:rsidR="008D1463">
        <w:t xml:space="preserve">CAISO </w:t>
      </w:r>
      <w:r w:rsidRPr="00FE1D31" w:rsidR="008D1463">
        <w:t>states</w:t>
      </w:r>
      <w:r w:rsidRPr="00716CDF" w:rsidR="008D1463">
        <w:t xml:space="preserve"> that, consistent with the Commission’s proposal, its </w:t>
      </w:r>
      <w:r w:rsidR="008D1463">
        <w:t xml:space="preserve">Commission-approved </w:t>
      </w:r>
      <w:r w:rsidR="00137F02">
        <w:t>D</w:t>
      </w:r>
      <w:r w:rsidRPr="00716CDF" w:rsidR="008D1463">
        <w:t xml:space="preserve">istributed </w:t>
      </w:r>
      <w:r w:rsidR="008E29F0">
        <w:t>E</w:t>
      </w:r>
      <w:r w:rsidRPr="00716CDF" w:rsidR="008D1463">
        <w:t xml:space="preserve">nergy </w:t>
      </w:r>
      <w:r w:rsidR="00137F02">
        <w:t>R</w:t>
      </w:r>
      <w:r w:rsidRPr="00716CDF" w:rsidR="008D1463">
        <w:t xml:space="preserve">esource </w:t>
      </w:r>
      <w:r w:rsidR="00137F02">
        <w:t>P</w:t>
      </w:r>
      <w:r w:rsidRPr="00716CDF" w:rsidR="008D1463">
        <w:t>rovider model allows aggregations to consist of different distributed energy resource types.</w:t>
      </w:r>
      <w:r w:rsidRPr="00550B44" w:rsidR="008D1463">
        <w:rPr>
          <w:rStyle w:val="FootnoteReference"/>
        </w:rPr>
        <w:footnoteReference w:id="324"/>
      </w:r>
      <w:r w:rsidRPr="00716CDF" w:rsidR="008D1463">
        <w:t xml:space="preserve">  </w:t>
      </w:r>
      <w:r w:rsidR="008D1463">
        <w:t>A</w:t>
      </w:r>
      <w:r w:rsidRPr="00A72E77" w:rsidR="008D1463">
        <w:t xml:space="preserve">ES Companies </w:t>
      </w:r>
      <w:r w:rsidR="008D1463">
        <w:t xml:space="preserve">encourage </w:t>
      </w:r>
      <w:r w:rsidRPr="00A72E77" w:rsidR="008D1463">
        <w:t xml:space="preserve">the Commission to review the validity of any </w:t>
      </w:r>
      <w:r w:rsidR="008D1463">
        <w:t xml:space="preserve">prohibitions on the participation of </w:t>
      </w:r>
      <w:r w:rsidRPr="00A72E77" w:rsidR="008D1463">
        <w:t>existing technolog</w:t>
      </w:r>
      <w:r w:rsidR="008D1463">
        <w:t>ies</w:t>
      </w:r>
      <w:r w:rsidR="005C6F8C">
        <w:t xml:space="preserve"> </w:t>
      </w:r>
      <w:r w:rsidR="00BD0407">
        <w:t xml:space="preserve">(i.e., </w:t>
      </w:r>
      <w:r w:rsidR="005C6F8C">
        <w:t>rules currently exist prohibiting certain types of resources in the tariffs for direct market participation</w:t>
      </w:r>
      <w:r w:rsidR="00BD0407">
        <w:t>) in a separate docket rather than in this proceeding</w:t>
      </w:r>
      <w:r w:rsidRPr="00A72E77" w:rsidR="008D1463">
        <w:t>.</w:t>
      </w:r>
      <w:r w:rsidRPr="00D377EB" w:rsidR="008D1463">
        <w:rPr>
          <w:rStyle w:val="FootnoteReference"/>
        </w:rPr>
        <w:footnoteReference w:id="325"/>
      </w:r>
      <w:r w:rsidRPr="00952EE4" w:rsidR="00952EE4">
        <w:t xml:space="preserve"> </w:t>
      </w:r>
    </w:p>
    <w:p w:rsidRPr="00716CDF" w:rsidR="008D1463" w:rsidP="008D1463" w:rsidRDefault="00BA09D6" w14:paraId="5C39D345" w14:textId="551031D8">
      <w:pPr>
        <w:pStyle w:val="FERCparanumber"/>
      </w:pPr>
      <w:r>
        <w:t>In contrast, s</w:t>
      </w:r>
      <w:r w:rsidRPr="00716CDF" w:rsidR="008D1463">
        <w:t xml:space="preserve">ome </w:t>
      </w:r>
      <w:r w:rsidRPr="00CF7BCC" w:rsidR="008D1463">
        <w:t>commenters</w:t>
      </w:r>
      <w:r w:rsidRPr="00716CDF" w:rsidR="008D1463">
        <w:t xml:space="preserve"> express </w:t>
      </w:r>
      <w:r w:rsidR="00C60547">
        <w:t xml:space="preserve">general concerns about </w:t>
      </w:r>
      <w:r w:rsidRPr="00716CDF" w:rsidR="008D1463">
        <w:t xml:space="preserve">aggregations </w:t>
      </w:r>
      <w:r w:rsidR="00C60547">
        <w:t xml:space="preserve">that include </w:t>
      </w:r>
      <w:r w:rsidRPr="00716CDF" w:rsidR="008D1463">
        <w:t>different types of technologies.</w:t>
      </w:r>
      <w:r w:rsidRPr="00550B44" w:rsidR="008D1463">
        <w:rPr>
          <w:rStyle w:val="FootnoteReference"/>
        </w:rPr>
        <w:footnoteReference w:id="326"/>
      </w:r>
      <w:r w:rsidRPr="00716CDF" w:rsidR="008D1463">
        <w:t xml:space="preserve">  American Petroleum Institute contends that aggregating different types of distributed energy resources will make market optimization more difficult.</w:t>
      </w:r>
      <w:r w:rsidRPr="00550B44" w:rsidR="008D1463">
        <w:rPr>
          <w:rStyle w:val="FootnoteReference"/>
        </w:rPr>
        <w:footnoteReference w:id="327"/>
      </w:r>
      <w:r w:rsidRPr="00716CDF" w:rsidR="008D1463">
        <w:t xml:space="preserve">  TAPS urges the Commission to give RTOs/ISOs discretion</w:t>
      </w:r>
      <w:r w:rsidR="008D1463">
        <w:t xml:space="preserve">, </w:t>
      </w:r>
      <w:r w:rsidRPr="00716CDF" w:rsidR="008D1463">
        <w:t>claim</w:t>
      </w:r>
      <w:r w:rsidR="008D1463">
        <w:t xml:space="preserve">ing </w:t>
      </w:r>
      <w:r w:rsidRPr="00716CDF" w:rsidR="008D1463">
        <w:t>that combining multiple types of distributed energy resources within a single aggregation may be beneficial but could pose issues when determining locational and minimum size requirements for mixed aggregations.</w:t>
      </w:r>
      <w:r w:rsidRPr="00550B44" w:rsidR="008D1463">
        <w:rPr>
          <w:rStyle w:val="FootnoteReference"/>
        </w:rPr>
        <w:footnoteReference w:id="328"/>
      </w:r>
      <w:r w:rsidRPr="00716CDF" w:rsidR="008D1463">
        <w:t xml:space="preserve">  </w:t>
      </w:r>
    </w:p>
    <w:p w:rsidRPr="004805D1" w:rsidR="008D1463" w:rsidP="008D1463" w:rsidRDefault="008D1463" w14:paraId="316AF820" w14:textId="7C1EF087">
      <w:pPr>
        <w:pStyle w:val="FERCparanumber"/>
      </w:pPr>
      <w:r w:rsidRPr="004805D1">
        <w:t xml:space="preserve">Several </w:t>
      </w:r>
      <w:r>
        <w:t>commenters</w:t>
      </w:r>
      <w:r w:rsidRPr="004805D1">
        <w:t xml:space="preserve"> state that RTOs/ISOs will need </w:t>
      </w:r>
      <w:r>
        <w:t xml:space="preserve">flexibility </w:t>
      </w:r>
      <w:r w:rsidRPr="004805D1">
        <w:t xml:space="preserve">to avoid imposing additional costs or barriers to entry on </w:t>
      </w:r>
      <w:r>
        <w:t xml:space="preserve">different types and configurations of </w:t>
      </w:r>
      <w:r w:rsidRPr="004805D1">
        <w:t>prospective distributed energy resource aggregations.</w:t>
      </w:r>
      <w:r w:rsidRPr="004805D1">
        <w:rPr>
          <w:rStyle w:val="FootnoteReference"/>
          <w:szCs w:val="26"/>
        </w:rPr>
        <w:footnoteReference w:id="329"/>
      </w:r>
      <w:r w:rsidRPr="004805D1">
        <w:t xml:space="preserve">  SPP argu</w:t>
      </w:r>
      <w:r>
        <w:t>es</w:t>
      </w:r>
      <w:r w:rsidRPr="004805D1">
        <w:t xml:space="preserve"> that </w:t>
      </w:r>
      <w:r w:rsidRPr="009F65F1" w:rsidR="009F65F1">
        <w:t>managing a</w:t>
      </w:r>
      <w:r w:rsidR="009F65F1">
        <w:t>n aggregation</w:t>
      </w:r>
      <w:r w:rsidRPr="009F65F1" w:rsidR="009F65F1">
        <w:t xml:space="preserve"> as a discrete set of different assets may be infeasible in commitment and dispatch</w:t>
      </w:r>
      <w:r w:rsidR="009F65F1">
        <w:t xml:space="preserve"> and that</w:t>
      </w:r>
      <w:r w:rsidRPr="009F65F1" w:rsidR="009F65F1">
        <w:t xml:space="preserve"> </w:t>
      </w:r>
      <w:r w:rsidRPr="004805D1">
        <w:t xml:space="preserve">sub-categorizing </w:t>
      </w:r>
      <w:r>
        <w:t>different types of</w:t>
      </w:r>
      <w:r w:rsidRPr="004805D1">
        <w:t xml:space="preserve"> distributed energy resources </w:t>
      </w:r>
      <w:r w:rsidR="00A75A8F">
        <w:t xml:space="preserve">within a single aggregation </w:t>
      </w:r>
      <w:r w:rsidRPr="004805D1">
        <w:t>would be extremely complex.</w:t>
      </w:r>
      <w:r w:rsidRPr="00717C52">
        <w:rPr>
          <w:rStyle w:val="FootnoteReference"/>
        </w:rPr>
        <w:footnoteReference w:id="330"/>
      </w:r>
      <w:r w:rsidRPr="004805D1">
        <w:t xml:space="preserve">  PJM Market Monitor states that distributed generation and distributed storage should not be mixed within </w:t>
      </w:r>
      <w:r w:rsidRPr="007C555A">
        <w:t>aggregations</w:t>
      </w:r>
      <w:r w:rsidR="007B4B64">
        <w:t xml:space="preserve"> and that resource</w:t>
      </w:r>
      <w:r w:rsidR="007C555A">
        <w:t>s</w:t>
      </w:r>
      <w:r w:rsidR="007B4B64">
        <w:t xml:space="preserve"> </w:t>
      </w:r>
      <w:r w:rsidRPr="004A6C59" w:rsidR="007B4B64">
        <w:t xml:space="preserve">should be aggregated by type for each wholesale market node. </w:t>
      </w:r>
      <w:r w:rsidR="007B4B64">
        <w:t xml:space="preserve"> </w:t>
      </w:r>
      <w:r w:rsidR="00D771C0">
        <w:t xml:space="preserve">For example, </w:t>
      </w:r>
      <w:r w:rsidR="002860F1">
        <w:t>according to PJM Market Monitor</w:t>
      </w:r>
      <w:r w:rsidR="00D771C0">
        <w:t>, d</w:t>
      </w:r>
      <w:r w:rsidRPr="004A6C59" w:rsidR="00D771C0">
        <w:t>istributed generation</w:t>
      </w:r>
      <w:r w:rsidRPr="004A6C59" w:rsidR="004A6C59">
        <w:t xml:space="preserve"> should be aggregated, at the </w:t>
      </w:r>
      <w:r w:rsidR="007C555A">
        <w:t xml:space="preserve">same </w:t>
      </w:r>
      <w:r w:rsidRPr="004A6C59" w:rsidR="004A6C59">
        <w:t xml:space="preserve">node with </w:t>
      </w:r>
      <w:r w:rsidR="007C555A">
        <w:t xml:space="preserve">other </w:t>
      </w:r>
      <w:r w:rsidRPr="004A6C59" w:rsidR="004A6C59">
        <w:t>distributed generation</w:t>
      </w:r>
      <w:r w:rsidR="007C555A">
        <w:t>, while</w:t>
      </w:r>
      <w:r w:rsidR="00D771C0">
        <w:t xml:space="preserve"> d</w:t>
      </w:r>
      <w:r w:rsidRPr="004A6C59" w:rsidR="00D771C0">
        <w:t>istributed</w:t>
      </w:r>
      <w:r w:rsidRPr="004A6C59" w:rsidR="004A6C59">
        <w:t xml:space="preserve"> storage should be aggregated at the </w:t>
      </w:r>
      <w:r w:rsidR="007C555A">
        <w:t xml:space="preserve">same </w:t>
      </w:r>
      <w:r w:rsidRPr="004A6C59" w:rsidR="004A6C59">
        <w:t xml:space="preserve">node with </w:t>
      </w:r>
      <w:r w:rsidR="007C555A">
        <w:t xml:space="preserve">other </w:t>
      </w:r>
      <w:r w:rsidRPr="004A6C59" w:rsidR="004A6C59">
        <w:t>distributed storage</w:t>
      </w:r>
      <w:r w:rsidRPr="004805D1">
        <w:t>.</w:t>
      </w:r>
      <w:r w:rsidRPr="004805D1">
        <w:rPr>
          <w:rStyle w:val="FootnoteReference"/>
          <w:rFonts w:eastAsia="Calibri"/>
          <w:szCs w:val="26"/>
        </w:rPr>
        <w:footnoteReference w:id="331"/>
      </w:r>
      <w:r w:rsidR="004A6C59">
        <w:t xml:space="preserve">  </w:t>
      </w:r>
    </w:p>
    <w:p w:rsidRPr="008D1463" w:rsidR="008D1463" w:rsidP="008D1463" w:rsidRDefault="008D1463" w14:paraId="4783A4ED" w14:textId="01374038">
      <w:pPr>
        <w:pStyle w:val="FERCparanumber"/>
      </w:pPr>
      <w:r w:rsidRPr="00716CDF">
        <w:t xml:space="preserve">ISO-NE also asks </w:t>
      </w:r>
      <w:r w:rsidRPr="00CF7BCC">
        <w:t>for</w:t>
      </w:r>
      <w:r>
        <w:t xml:space="preserve"> </w:t>
      </w:r>
      <w:r w:rsidRPr="00716CDF">
        <w:t xml:space="preserve">flexibility and provides several </w:t>
      </w:r>
      <w:r>
        <w:t>argument</w:t>
      </w:r>
      <w:r w:rsidRPr="00716CDF">
        <w:t xml:space="preserve">s </w:t>
      </w:r>
      <w:r>
        <w:t xml:space="preserve">as to </w:t>
      </w:r>
      <w:r w:rsidRPr="00716CDF">
        <w:t xml:space="preserve">why </w:t>
      </w:r>
      <w:r>
        <w:t xml:space="preserve">certain </w:t>
      </w:r>
      <w:r w:rsidRPr="00716CDF">
        <w:t>heterogeneous aggregations are not desirable.</w:t>
      </w:r>
      <w:r w:rsidRPr="00550B44">
        <w:rPr>
          <w:rStyle w:val="FootnoteReference"/>
        </w:rPr>
        <w:footnoteReference w:id="332"/>
      </w:r>
      <w:r w:rsidRPr="00716CDF">
        <w:t xml:space="preserve">  </w:t>
      </w:r>
      <w:r>
        <w:t xml:space="preserve">More specifically, ISO-NE argues that (1) demand-side load resources </w:t>
      </w:r>
      <w:r w:rsidRPr="00716CDF">
        <w:t>should only be allowed to participate in aggregations with other load</w:t>
      </w:r>
      <w:r>
        <w:t xml:space="preserve"> because of how certain charges and credits are allocated to load;</w:t>
      </w:r>
      <w:r w:rsidRPr="00550B44">
        <w:rPr>
          <w:rStyle w:val="FootnoteReference"/>
        </w:rPr>
        <w:footnoteReference w:id="333"/>
      </w:r>
      <w:r>
        <w:t xml:space="preserve"> (2) </w:t>
      </w:r>
      <w:r w:rsidR="00B65F66">
        <w:t xml:space="preserve">electric </w:t>
      </w:r>
      <w:r w:rsidRPr="00716CDF">
        <w:t xml:space="preserve">storage resources would not benefit from participating in aggregations with non-storage distributed energy resources because </w:t>
      </w:r>
      <w:r>
        <w:t xml:space="preserve">of </w:t>
      </w:r>
      <w:r w:rsidRPr="00716CDF">
        <w:t>state</w:t>
      </w:r>
      <w:r w:rsidR="00B65F66">
        <w:t>-</w:t>
      </w:r>
      <w:r w:rsidRPr="00716CDF">
        <w:t>of</w:t>
      </w:r>
      <w:r w:rsidR="00B65F66">
        <w:t>-</w:t>
      </w:r>
      <w:r w:rsidRPr="00716CDF">
        <w:t>charge</w:t>
      </w:r>
      <w:r>
        <w:t xml:space="preserve"> management issues;</w:t>
      </w:r>
      <w:r w:rsidRPr="00550B44">
        <w:rPr>
          <w:rStyle w:val="FootnoteReference"/>
        </w:rPr>
        <w:footnoteReference w:id="334"/>
      </w:r>
      <w:r>
        <w:t xml:space="preserve"> and </w:t>
      </w:r>
      <w:r w:rsidR="00FB7F86">
        <w:t xml:space="preserve">       </w:t>
      </w:r>
      <w:r>
        <w:t>(3)</w:t>
      </w:r>
      <w:r w:rsidRPr="00716CDF">
        <w:t xml:space="preserve"> aggregat</w:t>
      </w:r>
      <w:r>
        <w:t>ions of</w:t>
      </w:r>
      <w:r w:rsidRPr="00716CDF">
        <w:t xml:space="preserve"> non-intermittent resources </w:t>
      </w:r>
      <w:r>
        <w:t xml:space="preserve">with different physical and economic characteristics </w:t>
      </w:r>
      <w:r w:rsidRPr="00716CDF">
        <w:t>would need to self-schedule</w:t>
      </w:r>
      <w:r>
        <w:t xml:space="preserve">, potentially </w:t>
      </w:r>
      <w:r w:rsidRPr="00153FAC">
        <w:t>add</w:t>
      </w:r>
      <w:r>
        <w:t>ing</w:t>
      </w:r>
      <w:r w:rsidRPr="00153FAC">
        <w:t xml:space="preserve"> financial risk for the participant, reduc</w:t>
      </w:r>
      <w:r>
        <w:t>ing</w:t>
      </w:r>
      <w:r w:rsidRPr="00153FAC">
        <w:t xml:space="preserve"> the efficiency of the dispatch, and contribut</w:t>
      </w:r>
      <w:r>
        <w:t>ing</w:t>
      </w:r>
      <w:r w:rsidRPr="00153FAC">
        <w:t xml:space="preserve"> to uplift or excess generation conditions</w:t>
      </w:r>
      <w:r w:rsidRPr="00716CDF">
        <w:t>.</w:t>
      </w:r>
      <w:r w:rsidRPr="00550B44">
        <w:rPr>
          <w:rStyle w:val="FootnoteReference"/>
        </w:rPr>
        <w:footnoteReference w:id="335"/>
      </w:r>
      <w:r w:rsidRPr="00716CDF">
        <w:t xml:space="preserve"> </w:t>
      </w:r>
      <w:r>
        <w:t xml:space="preserve"> In addition, ISO-NE states that </w:t>
      </w:r>
      <w:r w:rsidR="00C60547">
        <w:t xml:space="preserve">demand response resources </w:t>
      </w:r>
      <w:r>
        <w:t>should not be allowed to participate in distributed energy resource aggregations</w:t>
      </w:r>
      <w:r w:rsidRPr="00E85FD8">
        <w:t xml:space="preserve"> </w:t>
      </w:r>
      <w:r>
        <w:t>because of their distinct settlement rules.</w:t>
      </w:r>
      <w:r w:rsidRPr="00550B44">
        <w:rPr>
          <w:rStyle w:val="FootnoteReference"/>
        </w:rPr>
        <w:footnoteReference w:id="336"/>
      </w:r>
      <w:r w:rsidRPr="00716CDF">
        <w:t xml:space="preserve">  </w:t>
      </w:r>
      <w:r w:rsidRPr="00DA03CB" w:rsidR="00F90EC9">
        <w:t xml:space="preserve">According to ISO-NE, in order to accommodate aggregations that include </w:t>
      </w:r>
      <w:r w:rsidRPr="0060123E" w:rsidR="00B71E0B">
        <w:t xml:space="preserve">both </w:t>
      </w:r>
      <w:r w:rsidRPr="00DA03CB" w:rsidR="00F90EC9">
        <w:t>demand response and non-demand response resource</w:t>
      </w:r>
      <w:r w:rsidRPr="0060123E" w:rsidR="00B71E0B">
        <w:t xml:space="preserve"> components</w:t>
      </w:r>
      <w:r w:rsidRPr="00DA03CB" w:rsidR="00F90EC9">
        <w:t>, ISO-NE would need to establish rules to disaggregate these components for purposes of settlement.  ISO-NE requests that, if they are not required to participate separately, the Commission clarify which rules must apply to such resources.</w:t>
      </w:r>
      <w:r w:rsidRPr="00DA03CB" w:rsidR="00F90EC9">
        <w:rPr>
          <w:b/>
          <w:vertAlign w:val="superscript"/>
        </w:rPr>
        <w:footnoteReference w:id="337"/>
      </w:r>
      <w:r w:rsidRPr="00DA03CB" w:rsidR="00F90EC9">
        <w:t xml:space="preserve">   </w:t>
      </w:r>
      <w:r w:rsidRPr="00DA03CB" w:rsidR="0008769E">
        <w:t>ISO-NE a</w:t>
      </w:r>
      <w:r w:rsidRPr="0060123E" w:rsidR="0008769E">
        <w:t>dds</w:t>
      </w:r>
      <w:r w:rsidRPr="00DA03CB" w:rsidR="0008769E">
        <w:t xml:space="preserve"> that its region is steadily transitioning its energy market away from self-scheduling and toward requiring all energy supply and demand to be priced and</w:t>
      </w:r>
      <w:r w:rsidRPr="0060123E" w:rsidR="0008769E">
        <w:t xml:space="preserve"> that being required to </w:t>
      </w:r>
      <w:r w:rsidRPr="00DA03CB" w:rsidR="0008769E">
        <w:t>implement rules that accommodate aggregations composed of heterogenous resource types would be a significant step backwards in that effort.</w:t>
      </w:r>
      <w:r w:rsidRPr="00DA03CB" w:rsidR="0008769E">
        <w:rPr>
          <w:b/>
          <w:vertAlign w:val="superscript"/>
        </w:rPr>
        <w:footnoteReference w:id="338"/>
      </w:r>
    </w:p>
    <w:p w:rsidR="00E73BEF" w:rsidP="00E73BEF" w:rsidRDefault="00E73BEF" w14:paraId="23534D4A" w14:textId="52633A84">
      <w:pPr>
        <w:pStyle w:val="Heading4"/>
      </w:pPr>
      <w:bookmarkStart w:name="_bmk29" w:id="55"/>
      <w:r>
        <w:t>C</w:t>
      </w:r>
      <w:bookmarkEnd w:id="55"/>
      <w:r>
        <w:t>ommission Determination</w:t>
      </w:r>
    </w:p>
    <w:p w:rsidRPr="00FD6C29" w:rsidR="008D1463" w:rsidP="008D1463" w:rsidRDefault="00A66793" w14:paraId="083E468C" w14:textId="6CE5F5A8">
      <w:pPr>
        <w:pStyle w:val="FERCparanumber"/>
      </w:pPr>
      <w:r>
        <w:t xml:space="preserve">To implement </w:t>
      </w:r>
      <w:r w:rsidR="00F16837">
        <w:t>§</w:t>
      </w:r>
      <w:r>
        <w:t xml:space="preserve"> </w:t>
      </w:r>
      <w:bookmarkStart w:name="_Hlk34756478" w:id="56"/>
      <w:r w:rsidRPr="00A54C89" w:rsidR="008D1463">
        <w:t>35.</w:t>
      </w:r>
      <w:r w:rsidR="008D1463">
        <w:t>2</w:t>
      </w:r>
      <w:r w:rsidRPr="00494DBC" w:rsidR="008D1463">
        <w:t>8(g)(1</w:t>
      </w:r>
      <w:r w:rsidR="00CD5DB1">
        <w:t>2</w:t>
      </w:r>
      <w:r w:rsidRPr="00494DBC" w:rsidR="008D1463">
        <w:t>)(ii)(a)</w:t>
      </w:r>
      <w:r w:rsidRPr="00A54C89" w:rsidR="008D1463">
        <w:t xml:space="preserve"> </w:t>
      </w:r>
      <w:r w:rsidR="00002A04">
        <w:t>of</w:t>
      </w:r>
      <w:r w:rsidRPr="00A54C89" w:rsidR="008D1463">
        <w:t xml:space="preserve"> the Commission’s regulations</w:t>
      </w:r>
      <w:r w:rsidR="00002A04">
        <w:t>,</w:t>
      </w:r>
      <w:r w:rsidR="008D1463">
        <w:t xml:space="preserve"> </w:t>
      </w:r>
      <w:bookmarkEnd w:id="56"/>
      <w:r>
        <w:t>we</w:t>
      </w:r>
      <w:r w:rsidR="008D1463">
        <w:t xml:space="preserve"> require </w:t>
      </w:r>
      <w:r w:rsidR="009563FB">
        <w:t xml:space="preserve">that </w:t>
      </w:r>
      <w:r w:rsidR="008D1463">
        <w:t>each RTO</w:t>
      </w:r>
      <w:r w:rsidR="00394944">
        <w:t>’s</w:t>
      </w:r>
      <w:r w:rsidR="008D1463">
        <w:t>/ISO</w:t>
      </w:r>
      <w:r w:rsidR="00394944">
        <w:t>’s rules do</w:t>
      </w:r>
      <w:r w:rsidRPr="00A72E77" w:rsidR="008D1463">
        <w:t xml:space="preserve"> not prohibit any particular type of </w:t>
      </w:r>
      <w:r w:rsidR="008D1463">
        <w:t xml:space="preserve">distributed energy resource </w:t>
      </w:r>
      <w:r w:rsidRPr="00A72E77" w:rsidR="008D1463">
        <w:t xml:space="preserve">technology from participating in </w:t>
      </w:r>
      <w:r w:rsidR="008D1463">
        <w:t xml:space="preserve">distributed energy resource </w:t>
      </w:r>
      <w:r w:rsidRPr="00A72E77" w:rsidR="008D1463">
        <w:t>aggregations</w:t>
      </w:r>
      <w:r w:rsidR="008D1463">
        <w:t xml:space="preserve">.  </w:t>
      </w:r>
      <w:r w:rsidR="00F67E7E">
        <w:rPr>
          <w:rFonts w:eastAsia="Times New Roman"/>
        </w:rPr>
        <w:t>We find that</w:t>
      </w:r>
      <w:r w:rsidRPr="00FD6C29" w:rsidR="008D1463">
        <w:rPr>
          <w:rFonts w:eastAsia="Times New Roman"/>
        </w:rPr>
        <w:t xml:space="preserve"> limiting the types of technologies that are allowed to participate in </w:t>
      </w:r>
      <w:r w:rsidR="008D1463">
        <w:rPr>
          <w:rFonts w:eastAsia="Times New Roman"/>
        </w:rPr>
        <w:t>RTO/ISO markets</w:t>
      </w:r>
      <w:r w:rsidRPr="00FD6C29" w:rsidR="008D1463">
        <w:rPr>
          <w:rFonts w:eastAsia="Times New Roman"/>
        </w:rPr>
        <w:t xml:space="preserve"> through a </w:t>
      </w:r>
      <w:r w:rsidR="008D1463">
        <w:rPr>
          <w:rFonts w:eastAsia="Times New Roman"/>
        </w:rPr>
        <w:t>distributed energy resource</w:t>
      </w:r>
      <w:r w:rsidRPr="00FD6C29" w:rsidR="008D1463">
        <w:rPr>
          <w:rFonts w:eastAsia="Times New Roman"/>
        </w:rPr>
        <w:t xml:space="preserve"> aggregator would create a barrier to entry for emerging or future technologies, potentially precluding them from being eligible to provide all of the capacity, energy</w:t>
      </w:r>
      <w:r w:rsidR="00002A04">
        <w:rPr>
          <w:rFonts w:eastAsia="Times New Roman"/>
        </w:rPr>
        <w:t>,</w:t>
      </w:r>
      <w:r w:rsidRPr="00FD6C29" w:rsidR="008D1463">
        <w:rPr>
          <w:rFonts w:eastAsia="Times New Roman"/>
        </w:rPr>
        <w:t xml:space="preserve"> and ancillary services that they are </w:t>
      </w:r>
      <w:bookmarkStart w:name="_Hlk36498908" w:id="57"/>
      <w:r w:rsidRPr="006E649A" w:rsidR="008D1463">
        <w:rPr>
          <w:rFonts w:eastAsia="Times New Roman"/>
        </w:rPr>
        <w:t>technically capable of providing</w:t>
      </w:r>
      <w:bookmarkEnd w:id="57"/>
      <w:r w:rsidRPr="006E649A" w:rsidR="008D1463">
        <w:rPr>
          <w:rFonts w:eastAsia="Times New Roman"/>
        </w:rPr>
        <w:t>.</w:t>
      </w:r>
      <w:r w:rsidRPr="00FD6C29" w:rsidR="008D1463">
        <w:rPr>
          <w:rFonts w:eastAsia="Times New Roman"/>
        </w:rPr>
        <w:t xml:space="preserve">  </w:t>
      </w:r>
      <w:r w:rsidR="00A40AE4">
        <w:rPr>
          <w:rFonts w:eastAsia="Times New Roman"/>
        </w:rPr>
        <w:t>Requiring that</w:t>
      </w:r>
      <w:r w:rsidRPr="00FD6C29" w:rsidR="008D1463">
        <w:rPr>
          <w:rFonts w:eastAsia="Times New Roman"/>
        </w:rPr>
        <w:t xml:space="preserve"> </w:t>
      </w:r>
      <w:r w:rsidR="00892360">
        <w:rPr>
          <w:rFonts w:eastAsia="Times New Roman"/>
        </w:rPr>
        <w:t xml:space="preserve">each </w:t>
      </w:r>
      <w:r w:rsidRPr="00FD6C29" w:rsidR="008D1463">
        <w:rPr>
          <w:rFonts w:eastAsia="Times New Roman"/>
        </w:rPr>
        <w:t>RTO</w:t>
      </w:r>
      <w:r w:rsidR="00892360">
        <w:rPr>
          <w:rFonts w:eastAsia="Times New Roman"/>
        </w:rPr>
        <w:t>’</w:t>
      </w:r>
      <w:r w:rsidRPr="00FD6C29" w:rsidR="008D1463">
        <w:rPr>
          <w:rFonts w:eastAsia="Times New Roman"/>
        </w:rPr>
        <w:t>s/ISO</w:t>
      </w:r>
      <w:r w:rsidR="00892360">
        <w:rPr>
          <w:rFonts w:eastAsia="Times New Roman"/>
        </w:rPr>
        <w:t>’</w:t>
      </w:r>
      <w:r w:rsidRPr="00FD6C29" w:rsidR="008D1463">
        <w:rPr>
          <w:rFonts w:eastAsia="Times New Roman"/>
        </w:rPr>
        <w:t xml:space="preserve">s </w:t>
      </w:r>
      <w:r w:rsidR="00892360">
        <w:rPr>
          <w:rFonts w:eastAsia="Times New Roman"/>
        </w:rPr>
        <w:t xml:space="preserve">rules </w:t>
      </w:r>
      <w:r w:rsidR="00A40AE4">
        <w:rPr>
          <w:rFonts w:eastAsia="Times New Roman"/>
        </w:rPr>
        <w:t>do not</w:t>
      </w:r>
      <w:r w:rsidRPr="00FD6C29" w:rsidR="008D1463">
        <w:rPr>
          <w:rFonts w:eastAsia="Times New Roman"/>
        </w:rPr>
        <w:t xml:space="preserve"> exclud</w:t>
      </w:r>
      <w:r w:rsidR="00A40AE4">
        <w:rPr>
          <w:rFonts w:eastAsia="Times New Roman"/>
        </w:rPr>
        <w:t>e</w:t>
      </w:r>
      <w:r w:rsidRPr="00FD6C29" w:rsidR="008D1463">
        <w:rPr>
          <w:rFonts w:eastAsia="Times New Roman"/>
        </w:rPr>
        <w:t xml:space="preserve"> any particular types of technolog</w:t>
      </w:r>
      <w:r w:rsidR="00AC76C7">
        <w:rPr>
          <w:rFonts w:eastAsia="Times New Roman"/>
        </w:rPr>
        <w:t>y</w:t>
      </w:r>
      <w:r w:rsidRPr="00FD6C29" w:rsidR="008D1463">
        <w:rPr>
          <w:rFonts w:eastAsia="Times New Roman"/>
        </w:rPr>
        <w:t xml:space="preserve"> </w:t>
      </w:r>
      <w:r w:rsidR="00A40AE4">
        <w:rPr>
          <w:rFonts w:eastAsia="Times New Roman"/>
        </w:rPr>
        <w:t xml:space="preserve">from participating </w:t>
      </w:r>
      <w:r w:rsidRPr="00FD6C29" w:rsidR="008D1463">
        <w:rPr>
          <w:rFonts w:eastAsia="Times New Roman"/>
        </w:rPr>
        <w:t xml:space="preserve">in </w:t>
      </w:r>
      <w:r w:rsidR="00A40AE4">
        <w:rPr>
          <w:rFonts w:eastAsia="Times New Roman"/>
        </w:rPr>
        <w:t xml:space="preserve">distributed energy resource aggregations in </w:t>
      </w:r>
      <w:r w:rsidR="008D1463">
        <w:rPr>
          <w:rFonts w:eastAsia="Times New Roman"/>
        </w:rPr>
        <w:t>RTO/ISO</w:t>
      </w:r>
      <w:r w:rsidRPr="00FD6C29" w:rsidR="008D1463">
        <w:rPr>
          <w:rFonts w:eastAsia="Times New Roman"/>
        </w:rPr>
        <w:t xml:space="preserve"> markets will ensure a technology-neutral approach to </w:t>
      </w:r>
      <w:r w:rsidR="008D1463">
        <w:rPr>
          <w:rFonts w:eastAsia="Times New Roman"/>
        </w:rPr>
        <w:t>distributed energy resource</w:t>
      </w:r>
      <w:r w:rsidRPr="00FD6C29" w:rsidR="008D1463">
        <w:rPr>
          <w:rFonts w:eastAsia="Times New Roman"/>
        </w:rPr>
        <w:t xml:space="preserve"> aggregations, which will ensure that more resources are able to participate in </w:t>
      </w:r>
      <w:r w:rsidR="008D1463">
        <w:rPr>
          <w:rFonts w:eastAsia="Times New Roman"/>
        </w:rPr>
        <w:t>such</w:t>
      </w:r>
      <w:r w:rsidRPr="00FD6C29" w:rsidR="008D1463">
        <w:rPr>
          <w:rFonts w:eastAsia="Times New Roman"/>
        </w:rPr>
        <w:t xml:space="preserve"> aggregations, </w:t>
      </w:r>
      <w:r w:rsidR="00F67E7E">
        <w:rPr>
          <w:rFonts w:eastAsia="Times New Roman"/>
        </w:rPr>
        <w:t>thereby</w:t>
      </w:r>
      <w:r w:rsidRPr="00FD6C29" w:rsidR="008D1463">
        <w:rPr>
          <w:rFonts w:eastAsia="Times New Roman"/>
        </w:rPr>
        <w:t xml:space="preserve"> help</w:t>
      </w:r>
      <w:r w:rsidR="00F67E7E">
        <w:rPr>
          <w:rFonts w:eastAsia="Times New Roman"/>
        </w:rPr>
        <w:t>ing to</w:t>
      </w:r>
      <w:r w:rsidRPr="00FD6C29" w:rsidR="008D1463">
        <w:rPr>
          <w:rFonts w:eastAsia="Times New Roman"/>
        </w:rPr>
        <w:t xml:space="preserve"> enhance competition and ensure just and reasonable rates.</w:t>
      </w:r>
    </w:p>
    <w:p w:rsidR="008D1463" w:rsidP="008D1463" w:rsidRDefault="00D7274E" w14:paraId="58252301" w14:textId="4D0E1189">
      <w:pPr>
        <w:pStyle w:val="FERCparanumber"/>
      </w:pPr>
      <w:r w:rsidRPr="0060123E">
        <w:t xml:space="preserve">We agree with </w:t>
      </w:r>
      <w:r w:rsidRPr="00257C19" w:rsidR="00E039A9">
        <w:t xml:space="preserve">commenters </w:t>
      </w:r>
      <w:r w:rsidRPr="0060123E">
        <w:t xml:space="preserve">that </w:t>
      </w:r>
      <w:r w:rsidRPr="00257C19" w:rsidR="00E039A9">
        <w:t xml:space="preserve">generally support </w:t>
      </w:r>
      <w:r w:rsidRPr="00257C19" w:rsidR="006B616E">
        <w:t xml:space="preserve">requiring RTOs/ISOs to </w:t>
      </w:r>
      <w:r w:rsidRPr="00257C19" w:rsidR="00E039A9">
        <w:t>allow groupings of different technolog</w:t>
      </w:r>
      <w:r w:rsidRPr="0060123E" w:rsidR="006C4E7E">
        <w:t>y</w:t>
      </w:r>
      <w:r w:rsidRPr="00257C19" w:rsidR="00E039A9">
        <w:t xml:space="preserve"> types in distributed energy resource aggregations.</w:t>
      </w:r>
      <w:r w:rsidRPr="00257C19" w:rsidR="00E039A9">
        <w:rPr>
          <w:b/>
          <w:vertAlign w:val="superscript"/>
        </w:rPr>
        <w:footnoteReference w:id="339"/>
      </w:r>
      <w:r w:rsidRPr="00E039A9" w:rsidR="00E039A9">
        <w:t xml:space="preserve">  </w:t>
      </w:r>
      <w:r w:rsidR="008D1463">
        <w:t>Additio</w:t>
      </w:r>
      <w:r w:rsidRPr="00BD5F08" w:rsidR="008D1463">
        <w:rPr>
          <w:rStyle w:val="FERCparanumberChar"/>
        </w:rPr>
        <w:t>n</w:t>
      </w:r>
      <w:r w:rsidR="008D1463">
        <w:t>ally</w:t>
      </w:r>
      <w:r w:rsidRPr="00A72E77" w:rsidR="008D1463">
        <w:t xml:space="preserve">, </w:t>
      </w:r>
      <w:r w:rsidR="008D1463">
        <w:t>we agree with NRG that,</w:t>
      </w:r>
      <w:r w:rsidRPr="00A72E77" w:rsidR="008D1463">
        <w:t xml:space="preserve"> while some individual resources or certain technologies may not be able to meet the qualification or performance requirements to provide </w:t>
      </w:r>
      <w:r w:rsidR="00594C13">
        <w:t xml:space="preserve">certain </w:t>
      </w:r>
      <w:r w:rsidRPr="00A72E77" w:rsidR="008D1463">
        <w:t xml:space="preserve">services to </w:t>
      </w:r>
      <w:r w:rsidR="008D1463">
        <w:t>RTO/ISO</w:t>
      </w:r>
      <w:r w:rsidRPr="00A72E77" w:rsidR="008D1463">
        <w:t xml:space="preserve"> markets on their own, they may </w:t>
      </w:r>
      <w:r w:rsidR="00594C13">
        <w:t xml:space="preserve">be able to </w:t>
      </w:r>
      <w:r w:rsidRPr="00A72E77" w:rsidR="008D1463">
        <w:t xml:space="preserve">satisfy such requirements as part of a </w:t>
      </w:r>
      <w:r w:rsidR="008D1463">
        <w:t xml:space="preserve">distributed energy resource </w:t>
      </w:r>
      <w:r w:rsidRPr="00A72E77" w:rsidR="008D1463">
        <w:t>aggregation where resources complement one another’s capabilities.</w:t>
      </w:r>
      <w:r w:rsidRPr="00AF3995" w:rsidR="008D1463">
        <w:rPr>
          <w:rStyle w:val="FootnoteReference"/>
        </w:rPr>
        <w:footnoteReference w:id="340"/>
      </w:r>
      <w:r w:rsidRPr="00A72E77" w:rsidR="008D1463">
        <w:t xml:space="preserve">  </w:t>
      </w:r>
      <w:r w:rsidR="00F67E7E">
        <w:t>For instance, i</w:t>
      </w:r>
      <w:r w:rsidR="008D1463">
        <w:t xml:space="preserve">n the NOPR, the Commission </w:t>
      </w:r>
      <w:r w:rsidR="00AC76C7">
        <w:t>stated</w:t>
      </w:r>
      <w:r w:rsidR="008D1463">
        <w:t xml:space="preserve"> that </w:t>
      </w:r>
      <w:r w:rsidR="00594C13">
        <w:t>aggregating</w:t>
      </w:r>
      <w:r w:rsidR="008D1463">
        <w:t xml:space="preserve"> electric storage resources with distributed generation could allow the aggregat</w:t>
      </w:r>
      <w:r w:rsidR="00594C13">
        <w:t>ion</w:t>
      </w:r>
      <w:r w:rsidR="008D1463">
        <w:t xml:space="preserve"> to achieve performance requirements (such as minimum run times) that an electric storage resource could not meet on its own and provide services (such as regulation) that distributed generation may not be able to </w:t>
      </w:r>
      <w:r w:rsidRPr="00E4186D" w:rsidR="008D1463">
        <w:t>provide on its own.</w:t>
      </w:r>
      <w:r w:rsidRPr="00E4186D" w:rsidR="008D1463">
        <w:rPr>
          <w:rStyle w:val="FootnoteReference"/>
        </w:rPr>
        <w:footnoteReference w:id="341"/>
      </w:r>
      <w:r w:rsidRPr="00E4186D" w:rsidR="008D1463">
        <w:t xml:space="preserve">  Therefore, to implement </w:t>
      </w:r>
      <w:r w:rsidR="00F16837">
        <w:t xml:space="preserve">§ </w:t>
      </w:r>
      <w:r w:rsidRPr="00E4186D" w:rsidR="008D1463">
        <w:t>35.28(g)(1</w:t>
      </w:r>
      <w:r w:rsidR="00CD5DB1">
        <w:t>2</w:t>
      </w:r>
      <w:r w:rsidRPr="00E4186D" w:rsidR="008D1463">
        <w:t>)(ii)(a) of the</w:t>
      </w:r>
      <w:r w:rsidR="008D1463">
        <w:t xml:space="preserve"> Commission’s regulations, we clarify the NOPR proposal and require each RTO/ISO to revise its tariff to allow different </w:t>
      </w:r>
      <w:r w:rsidR="00594C13">
        <w:t xml:space="preserve">types of </w:t>
      </w:r>
      <w:r w:rsidR="008D1463">
        <w:t xml:space="preserve">distributed </w:t>
      </w:r>
      <w:r w:rsidR="00594C13">
        <w:t xml:space="preserve">energy </w:t>
      </w:r>
      <w:r w:rsidR="008D1463">
        <w:t xml:space="preserve">resource technologies to participate in a single distributed energy resource aggregation (i.e., </w:t>
      </w:r>
      <w:r w:rsidRPr="00A72E77" w:rsidR="008D1463">
        <w:t xml:space="preserve">allow heterogeneous </w:t>
      </w:r>
      <w:r w:rsidR="008D1463">
        <w:t xml:space="preserve">distributed energy resource </w:t>
      </w:r>
      <w:r w:rsidRPr="00A72E77" w:rsidR="008D1463">
        <w:t>aggregations</w:t>
      </w:r>
      <w:r w:rsidR="008D1463">
        <w:t>)</w:t>
      </w:r>
      <w:r w:rsidRPr="00A72E77" w:rsidR="008D1463">
        <w:t>.</w:t>
      </w:r>
      <w:r w:rsidR="00144CC5">
        <w:rPr>
          <w:rStyle w:val="FootnoteReference"/>
        </w:rPr>
        <w:footnoteReference w:id="342"/>
      </w:r>
      <w:r w:rsidRPr="00A72E77" w:rsidDel="00AF4388" w:rsidR="008D1463">
        <w:t xml:space="preserve"> </w:t>
      </w:r>
      <w:r w:rsidR="007401D0">
        <w:t xml:space="preserve"> </w:t>
      </w:r>
      <w:r w:rsidR="008D1463">
        <w:t xml:space="preserve">Requiring that RTOs/ISOs allow heterogeneous aggregations will further enhance competition in RTO/ISO markets by ensuring </w:t>
      </w:r>
      <w:r w:rsidR="00394944">
        <w:t xml:space="preserve">that </w:t>
      </w:r>
      <w:r w:rsidR="008D1463">
        <w:t>complementary resources</w:t>
      </w:r>
      <w:r w:rsidR="006D72C3">
        <w:t>, including those with different physical and operational characteristics,</w:t>
      </w:r>
      <w:r w:rsidR="008D1463">
        <w:t xml:space="preserve"> can </w:t>
      </w:r>
      <w:r w:rsidR="00AB5E52">
        <w:t>meet qualification and performance</w:t>
      </w:r>
      <w:r w:rsidR="008D1463">
        <w:t xml:space="preserve"> requirements such as minimum run times, which will help ensure that these markets produce just and reasonable rates.</w:t>
      </w:r>
    </w:p>
    <w:p w:rsidR="00F214EC" w:rsidP="00C82C3D" w:rsidRDefault="00892360" w14:paraId="6317B048" w14:textId="312DA36B">
      <w:pPr>
        <w:pStyle w:val="FERCparanumber"/>
      </w:pPr>
      <w:r>
        <w:t>W</w:t>
      </w:r>
      <w:r w:rsidRPr="0060123E" w:rsidR="008D1463">
        <w:t xml:space="preserve">e are unconvinced by arguments in favor of homogeneous aggregations.  </w:t>
      </w:r>
      <w:r w:rsidRPr="0060123E" w:rsidR="009A45F4">
        <w:t>We find that the benefits of allowing heterogeneous aggregations outweigh the concerns regarding complexity of implementation</w:t>
      </w:r>
      <w:r w:rsidRPr="0060123E" w:rsidR="00783D41">
        <w:t xml:space="preserve">.  </w:t>
      </w:r>
      <w:r w:rsidRPr="0060123E" w:rsidR="00CA5AE3">
        <w:t xml:space="preserve">While SPP and ISO-NE indicate that </w:t>
      </w:r>
      <w:r w:rsidRPr="0060123E" w:rsidR="00C82C3D">
        <w:t>market rules allow</w:t>
      </w:r>
      <w:r w:rsidRPr="0060123E" w:rsidR="00790278">
        <w:t>ing for</w:t>
      </w:r>
      <w:r w:rsidRPr="0060123E" w:rsidR="00C82C3D">
        <w:t xml:space="preserve"> </w:t>
      </w:r>
      <w:r w:rsidRPr="0060123E" w:rsidR="00CA5AE3">
        <w:t xml:space="preserve">heterogeneous aggregations would be challenging to </w:t>
      </w:r>
      <w:r w:rsidRPr="0060123E" w:rsidR="00790278">
        <w:t xml:space="preserve">develop and </w:t>
      </w:r>
      <w:r w:rsidRPr="0060123E" w:rsidR="00CA5AE3">
        <w:t>implement,</w:t>
      </w:r>
      <w:r w:rsidRPr="0060123E" w:rsidR="00322155">
        <w:rPr>
          <w:b/>
          <w:vertAlign w:val="superscript"/>
        </w:rPr>
        <w:footnoteReference w:id="343"/>
      </w:r>
      <w:r w:rsidRPr="0060123E" w:rsidR="00CA5AE3">
        <w:t xml:space="preserve"> neither </w:t>
      </w:r>
      <w:r w:rsidRPr="0060123E" w:rsidR="00790278">
        <w:t xml:space="preserve">explains why </w:t>
      </w:r>
      <w:r w:rsidRPr="0060123E" w:rsidR="00CA5AE3">
        <w:t xml:space="preserve">their markets are unique such that it would be </w:t>
      </w:r>
      <w:r w:rsidRPr="0060123E" w:rsidR="00790278">
        <w:t>necessary</w:t>
      </w:r>
      <w:r w:rsidRPr="0060123E" w:rsidR="00CA5AE3">
        <w:t xml:space="preserve"> for the Commission to permit </w:t>
      </w:r>
      <w:r w:rsidRPr="0060123E" w:rsidR="00F1284C">
        <w:t xml:space="preserve">regional </w:t>
      </w:r>
      <w:r w:rsidRPr="0060123E" w:rsidR="00CA5AE3">
        <w:t>flexibility.</w:t>
      </w:r>
      <w:r w:rsidRPr="0060123E" w:rsidR="00C82C3D">
        <w:t xml:space="preserve">  In addition, concerns about </w:t>
      </w:r>
      <w:r w:rsidRPr="0060123E" w:rsidR="00F214EC">
        <w:t xml:space="preserve">RTOs’/ISOs’ ability to </w:t>
      </w:r>
      <w:r w:rsidRPr="0060123E" w:rsidR="00C82C3D">
        <w:t>manag</w:t>
      </w:r>
      <w:r w:rsidRPr="0060123E" w:rsidR="00F214EC">
        <w:t>e</w:t>
      </w:r>
      <w:r w:rsidRPr="0060123E" w:rsidR="00C82C3D">
        <w:t xml:space="preserve"> </w:t>
      </w:r>
      <w:r w:rsidRPr="0060123E" w:rsidR="00F214EC">
        <w:t>a diverse set of distributed energy resources are</w:t>
      </w:r>
      <w:r w:rsidRPr="0060123E" w:rsidR="00C82C3D">
        <w:t xml:space="preserve"> </w:t>
      </w:r>
      <w:r w:rsidRPr="0060123E" w:rsidR="008D1463">
        <w:t xml:space="preserve">misplaced because the </w:t>
      </w:r>
      <w:r w:rsidRPr="0060123E" w:rsidR="009F0103">
        <w:t xml:space="preserve">distributed </w:t>
      </w:r>
      <w:r w:rsidRPr="0060123E" w:rsidR="00163A94">
        <w:t>energy resource</w:t>
      </w:r>
      <w:r w:rsidRPr="0060123E" w:rsidR="009F0103">
        <w:t xml:space="preserve"> </w:t>
      </w:r>
      <w:r w:rsidRPr="0060123E" w:rsidR="008D1463">
        <w:t xml:space="preserve">aggregator, </w:t>
      </w:r>
      <w:r w:rsidRPr="0060123E" w:rsidR="001819B0">
        <w:t>not</w:t>
      </w:r>
      <w:r w:rsidRPr="0060123E" w:rsidR="008D1463">
        <w:t xml:space="preserve"> an individual distributed energy resource in the aggregation, is the market participant with whom the RTO/ISO would be interacting.  Moreover, the aggregator, not the RTO/ISO, would be responsible for </w:t>
      </w:r>
      <w:r w:rsidRPr="0060123E" w:rsidR="00E86551">
        <w:t>ensuring</w:t>
      </w:r>
      <w:r w:rsidRPr="0060123E" w:rsidR="008D1463">
        <w:t xml:space="preserve"> </w:t>
      </w:r>
      <w:r w:rsidRPr="0060123E" w:rsidR="00E86551">
        <w:t xml:space="preserve">that </w:t>
      </w:r>
      <w:r w:rsidRPr="0060123E" w:rsidR="008D1463">
        <w:t>the distributed energy resource aggregat</w:t>
      </w:r>
      <w:r w:rsidRPr="0060123E" w:rsidR="009B7029">
        <w:t>ion</w:t>
      </w:r>
      <w:r w:rsidRPr="0060123E" w:rsidR="00CB5352">
        <w:t xml:space="preserve"> </w:t>
      </w:r>
      <w:r w:rsidRPr="0060123E" w:rsidR="007317A5">
        <w:t>meets</w:t>
      </w:r>
      <w:r w:rsidRPr="0060123E" w:rsidR="00CB5352">
        <w:t xml:space="preserve"> applicable RTO/ISO performance </w:t>
      </w:r>
      <w:r w:rsidRPr="0060123E" w:rsidR="005726FE">
        <w:t xml:space="preserve">and registration </w:t>
      </w:r>
      <w:r w:rsidRPr="0060123E" w:rsidR="001819B0">
        <w:t>requirements</w:t>
      </w:r>
      <w:r w:rsidRPr="0060123E" w:rsidR="008D1463">
        <w:t>.</w:t>
      </w:r>
      <w:r w:rsidR="008D1463">
        <w:t xml:space="preserve">  </w:t>
      </w:r>
    </w:p>
    <w:p w:rsidRPr="0060123E" w:rsidR="00783D41" w:rsidP="00C82C3D" w:rsidRDefault="006E035B" w14:paraId="3FA7934A" w14:textId="37A387BE">
      <w:pPr>
        <w:pStyle w:val="FERCparanumber"/>
      </w:pPr>
      <w:r>
        <w:t xml:space="preserve">We </w:t>
      </w:r>
      <w:r w:rsidR="00E13AF2">
        <w:t>also</w:t>
      </w:r>
      <w:r>
        <w:t xml:space="preserve"> </w:t>
      </w:r>
      <w:r w:rsidR="00402E61">
        <w:t>are not persuaded by</w:t>
      </w:r>
      <w:r>
        <w:t xml:space="preserve"> ISO-NE’s reservations related to </w:t>
      </w:r>
      <w:r w:rsidR="00296829">
        <w:t>state</w:t>
      </w:r>
      <w:r w:rsidR="00E9468E">
        <w:t xml:space="preserve">-of-charge management and self-scheduling. </w:t>
      </w:r>
      <w:r>
        <w:t xml:space="preserve"> </w:t>
      </w:r>
      <w:r w:rsidR="00682273">
        <w:t xml:space="preserve">We </w:t>
      </w:r>
      <w:r w:rsidR="00041FB2">
        <w:t xml:space="preserve">find that market participants are </w:t>
      </w:r>
      <w:r w:rsidR="004727BE">
        <w:t>best</w:t>
      </w:r>
      <w:r w:rsidR="00041FB2">
        <w:t xml:space="preserve"> positioned to make </w:t>
      </w:r>
      <w:r w:rsidR="005B29AF">
        <w:t>these partic</w:t>
      </w:r>
      <w:r w:rsidR="003254EC">
        <w:t xml:space="preserve">ipation decisions.  </w:t>
      </w:r>
      <w:r w:rsidR="00A32CCF">
        <w:t xml:space="preserve">If </w:t>
      </w:r>
      <w:r w:rsidR="00E624F9">
        <w:t>ISO-NE is correct that</w:t>
      </w:r>
      <w:r w:rsidR="00131DB0">
        <w:t xml:space="preserve"> </w:t>
      </w:r>
      <w:r w:rsidR="00EE42FD">
        <w:t>self-scheduling adds financial risk for the participant and that</w:t>
      </w:r>
      <w:r w:rsidR="004E30BB">
        <w:t>, because of</w:t>
      </w:r>
      <w:r w:rsidR="00EE42FD">
        <w:t xml:space="preserve"> state</w:t>
      </w:r>
      <w:r w:rsidR="005A516C">
        <w:t>-</w:t>
      </w:r>
      <w:r w:rsidR="00EE42FD">
        <w:t>of</w:t>
      </w:r>
      <w:r w:rsidR="005A516C">
        <w:t>-</w:t>
      </w:r>
      <w:r w:rsidR="00EE42FD">
        <w:t>charge management issues</w:t>
      </w:r>
      <w:r w:rsidR="004E30BB">
        <w:t>,</w:t>
      </w:r>
      <w:r w:rsidR="00872FC5">
        <w:t xml:space="preserve"> </w:t>
      </w:r>
      <w:r w:rsidR="005A516C">
        <w:t xml:space="preserve">electric </w:t>
      </w:r>
      <w:r w:rsidR="00E97ADB">
        <w:t>storage</w:t>
      </w:r>
      <w:r w:rsidR="004455EC">
        <w:t xml:space="preserve"> </w:t>
      </w:r>
      <w:r w:rsidR="005A516C">
        <w:t xml:space="preserve">resources </w:t>
      </w:r>
      <w:r w:rsidR="004E30BB">
        <w:t xml:space="preserve">would not benefit from </w:t>
      </w:r>
      <w:r w:rsidR="005A516C">
        <w:t xml:space="preserve">participating in </w:t>
      </w:r>
      <w:r w:rsidR="006A55DA">
        <w:t>distributed</w:t>
      </w:r>
      <w:r w:rsidR="00BE5CD9">
        <w:t xml:space="preserve"> energy </w:t>
      </w:r>
      <w:r w:rsidRPr="0060123E" w:rsidR="00E97ADB">
        <w:t>resource</w:t>
      </w:r>
      <w:r w:rsidRPr="0060123E" w:rsidR="005A516C">
        <w:t xml:space="preserve"> aggregations</w:t>
      </w:r>
      <w:r w:rsidRPr="0060123E" w:rsidR="009A34A6">
        <w:t>,</w:t>
      </w:r>
      <w:r w:rsidRPr="0060123E" w:rsidR="00BE5CD9">
        <w:t xml:space="preserve"> then </w:t>
      </w:r>
      <w:r w:rsidRPr="0060123E" w:rsidR="007A21FD">
        <w:t>we would expect</w:t>
      </w:r>
      <w:r w:rsidRPr="0060123E" w:rsidR="00EB4F68">
        <w:t xml:space="preserve"> </w:t>
      </w:r>
      <w:r w:rsidRPr="0060123E" w:rsidR="00566FC8">
        <w:t xml:space="preserve">market participants to </w:t>
      </w:r>
      <w:r w:rsidRPr="0060123E" w:rsidR="009A5862">
        <w:t xml:space="preserve">act </w:t>
      </w:r>
      <w:r w:rsidRPr="0060123E" w:rsidR="009F0103">
        <w:t>in their economic interest</w:t>
      </w:r>
      <w:r w:rsidRPr="0060123E" w:rsidR="00995892">
        <w:t>.</w:t>
      </w:r>
      <w:r w:rsidRPr="0060123E" w:rsidR="007501FD">
        <w:t xml:space="preserve">  </w:t>
      </w:r>
    </w:p>
    <w:p w:rsidR="00321914" w:rsidP="00C82C3D" w:rsidRDefault="00BC4308" w14:paraId="12FE9339" w14:textId="3764D4F3">
      <w:pPr>
        <w:pStyle w:val="FERCparanumber"/>
      </w:pPr>
      <w:r w:rsidRPr="00C81CF6">
        <w:t>As t</w:t>
      </w:r>
      <w:r w:rsidRPr="00C81CF6" w:rsidR="009668AE">
        <w:t xml:space="preserve">o ISO-NE’s </w:t>
      </w:r>
      <w:r w:rsidRPr="00C81CF6" w:rsidR="0068447B">
        <w:t>concerns</w:t>
      </w:r>
      <w:r w:rsidRPr="00C81CF6" w:rsidR="00F3770D">
        <w:t xml:space="preserve"> </w:t>
      </w:r>
      <w:r w:rsidRPr="00C81CF6" w:rsidR="00601A36">
        <w:t xml:space="preserve">about </w:t>
      </w:r>
      <w:r w:rsidRPr="00C81CF6" w:rsidR="004E3932">
        <w:t>incorporat</w:t>
      </w:r>
      <w:r w:rsidRPr="00C81CF6" w:rsidR="00601A36">
        <w:t>ing</w:t>
      </w:r>
      <w:r w:rsidRPr="00C81CF6" w:rsidR="004E3932">
        <w:t xml:space="preserve"> </w:t>
      </w:r>
      <w:r w:rsidRPr="00C81CF6" w:rsidR="004D41EE">
        <w:t xml:space="preserve">demand </w:t>
      </w:r>
      <w:r w:rsidRPr="00C81CF6" w:rsidR="00522972">
        <w:t xml:space="preserve">response </w:t>
      </w:r>
      <w:r w:rsidRPr="00C81CF6" w:rsidR="004D41EE">
        <w:t>resources</w:t>
      </w:r>
      <w:r w:rsidRPr="00C81CF6" w:rsidR="002A2FEA">
        <w:t xml:space="preserve"> in</w:t>
      </w:r>
      <w:r w:rsidRPr="00C81CF6" w:rsidR="00664896">
        <w:t>to</w:t>
      </w:r>
      <w:r w:rsidR="002A2FEA">
        <w:t xml:space="preserve"> distributed energy resource aggregations</w:t>
      </w:r>
      <w:r w:rsidR="004D41EE">
        <w:t>, we note that</w:t>
      </w:r>
      <w:r w:rsidR="008D1463">
        <w:t xml:space="preserve"> </w:t>
      </w:r>
      <w:r w:rsidRPr="00A72E77" w:rsidR="008D1463">
        <w:t xml:space="preserve">demand response </w:t>
      </w:r>
      <w:r w:rsidR="008D1463">
        <w:t xml:space="preserve">aggregations and the resources in them that effectuate load reductions </w:t>
      </w:r>
      <w:r w:rsidR="007317A5">
        <w:t xml:space="preserve">currently </w:t>
      </w:r>
      <w:r w:rsidRPr="00A72E77" w:rsidR="008D1463">
        <w:t xml:space="preserve">are not necessarily composed of the same types of technologies and are already providing services in numerous RTO/ISO markets. </w:t>
      </w:r>
      <w:r w:rsidR="008D1463">
        <w:t xml:space="preserve"> </w:t>
      </w:r>
      <w:r w:rsidRPr="00C83498" w:rsidR="008D1463">
        <w:t xml:space="preserve">Therefore, similar to the Commission’s finding in Order No. 745-A, from the perspective of the </w:t>
      </w:r>
      <w:r w:rsidR="008D1463">
        <w:t>RTO/ISO</w:t>
      </w:r>
      <w:r w:rsidRPr="00C83498" w:rsidR="008D1463">
        <w:t>, the means by which an aggregation is able to provide wholesale services does not change the value of that s</w:t>
      </w:r>
      <w:r w:rsidR="00E1652E">
        <w:t>ervice</w:t>
      </w:r>
      <w:r w:rsidRPr="00C83498" w:rsidR="008D1463">
        <w:t xml:space="preserve"> to the </w:t>
      </w:r>
      <w:r w:rsidRPr="00C81CF6" w:rsidR="008D1463">
        <w:t>wholesale grid.</w:t>
      </w:r>
      <w:r w:rsidRPr="00C81CF6" w:rsidR="004E30BB">
        <w:rPr>
          <w:rStyle w:val="FootnoteReference"/>
        </w:rPr>
        <w:footnoteReference w:id="344"/>
      </w:r>
      <w:r w:rsidRPr="00C81CF6" w:rsidR="008D1463">
        <w:t xml:space="preserve">  </w:t>
      </w:r>
      <w:r w:rsidRPr="00C81CF6" w:rsidR="00F93F62">
        <w:t>In response to ISO-NE</w:t>
      </w:r>
      <w:r w:rsidRPr="00C81CF6" w:rsidR="00601A36">
        <w:t>’s request for clarification about which settlement rules apply to distributed energy resource aggregations composed of both demand response and non-demand response resources</w:t>
      </w:r>
      <w:r w:rsidRPr="00C81CF6" w:rsidR="00F93F62">
        <w:t xml:space="preserve">, we clarify that the </w:t>
      </w:r>
      <w:r w:rsidRPr="00C81CF6" w:rsidR="00163A94">
        <w:t>requirements in</w:t>
      </w:r>
      <w:r w:rsidRPr="00C81CF6" w:rsidR="00F93F62">
        <w:t xml:space="preserve"> Order No. 745 would apply to </w:t>
      </w:r>
      <w:r w:rsidRPr="00C81CF6" w:rsidR="00936C89">
        <w:t xml:space="preserve">demand response resources participating in </w:t>
      </w:r>
      <w:r w:rsidRPr="00C81CF6" w:rsidR="00F93F62">
        <w:t xml:space="preserve">heterogeneous aggregations.  </w:t>
      </w:r>
      <w:r w:rsidRPr="00C81CF6" w:rsidR="000D4E3A">
        <w:t xml:space="preserve">In addition, while ISO-NE </w:t>
      </w:r>
      <w:r w:rsidRPr="00C81CF6" w:rsidR="00F93F62">
        <w:t xml:space="preserve">would </w:t>
      </w:r>
      <w:r w:rsidRPr="00C81CF6" w:rsidR="000D4E3A">
        <w:t xml:space="preserve">prefer to exclude </w:t>
      </w:r>
      <w:r w:rsidRPr="00C81CF6" w:rsidR="00D10795">
        <w:t xml:space="preserve">demand response </w:t>
      </w:r>
      <w:r w:rsidRPr="00257C19" w:rsidR="000D4E3A">
        <w:t>resource</w:t>
      </w:r>
      <w:r w:rsidRPr="00C81CF6" w:rsidR="00D10795">
        <w:t>s</w:t>
      </w:r>
      <w:r w:rsidRPr="00257C19" w:rsidR="000D4E3A">
        <w:t xml:space="preserve"> from </w:t>
      </w:r>
      <w:r w:rsidRPr="00C81CF6" w:rsidR="00D10795">
        <w:t>distributed energy resource</w:t>
      </w:r>
      <w:r w:rsidRPr="00257C19" w:rsidR="000D4E3A">
        <w:t xml:space="preserve"> aggregations to simplify settlement</w:t>
      </w:r>
      <w:r w:rsidRPr="004E69A7" w:rsidR="000D4E3A">
        <w:t xml:space="preserve"> and the allocation of charges </w:t>
      </w:r>
      <w:r w:rsidRPr="004F3CDA" w:rsidR="000D4E3A">
        <w:t>and credits to load, we reiterate that</w:t>
      </w:r>
      <w:r w:rsidRPr="004F3CDA" w:rsidR="00F93F62">
        <w:t xml:space="preserve"> the benefits of allowing heterogeneous aggregations outweigh ISO-NE’s preference </w:t>
      </w:r>
      <w:r w:rsidRPr="00257C19" w:rsidR="00F93F62">
        <w:t>to limit the types of resources that can participate in aggregations.</w:t>
      </w:r>
      <w:r w:rsidR="00F93F62">
        <w:t xml:space="preserve"> </w:t>
      </w:r>
      <w:r w:rsidR="00813695">
        <w:t>We clarify, however, that the participation of demand response in distributed energy resource aggregations is subject to the opt-out and opt-in requirements of Order Nos. 719 and 719-A. Therefore, if the</w:t>
      </w:r>
      <w:r w:rsidRPr="00813695" w:rsidR="00813695">
        <w:rPr>
          <w:rFonts w:eastAsia="Times New Roman"/>
          <w:color w:val="000000"/>
        </w:rPr>
        <w:t xml:space="preserve"> </w:t>
      </w:r>
      <w:r w:rsidR="00813695">
        <w:rPr>
          <w:rFonts w:eastAsia="Times New Roman"/>
          <w:color w:val="000000"/>
        </w:rPr>
        <w:t>relevant elect</w:t>
      </w:r>
      <w:r w:rsidR="00D21538">
        <w:rPr>
          <w:rFonts w:eastAsia="Times New Roman"/>
          <w:color w:val="000000"/>
        </w:rPr>
        <w:t>ric retail regulatory authority where a demand response resource is located has either chosen to opt</w:t>
      </w:r>
      <w:r w:rsidR="00982F6A">
        <w:rPr>
          <w:rFonts w:eastAsia="Times New Roman"/>
          <w:color w:val="000000"/>
        </w:rPr>
        <w:t xml:space="preserve"> </w:t>
      </w:r>
      <w:r w:rsidRPr="008E3BBA" w:rsidR="00D21538">
        <w:rPr>
          <w:rFonts w:eastAsia="Times New Roman"/>
          <w:color w:val="000000"/>
        </w:rPr>
        <w:t xml:space="preserve">out or </w:t>
      </w:r>
      <w:r w:rsidRPr="008E3BBA" w:rsidR="00982F6A">
        <w:rPr>
          <w:rFonts w:eastAsia="Times New Roman"/>
          <w:color w:val="000000"/>
        </w:rPr>
        <w:t xml:space="preserve">has </w:t>
      </w:r>
      <w:r w:rsidRPr="00C905AF" w:rsidR="00D21538">
        <w:rPr>
          <w:rFonts w:eastAsia="Times New Roman"/>
          <w:color w:val="000000"/>
        </w:rPr>
        <w:t>not opt</w:t>
      </w:r>
      <w:r w:rsidRPr="00C905AF" w:rsidR="00982F6A">
        <w:rPr>
          <w:rFonts w:eastAsia="Times New Roman"/>
          <w:color w:val="000000"/>
        </w:rPr>
        <w:t xml:space="preserve">ed </w:t>
      </w:r>
      <w:r w:rsidRPr="00C905AF" w:rsidR="00D21538">
        <w:rPr>
          <w:rFonts w:eastAsia="Times New Roman"/>
          <w:color w:val="000000"/>
        </w:rPr>
        <w:t>in, then the</w:t>
      </w:r>
      <w:r w:rsidR="00D21538">
        <w:rPr>
          <w:rFonts w:eastAsia="Times New Roman"/>
          <w:color w:val="000000"/>
        </w:rPr>
        <w:t xml:space="preserve"> demand response resource may not participate in a distributed energy resource aggregation.</w:t>
      </w:r>
      <w:r w:rsidR="00576C32">
        <w:rPr>
          <w:rStyle w:val="FootnoteReference"/>
          <w:rFonts w:eastAsia="Times New Roman"/>
          <w:color w:val="000000"/>
        </w:rPr>
        <w:footnoteReference w:id="345"/>
      </w:r>
      <w:r w:rsidR="00D21538">
        <w:rPr>
          <w:rFonts w:eastAsia="Times New Roman"/>
          <w:color w:val="000000"/>
        </w:rPr>
        <w:t xml:space="preserve">  </w:t>
      </w:r>
    </w:p>
    <w:p w:rsidRPr="008D1463" w:rsidR="008D1463" w:rsidP="008D1463" w:rsidRDefault="007F6404" w14:paraId="43C8C51A" w14:textId="3840B3A1">
      <w:pPr>
        <w:pStyle w:val="FERCparanumber"/>
      </w:pPr>
      <w:r>
        <w:t>As t</w:t>
      </w:r>
      <w:r w:rsidR="00F66142">
        <w:t>o ISO-NE’s concern that self-scheduling will reduce the</w:t>
      </w:r>
      <w:r w:rsidRPr="00DB3762" w:rsidR="00F66142">
        <w:t xml:space="preserve"> efficiency of the dispatch</w:t>
      </w:r>
      <w:r w:rsidR="00F66142">
        <w:t xml:space="preserve"> </w:t>
      </w:r>
      <w:r w:rsidRPr="00DB3762" w:rsidR="00F66142">
        <w:t>and contribut</w:t>
      </w:r>
      <w:r w:rsidR="00F66142">
        <w:t>e</w:t>
      </w:r>
      <w:r w:rsidRPr="00DB3762" w:rsidR="00F66142">
        <w:t xml:space="preserve"> to uplift or excess generation conditions</w:t>
      </w:r>
      <w:r>
        <w:t>,</w:t>
      </w:r>
      <w:r w:rsidR="00F66142">
        <w:t xml:space="preserve"> w</w:t>
      </w:r>
      <w:r w:rsidR="008D1463">
        <w:t xml:space="preserve">e note that </w:t>
      </w:r>
      <w:r w:rsidRPr="00A72E77" w:rsidR="008D1463">
        <w:t xml:space="preserve">no other RTOs/ISOs </w:t>
      </w:r>
      <w:r w:rsidR="00783D41">
        <w:t xml:space="preserve">raise this concern.  Market rules allowing </w:t>
      </w:r>
      <w:r w:rsidR="00E74D68">
        <w:t xml:space="preserve">for </w:t>
      </w:r>
      <w:r w:rsidR="00783D41">
        <w:t>heterogeneous aggregations are</w:t>
      </w:r>
      <w:r w:rsidRPr="00A72E77" w:rsidR="00783D41">
        <w:t xml:space="preserve"> already i</w:t>
      </w:r>
      <w:r w:rsidR="00783D41">
        <w:t>n place</w:t>
      </w:r>
      <w:r w:rsidRPr="00A72E77" w:rsidR="00783D41">
        <w:t xml:space="preserve"> in </w:t>
      </w:r>
      <w:r w:rsidR="00783D41">
        <w:t>CAISO,</w:t>
      </w:r>
      <w:r w:rsidR="00E74D68">
        <w:rPr>
          <w:rStyle w:val="FootnoteReference"/>
        </w:rPr>
        <w:footnoteReference w:id="346"/>
      </w:r>
      <w:r w:rsidR="00783D41">
        <w:t xml:space="preserve"> </w:t>
      </w:r>
      <w:r w:rsidRPr="00CF30C1" w:rsidR="00783D41">
        <w:t xml:space="preserve">and </w:t>
      </w:r>
      <w:r w:rsidR="00783D41">
        <w:t>the Commission</w:t>
      </w:r>
      <w:r w:rsidRPr="00CF30C1" w:rsidR="00783D41">
        <w:t xml:space="preserve"> recently a</w:t>
      </w:r>
      <w:r w:rsidR="00D10795">
        <w:t>ccepted</w:t>
      </w:r>
      <w:r w:rsidRPr="00CF30C1" w:rsidR="00783D41">
        <w:t xml:space="preserve"> </w:t>
      </w:r>
      <w:r w:rsidR="00D10795">
        <w:t xml:space="preserve">market rules allowing for </w:t>
      </w:r>
      <w:r w:rsidRPr="00CF30C1" w:rsidR="00783D41">
        <w:t>heterogeneous aggregations in NYISO.</w:t>
      </w:r>
      <w:r w:rsidR="00783D41">
        <w:rPr>
          <w:rStyle w:val="FootnoteReference"/>
        </w:rPr>
        <w:footnoteReference w:id="347"/>
      </w:r>
      <w:r w:rsidR="00783D41">
        <w:t xml:space="preserve">  </w:t>
      </w:r>
      <w:r w:rsidRPr="00020AAF" w:rsidR="002E2ABF">
        <w:t>Based on the record before us</w:t>
      </w:r>
      <w:r w:rsidR="002E2ABF">
        <w:t xml:space="preserve">, </w:t>
      </w:r>
      <w:r w:rsidR="004C6519">
        <w:t>ISO-NE</w:t>
      </w:r>
      <w:r w:rsidR="00FE17CE">
        <w:t xml:space="preserve"> </w:t>
      </w:r>
      <w:r w:rsidR="0083522C">
        <w:t>has</w:t>
      </w:r>
      <w:r w:rsidR="00FE17CE">
        <w:t xml:space="preserve"> not </w:t>
      </w:r>
      <w:r w:rsidR="004C6519">
        <w:t>sufficiently demonstrate</w:t>
      </w:r>
      <w:r w:rsidR="0083522C">
        <w:t>d</w:t>
      </w:r>
      <w:r w:rsidR="004C6519">
        <w:t xml:space="preserve"> why it is</w:t>
      </w:r>
      <w:r w:rsidR="00C44237">
        <w:t xml:space="preserve"> unique</w:t>
      </w:r>
      <w:r w:rsidR="00F81019">
        <w:t>ly</w:t>
      </w:r>
      <w:r w:rsidR="004C6519">
        <w:t xml:space="preserve"> unable to</w:t>
      </w:r>
      <w:r w:rsidR="00C44237">
        <w:t xml:space="preserve"> </w:t>
      </w:r>
      <w:r w:rsidR="00EC1C96">
        <w:t xml:space="preserve">implement </w:t>
      </w:r>
      <w:r w:rsidR="009372C6">
        <w:t xml:space="preserve">market rules that </w:t>
      </w:r>
      <w:r w:rsidR="006F52B9">
        <w:t>can</w:t>
      </w:r>
      <w:r w:rsidR="003547DB">
        <w:t xml:space="preserve"> </w:t>
      </w:r>
      <w:r w:rsidR="006F52B9">
        <w:t>overcome</w:t>
      </w:r>
      <w:r w:rsidR="005D3C3F">
        <w:t xml:space="preserve"> the</w:t>
      </w:r>
      <w:r w:rsidR="009A3A6B">
        <w:t>se</w:t>
      </w:r>
      <w:r w:rsidR="005D3C3F">
        <w:t xml:space="preserve"> </w:t>
      </w:r>
      <w:r w:rsidR="0087256D">
        <w:t>dispatch, uplift, and excess generation challenges.</w:t>
      </w:r>
      <w:r w:rsidR="00783D41">
        <w:t xml:space="preserve">  </w:t>
      </w:r>
    </w:p>
    <w:p w:rsidRPr="00E73BEF" w:rsidR="00E73BEF" w:rsidP="00274677" w:rsidRDefault="00E73BEF" w14:paraId="79BDF0F7" w14:textId="392FF846">
      <w:pPr>
        <w:pStyle w:val="Heading3"/>
      </w:pPr>
      <w:bookmarkStart w:name="_bmk30" w:id="58"/>
      <w:r>
        <w:t>D</w:t>
      </w:r>
      <w:bookmarkEnd w:id="58"/>
      <w:r>
        <w:t xml:space="preserve">ouble </w:t>
      </w:r>
      <w:r w:rsidR="000B59C2">
        <w:t>Co</w:t>
      </w:r>
      <w:r w:rsidR="00C93EAA">
        <w:t>unting</w:t>
      </w:r>
      <w:r w:rsidR="00E53D43">
        <w:t xml:space="preserve"> of Services</w:t>
      </w:r>
    </w:p>
    <w:p w:rsidR="00E73BEF" w:rsidP="00E73BEF" w:rsidRDefault="00E73BEF" w14:paraId="47226089" w14:textId="6A4E15E0">
      <w:pPr>
        <w:pStyle w:val="Heading4"/>
      </w:pPr>
      <w:bookmarkStart w:name="_bmk31" w:id="59"/>
      <w:r>
        <w:t>N</w:t>
      </w:r>
      <w:bookmarkEnd w:id="59"/>
      <w:r>
        <w:t>OPR Proposal</w:t>
      </w:r>
    </w:p>
    <w:p w:rsidRPr="00E73BEF" w:rsidR="00E73BEF" w:rsidP="00274677" w:rsidRDefault="00274677" w14:paraId="50AA2D2F" w14:textId="3E6947D7">
      <w:pPr>
        <w:pStyle w:val="FERCparanumber"/>
      </w:pPr>
      <w:r>
        <w:t xml:space="preserve">In the </w:t>
      </w:r>
      <w:r w:rsidRPr="003B43D5">
        <w:t>NOPR</w:t>
      </w:r>
      <w:r>
        <w:t>, the Commission stated</w:t>
      </w:r>
      <w:r w:rsidRPr="0064384C">
        <w:t xml:space="preserve"> that it is appropriate for each RTO/ISO to limit the participation of resources in </w:t>
      </w:r>
      <w:r>
        <w:t>RTO/ISO</w:t>
      </w:r>
      <w:r w:rsidRPr="0064384C">
        <w:t xml:space="preserve"> markets through a </w:t>
      </w:r>
      <w:r>
        <w:t>distributed energy resource</w:t>
      </w:r>
      <w:r w:rsidRPr="00262BC1">
        <w:t xml:space="preserve"> </w:t>
      </w:r>
      <w:r w:rsidRPr="00802A8E">
        <w:t>aggregator</w:t>
      </w:r>
      <w:r w:rsidRPr="00F367CF">
        <w:t xml:space="preserve"> that are receiving compensation for the same services as part of another </w:t>
      </w:r>
      <w:r w:rsidRPr="006B3303">
        <w:t>program.</w:t>
      </w:r>
      <w:r w:rsidRPr="00367C29">
        <w:rPr>
          <w:rStyle w:val="FootnoteReference"/>
        </w:rPr>
        <w:footnoteReference w:id="348"/>
      </w:r>
      <w:r w:rsidRPr="003B43D5">
        <w:t xml:space="preserve">  </w:t>
      </w:r>
      <w:r w:rsidRPr="00C441BF">
        <w:t xml:space="preserve">The Commission explained that, </w:t>
      </w:r>
      <w:r>
        <w:t>because</w:t>
      </w:r>
      <w:r w:rsidRPr="0064384C">
        <w:t xml:space="preserve"> resources able to register as part of a </w:t>
      </w:r>
      <w:r>
        <w:t>distributed energy resource</w:t>
      </w:r>
      <w:r w:rsidRPr="00F367CF">
        <w:t xml:space="preserve"> aggregation will be located on the distribution system, they may also be eligible to participate in retail compensation programs, such </w:t>
      </w:r>
      <w:r w:rsidRPr="006B3303">
        <w:t xml:space="preserve">as net metering, or other wholesale programs, such as demand response programs.  Therefore, to ensure that there is no duplication of compensation, </w:t>
      </w:r>
      <w:r w:rsidRPr="00C91A36">
        <w:t xml:space="preserve">the Commission proposed that </w:t>
      </w:r>
      <w:r>
        <w:t>distributed energy resource</w:t>
      </w:r>
      <w:r w:rsidRPr="00C91A36">
        <w:t xml:space="preserve">s that are participating in one or more retail compensation programs such as net metering or another wholesale market participation program will not be eligible to participate in </w:t>
      </w:r>
      <w:r>
        <w:t>RTO/ISO</w:t>
      </w:r>
      <w:r w:rsidRPr="00C91A36">
        <w:t xml:space="preserve"> markets as part of a </w:t>
      </w:r>
      <w:r>
        <w:t>distributed energy resource</w:t>
      </w:r>
      <w:r w:rsidRPr="00C91A36">
        <w:t xml:space="preserve"> aggregation</w:t>
      </w:r>
      <w:r w:rsidRPr="00D106BF">
        <w:t>.</w:t>
      </w:r>
    </w:p>
    <w:p w:rsidR="00E73BEF" w:rsidP="00E73BEF" w:rsidRDefault="00E73BEF" w14:paraId="6F6BBEF2" w14:textId="7ADD06B6">
      <w:pPr>
        <w:pStyle w:val="Heading4"/>
      </w:pPr>
      <w:bookmarkStart w:name="_bmk32" w:id="60"/>
      <w:r>
        <w:t>C</w:t>
      </w:r>
      <w:bookmarkEnd w:id="60"/>
      <w:r>
        <w:t>omments</w:t>
      </w:r>
    </w:p>
    <w:p w:rsidR="00E64981" w:rsidP="006D274F" w:rsidRDefault="007C13E0" w14:paraId="425309DD" w14:textId="0F10EF60">
      <w:pPr>
        <w:pStyle w:val="FERCparanumber"/>
      </w:pPr>
      <w:bookmarkStart w:name="_Hlk34646871" w:id="61"/>
      <w:r>
        <w:t>Most c</w:t>
      </w:r>
      <w:r w:rsidRPr="004940C1" w:rsidR="006D274F">
        <w:t>ommenters</w:t>
      </w:r>
      <w:r w:rsidRPr="00A72E77" w:rsidR="006D274F">
        <w:t xml:space="preserve"> that address</w:t>
      </w:r>
      <w:r w:rsidR="006D274F">
        <w:t xml:space="preserve"> the issue of</w:t>
      </w:r>
      <w:r w:rsidRPr="00A72E77" w:rsidR="006D274F">
        <w:t xml:space="preserve"> </w:t>
      </w:r>
      <w:r w:rsidR="006D274F">
        <w:t>double co</w:t>
      </w:r>
      <w:r w:rsidR="00C936B9">
        <w:t>unting</w:t>
      </w:r>
      <w:r w:rsidRPr="00A72E77" w:rsidR="006D274F">
        <w:t xml:space="preserve"> agree that </w:t>
      </w:r>
      <w:r w:rsidR="006D274F">
        <w:t>distributed energy resource</w:t>
      </w:r>
      <w:r w:rsidRPr="00A72E77" w:rsidR="006D274F">
        <w:t xml:space="preserve">s should not </w:t>
      </w:r>
      <w:r w:rsidR="006D274F">
        <w:t xml:space="preserve">be compensated twice for providing </w:t>
      </w:r>
      <w:r w:rsidRPr="00A72E77" w:rsidR="006D274F">
        <w:t>the same service</w:t>
      </w:r>
      <w:r w:rsidR="006D274F">
        <w:t xml:space="preserve"> but disagree</w:t>
      </w:r>
      <w:r w:rsidRPr="00A72E77" w:rsidR="006D274F">
        <w:t xml:space="preserve"> on </w:t>
      </w:r>
      <w:r w:rsidR="00832611">
        <w:t xml:space="preserve">what constitutes “the same service,” </w:t>
      </w:r>
      <w:r w:rsidRPr="00A72E77" w:rsidR="006D274F">
        <w:t>how to implement such a requirement</w:t>
      </w:r>
      <w:r w:rsidR="00832611">
        <w:t>,</w:t>
      </w:r>
      <w:r w:rsidRPr="00A72E77" w:rsidR="006D274F">
        <w:t xml:space="preserve"> or who should be responsible.</w:t>
      </w:r>
      <w:r w:rsidRPr="00367C29" w:rsidR="00832611">
        <w:rPr>
          <w:rStyle w:val="FootnoteReference"/>
        </w:rPr>
        <w:footnoteReference w:id="349"/>
      </w:r>
      <w:r w:rsidRPr="00A72E77" w:rsidR="006D274F">
        <w:t xml:space="preserve">  </w:t>
      </w:r>
      <w:r w:rsidR="007C5D6B">
        <w:t xml:space="preserve">In this regard, Pacific Gas &amp; Electric </w:t>
      </w:r>
      <w:r w:rsidR="00095B4F">
        <w:t>supports prevention of double compensation an</w:t>
      </w:r>
      <w:r w:rsidR="00064CD7">
        <w:t>d</w:t>
      </w:r>
      <w:r w:rsidR="007C5D6B">
        <w:t xml:space="preserve"> discusses the processes in California that </w:t>
      </w:r>
      <w:r w:rsidR="00565F24">
        <w:rPr>
          <w:lang w:eastAsia="ja-JP"/>
        </w:rPr>
        <w:t xml:space="preserve">protects </w:t>
      </w:r>
      <w:r w:rsidR="007C5D6B">
        <w:rPr>
          <w:lang w:eastAsia="ja-JP"/>
        </w:rPr>
        <w:t xml:space="preserve">against </w:t>
      </w:r>
      <w:r w:rsidR="00565F24">
        <w:rPr>
          <w:lang w:eastAsia="ja-JP"/>
        </w:rPr>
        <w:t>the</w:t>
      </w:r>
      <w:r w:rsidR="007C5D6B">
        <w:rPr>
          <w:lang w:eastAsia="ja-JP"/>
        </w:rPr>
        <w:t xml:space="preserve"> bypass of retail rates for behind-the-meter distributed energy resources that both consume and export electricity for both retail and wholesale purposes</w:t>
      </w:r>
      <w:r w:rsidRPr="003A6E73" w:rsidR="007C5D6B">
        <w:rPr>
          <w:lang w:eastAsia="ja-JP"/>
        </w:rPr>
        <w:t>.</w:t>
      </w:r>
      <w:r w:rsidR="007C5D6B">
        <w:rPr>
          <w:rStyle w:val="FootnoteReference"/>
          <w:lang w:eastAsia="ja-JP"/>
        </w:rPr>
        <w:footnoteReference w:id="350"/>
      </w:r>
      <w:r w:rsidR="007C5D6B">
        <w:rPr>
          <w:lang w:eastAsia="ja-JP"/>
        </w:rPr>
        <w:t xml:space="preserve">  </w:t>
      </w:r>
      <w:r w:rsidR="00727BE4">
        <w:t>Some commenters also assert</w:t>
      </w:r>
      <w:r w:rsidRPr="00A72E77" w:rsidR="00727BE4">
        <w:t xml:space="preserve"> that </w:t>
      </w:r>
      <w:r w:rsidR="00727BE4">
        <w:t>the NOPR proposal</w:t>
      </w:r>
      <w:r w:rsidRPr="00A72E77" w:rsidR="00727BE4">
        <w:t xml:space="preserve"> provides a solution to prevent double compensation,</w:t>
      </w:r>
      <w:r w:rsidRPr="00AF3995" w:rsidR="00727BE4">
        <w:rPr>
          <w:rStyle w:val="FootnoteReference"/>
        </w:rPr>
        <w:footnoteReference w:id="351"/>
      </w:r>
      <w:r w:rsidRPr="00A72E77" w:rsidR="00727BE4">
        <w:t xml:space="preserve"> provide</w:t>
      </w:r>
      <w:r w:rsidR="00727BE4">
        <w:t>s</w:t>
      </w:r>
      <w:r w:rsidRPr="00A72E77" w:rsidR="00727BE4">
        <w:t xml:space="preserve"> clear jurisdictional lines,</w:t>
      </w:r>
      <w:r w:rsidRPr="00AF3995" w:rsidR="00727BE4">
        <w:rPr>
          <w:rStyle w:val="FootnoteReference"/>
        </w:rPr>
        <w:footnoteReference w:id="352"/>
      </w:r>
      <w:r w:rsidRPr="00A72E77" w:rsidR="00727BE4">
        <w:t xml:space="preserve"> </w:t>
      </w:r>
      <w:r w:rsidR="00AD5E52">
        <w:t>reduces confusion,</w:t>
      </w:r>
      <w:r w:rsidRPr="00AC20F1" w:rsidR="00AD5E52">
        <w:rPr>
          <w:rStyle w:val="FootnoteReference"/>
          <w:bCs/>
        </w:rPr>
        <w:footnoteReference w:id="353"/>
      </w:r>
      <w:r w:rsidR="00AD5E52">
        <w:t xml:space="preserve"> </w:t>
      </w:r>
      <w:r w:rsidR="00727BE4">
        <w:t xml:space="preserve">and </w:t>
      </w:r>
      <w:r w:rsidRPr="00A72E77" w:rsidR="00727BE4">
        <w:t xml:space="preserve">could ease coordination issues for </w:t>
      </w:r>
      <w:r w:rsidR="00727BE4">
        <w:t>distributed energy resources and alleviate the limitations of metering and accounting practices to distinguish between wholesale and retail activities.</w:t>
      </w:r>
      <w:r w:rsidRPr="00AF3995" w:rsidR="006D274F">
        <w:rPr>
          <w:rStyle w:val="FootnoteReference"/>
        </w:rPr>
        <w:footnoteReference w:id="354"/>
      </w:r>
      <w:r w:rsidR="006D274F">
        <w:t xml:space="preserve">  </w:t>
      </w:r>
      <w:r w:rsidR="00C36CC8">
        <w:t>In addition, s</w:t>
      </w:r>
      <w:r w:rsidRPr="00BD1675" w:rsidR="00C36CC8">
        <w:t xml:space="preserve">ome </w:t>
      </w:r>
      <w:r w:rsidRPr="007A663B" w:rsidR="00C36CC8">
        <w:t>commenters</w:t>
      </w:r>
      <w:r w:rsidRPr="00BD1675" w:rsidR="00C36CC8">
        <w:t xml:space="preserve"> </w:t>
      </w:r>
      <w:r w:rsidR="00C24DF3">
        <w:t>posit</w:t>
      </w:r>
      <w:r w:rsidRPr="00BD1675" w:rsidR="00C24DF3">
        <w:t xml:space="preserve"> </w:t>
      </w:r>
      <w:r w:rsidRPr="00BD1675" w:rsidR="00C36CC8">
        <w:t xml:space="preserve">that allowing </w:t>
      </w:r>
      <w:r w:rsidR="00C36CC8">
        <w:t>distributed energy resource</w:t>
      </w:r>
      <w:r w:rsidRPr="00BD1675" w:rsidR="00C36CC8">
        <w:t>s that earn compensation in out-of-market retail programs to participate in RTO/ISO markets may distort price formation, skewing market results and clearing prices</w:t>
      </w:r>
      <w:r w:rsidRPr="00BD1675" w:rsidDel="00C36CC8" w:rsidR="00C36CC8">
        <w:t>.</w:t>
      </w:r>
      <w:r w:rsidRPr="00AC20F1" w:rsidR="00C36CC8">
        <w:rPr>
          <w:rStyle w:val="FootnoteReference"/>
          <w:bCs/>
        </w:rPr>
        <w:footnoteReference w:id="355"/>
      </w:r>
      <w:r w:rsidRPr="00BD1675" w:rsidR="00C36CC8">
        <w:t xml:space="preserve">  Other commenters express concern that dual </w:t>
      </w:r>
      <w:r w:rsidR="00D14848">
        <w:t xml:space="preserve">wholesale and retail </w:t>
      </w:r>
      <w:r w:rsidRPr="00BD1675" w:rsidR="00C36CC8">
        <w:t xml:space="preserve">participation could enable </w:t>
      </w:r>
      <w:r w:rsidR="00C36CC8">
        <w:t>distributed energy resource</w:t>
      </w:r>
      <w:r w:rsidRPr="00BD1675" w:rsidR="00C36CC8">
        <w:t>s to arbitrage between retail and wholesale markets, creating opportunities for market manipulation,</w:t>
      </w:r>
      <w:r w:rsidRPr="00A35CB8" w:rsidR="00C36CC8">
        <w:rPr>
          <w:rStyle w:val="FootnoteReference"/>
        </w:rPr>
        <w:footnoteReference w:id="356"/>
      </w:r>
      <w:r w:rsidRPr="00BD1675" w:rsidR="00C36CC8">
        <w:t xml:space="preserve"> or to cherry pick between retail and wholesale constructs, preventing effective distribution system planning.</w:t>
      </w:r>
      <w:r w:rsidRPr="00AC20F1" w:rsidR="00C36CC8">
        <w:rPr>
          <w:rStyle w:val="FootnoteReference"/>
          <w:bCs/>
        </w:rPr>
        <w:footnoteReference w:id="357"/>
      </w:r>
      <w:r w:rsidRPr="00BD1675" w:rsidR="00C36CC8">
        <w:t xml:space="preserve">  To address this</w:t>
      </w:r>
      <w:r w:rsidR="006B0F89">
        <w:t xml:space="preserve"> concern</w:t>
      </w:r>
      <w:r w:rsidRPr="00BD1675" w:rsidR="00C36CC8">
        <w:t>, some commenters suggest that the Commission should require RTOs</w:t>
      </w:r>
      <w:r w:rsidR="00EA2C3C">
        <w:t>/ISOs</w:t>
      </w:r>
      <w:r w:rsidRPr="00BD1675" w:rsidR="00C36CC8">
        <w:t xml:space="preserve"> to restrict the ability of </w:t>
      </w:r>
      <w:r w:rsidR="00C36CC8">
        <w:t>distributed energy resource</w:t>
      </w:r>
      <w:r w:rsidRPr="00BD1675" w:rsidR="00C36CC8">
        <w:t>s to switch between wholesale and retail participation by imposing a waiting period of at least one year.</w:t>
      </w:r>
      <w:r w:rsidRPr="00AC20F1" w:rsidR="00C36CC8">
        <w:rPr>
          <w:rStyle w:val="FootnoteReference"/>
          <w:bCs/>
        </w:rPr>
        <w:footnoteReference w:id="358"/>
      </w:r>
    </w:p>
    <w:p w:rsidR="006B3707" w:rsidP="006B3707" w:rsidRDefault="006B3707" w14:paraId="4BBB25D7" w14:textId="43F80BCC">
      <w:pPr>
        <w:pStyle w:val="FERCparanumber"/>
      </w:pPr>
      <w:r w:rsidRPr="00C13898">
        <w:t>CAISO comments that, c</w:t>
      </w:r>
      <w:r w:rsidRPr="00BF2A16">
        <w:t xml:space="preserve">onsistent with </w:t>
      </w:r>
      <w:r w:rsidRPr="00C13898">
        <w:t>the NOPR proposal, its</w:t>
      </w:r>
      <w:r w:rsidRPr="00BF2A16">
        <w:t xml:space="preserve"> </w:t>
      </w:r>
      <w:r w:rsidR="005B1E75">
        <w:t>D</w:t>
      </w:r>
      <w:r w:rsidRPr="00BF2A16">
        <w:t xml:space="preserve">istributed </w:t>
      </w:r>
      <w:r w:rsidR="005B1E75">
        <w:t>E</w:t>
      </w:r>
      <w:r w:rsidRPr="00BF2A16">
        <w:t xml:space="preserve">nergy </w:t>
      </w:r>
      <w:r w:rsidR="005B1E75">
        <w:t>R</w:t>
      </w:r>
      <w:r w:rsidRPr="00BF2A16">
        <w:t>esource</w:t>
      </w:r>
      <w:r w:rsidRPr="00C13898">
        <w:t xml:space="preserve"> </w:t>
      </w:r>
      <w:r w:rsidR="005B1E75">
        <w:t>P</w:t>
      </w:r>
      <w:r w:rsidRPr="00BF2A16">
        <w:t>rovider model specifies that resources participating in a wholesale market aggregation</w:t>
      </w:r>
      <w:r w:rsidRPr="00C13898">
        <w:t xml:space="preserve"> </w:t>
      </w:r>
      <w:r w:rsidRPr="00BF2A16">
        <w:t xml:space="preserve">may not participate in a retail net energy metering program </w:t>
      </w:r>
      <w:r w:rsidR="00340F17">
        <w:t xml:space="preserve">if </w:t>
      </w:r>
      <w:r w:rsidRPr="00BF2A16">
        <w:t xml:space="preserve">that </w:t>
      </w:r>
      <w:r w:rsidR="00340F17">
        <w:t xml:space="preserve">program </w:t>
      </w:r>
      <w:r w:rsidRPr="00BF2A16">
        <w:t>does not expressly</w:t>
      </w:r>
      <w:r w:rsidRPr="00C13898">
        <w:t xml:space="preserve"> </w:t>
      </w:r>
      <w:r w:rsidR="005C720C">
        <w:t xml:space="preserve">also </w:t>
      </w:r>
      <w:r w:rsidRPr="00BF2A16">
        <w:t>permit wholesale market participation.</w:t>
      </w:r>
      <w:r w:rsidRPr="00C13898">
        <w:rPr>
          <w:rStyle w:val="FootnoteReference"/>
          <w:szCs w:val="26"/>
        </w:rPr>
        <w:footnoteReference w:id="359"/>
      </w:r>
      <w:r w:rsidRPr="00BF2A16">
        <w:t xml:space="preserve"> </w:t>
      </w:r>
      <w:r w:rsidRPr="00C13898">
        <w:t xml:space="preserve"> CAISO states that t</w:t>
      </w:r>
      <w:r w:rsidRPr="00BF2A16">
        <w:t>his rule extends to various aspects of retail</w:t>
      </w:r>
      <w:r w:rsidRPr="00C13898">
        <w:t xml:space="preserve"> </w:t>
      </w:r>
      <w:r w:rsidRPr="00BF2A16">
        <w:t>net metering programs such as net metering with storage or virtual net metering.</w:t>
      </w:r>
      <w:r w:rsidRPr="00C13898">
        <w:rPr>
          <w:rStyle w:val="FootnoteReference"/>
          <w:szCs w:val="26"/>
        </w:rPr>
        <w:footnoteReference w:id="360"/>
      </w:r>
      <w:r w:rsidRPr="00BF2A16">
        <w:t xml:space="preserve"> </w:t>
      </w:r>
      <w:r w:rsidRPr="00C13898">
        <w:t xml:space="preserve"> CAISO explains that t</w:t>
      </w:r>
      <w:r w:rsidRPr="00BF2A16">
        <w:t>he</w:t>
      </w:r>
      <w:r w:rsidRPr="00C13898">
        <w:t xml:space="preserve"> </w:t>
      </w:r>
      <w:r w:rsidRPr="00BF2A16">
        <w:t>rationale for this rule is that</w:t>
      </w:r>
      <w:r w:rsidR="008B3E51">
        <w:t xml:space="preserve"> </w:t>
      </w:r>
      <w:r w:rsidRPr="00C13898" w:rsidR="008B3E51">
        <w:t xml:space="preserve">CAISO’s </w:t>
      </w:r>
      <w:r w:rsidR="005B1E75">
        <w:t>D</w:t>
      </w:r>
      <w:r w:rsidRPr="00BF2A16" w:rsidR="008B3E51">
        <w:t xml:space="preserve">istributed </w:t>
      </w:r>
      <w:r w:rsidR="005B1E75">
        <w:t>E</w:t>
      </w:r>
      <w:r w:rsidRPr="00BF2A16" w:rsidR="008B3E51">
        <w:t xml:space="preserve">nergy </w:t>
      </w:r>
      <w:r w:rsidR="005B1E75">
        <w:t>R</w:t>
      </w:r>
      <w:r w:rsidRPr="00BF2A16" w:rsidR="008B3E51">
        <w:t>esource</w:t>
      </w:r>
      <w:r w:rsidRPr="00C13898" w:rsidR="008B3E51">
        <w:t xml:space="preserve"> </w:t>
      </w:r>
      <w:r w:rsidR="005B1E75">
        <w:t>P</w:t>
      </w:r>
      <w:r w:rsidRPr="00BF2A16" w:rsidR="008B3E51">
        <w:t xml:space="preserve">rovider model </w:t>
      </w:r>
      <w:r w:rsidRPr="00C13898" w:rsidR="008B3E51">
        <w:t>requires continuous wholesale participation.</w:t>
      </w:r>
      <w:r w:rsidRPr="00C13898" w:rsidR="008B3E51">
        <w:rPr>
          <w:rStyle w:val="FootnoteReference"/>
          <w:szCs w:val="26"/>
        </w:rPr>
        <w:footnoteReference w:id="361"/>
      </w:r>
      <w:r w:rsidR="008B3E51">
        <w:t xml:space="preserve">  Additionally,</w:t>
      </w:r>
      <w:r w:rsidRPr="00BF2A16">
        <w:t xml:space="preserve"> </w:t>
      </w:r>
      <w:r w:rsidR="00654C11">
        <w:t xml:space="preserve">CAISO </w:t>
      </w:r>
      <w:r w:rsidR="008B3E51">
        <w:t xml:space="preserve">states </w:t>
      </w:r>
      <w:r w:rsidR="00654C11">
        <w:t>that</w:t>
      </w:r>
      <w:r w:rsidR="008B3E51">
        <w:t xml:space="preserve"> </w:t>
      </w:r>
      <w:r w:rsidRPr="00BF2A16">
        <w:t>under California’s current net energy metering program</w:t>
      </w:r>
      <w:r w:rsidR="007317A5">
        <w:t xml:space="preserve"> rules</w:t>
      </w:r>
      <w:r w:rsidRPr="00BF2A16">
        <w:t>, a</w:t>
      </w:r>
      <w:r w:rsidRPr="00C13898">
        <w:t xml:space="preserve"> </w:t>
      </w:r>
      <w:r w:rsidRPr="00BF2A16">
        <w:t>participating resource already benefits from netting its excess energy against</w:t>
      </w:r>
      <w:r w:rsidRPr="00C13898">
        <w:t xml:space="preserve"> </w:t>
      </w:r>
      <w:r w:rsidRPr="00BF2A16">
        <w:t>subsequent electricity bills.</w:t>
      </w:r>
      <w:r w:rsidRPr="00C13898">
        <w:rPr>
          <w:rStyle w:val="FootnoteReference"/>
          <w:szCs w:val="26"/>
        </w:rPr>
        <w:footnoteReference w:id="362"/>
      </w:r>
      <w:r w:rsidRPr="00BF2A16">
        <w:t xml:space="preserve"> </w:t>
      </w:r>
      <w:r w:rsidRPr="00C13898">
        <w:t xml:space="preserve"> </w:t>
      </w:r>
      <w:r w:rsidRPr="00BF2A16">
        <w:t>Based on this netting approach, there is no energy</w:t>
      </w:r>
      <w:r w:rsidRPr="00C13898">
        <w:t xml:space="preserve"> </w:t>
      </w:r>
      <w:r w:rsidRPr="00BF2A16">
        <w:t>available to offer into the CAISO markets because the excess energy is banked for later</w:t>
      </w:r>
      <w:r w:rsidRPr="00C13898">
        <w:t xml:space="preserve"> </w:t>
      </w:r>
      <w:r w:rsidRPr="00BF2A16">
        <w:t xml:space="preserve">withdrawal. </w:t>
      </w:r>
      <w:r w:rsidRPr="00C13898">
        <w:t xml:space="preserve"> </w:t>
      </w:r>
      <w:r w:rsidRPr="00BF2A16">
        <w:t>CAISO believes th</w:t>
      </w:r>
      <w:r>
        <w:t>e Commission’s</w:t>
      </w:r>
      <w:r w:rsidRPr="00BF2A16">
        <w:t xml:space="preserve"> approach </w:t>
      </w:r>
      <w:r>
        <w:t xml:space="preserve">in the NOPR </w:t>
      </w:r>
      <w:r w:rsidRPr="00BF2A16">
        <w:t>is consistent with Commission</w:t>
      </w:r>
      <w:r w:rsidRPr="00C13898">
        <w:t xml:space="preserve"> </w:t>
      </w:r>
      <w:r w:rsidRPr="00BF2A16">
        <w:t>orders determining that exports to the transmission grid under a net energy metering</w:t>
      </w:r>
      <w:r w:rsidRPr="00C13898">
        <w:t xml:space="preserve"> </w:t>
      </w:r>
      <w:r w:rsidRPr="00BF2A16">
        <w:t xml:space="preserve">program do not constitute a sale for resale of electricity under the </w:t>
      </w:r>
      <w:r w:rsidR="00F54B95">
        <w:t>FPA</w:t>
      </w:r>
      <w:r w:rsidRPr="00C13898">
        <w:t xml:space="preserve"> </w:t>
      </w:r>
      <w:r w:rsidRPr="00BF2A16">
        <w:t>because these customers are, on a net basis, consumers.</w:t>
      </w:r>
      <w:r w:rsidRPr="00C13898">
        <w:t xml:space="preserve"> </w:t>
      </w:r>
    </w:p>
    <w:p w:rsidR="00C94B92" w:rsidP="006D274F" w:rsidRDefault="006D274F" w14:paraId="4E04FE88" w14:textId="1DE960E9">
      <w:pPr>
        <w:pStyle w:val="FERCparanumber"/>
      </w:pPr>
      <w:r>
        <w:t xml:space="preserve">Some </w:t>
      </w:r>
      <w:r w:rsidRPr="004940C1">
        <w:t>commenters</w:t>
      </w:r>
      <w:r>
        <w:t xml:space="preserve"> </w:t>
      </w:r>
      <w:r w:rsidR="00814798">
        <w:t>ask the Commission to modify or clarify</w:t>
      </w:r>
      <w:r>
        <w:t xml:space="preserve"> certain issues</w:t>
      </w:r>
      <w:r w:rsidR="00F72D48">
        <w:t xml:space="preserve"> related to the NOPR proposal to pr</w:t>
      </w:r>
      <w:r w:rsidR="009F640D">
        <w:t>event</w:t>
      </w:r>
      <w:r w:rsidR="00F72D48">
        <w:t xml:space="preserve"> double co</w:t>
      </w:r>
      <w:r w:rsidR="00752356">
        <w:t>unting</w:t>
      </w:r>
      <w:r>
        <w:t xml:space="preserve">.  </w:t>
      </w:r>
      <w:r w:rsidR="00896F75">
        <w:t xml:space="preserve">For instance, </w:t>
      </w:r>
      <w:r w:rsidR="00C24DF3">
        <w:t>several</w:t>
      </w:r>
      <w:r w:rsidRPr="00F605A5" w:rsidR="0055725A">
        <w:t xml:space="preserve"> commenters </w:t>
      </w:r>
      <w:r w:rsidR="00E93DBB">
        <w:t xml:space="preserve">urge the Commission to give clear guidance about the definition of a retail compensation program or to </w:t>
      </w:r>
      <w:r w:rsidRPr="00A72E77" w:rsidR="00E93DBB">
        <w:t>clarify the scope of the retail prohibition</w:t>
      </w:r>
      <w:r w:rsidR="00E93DBB">
        <w:t>.</w:t>
      </w:r>
      <w:r w:rsidRPr="00550B44" w:rsidR="00E93DBB">
        <w:rPr>
          <w:rStyle w:val="FootnoteReference"/>
        </w:rPr>
        <w:footnoteReference w:id="363"/>
      </w:r>
      <w:r w:rsidRPr="00A72E77" w:rsidR="00E93DBB">
        <w:t xml:space="preserve"> </w:t>
      </w:r>
      <w:r w:rsidR="00E93DBB">
        <w:t xml:space="preserve"> </w:t>
      </w:r>
      <w:r w:rsidR="00C24DF3">
        <w:rPr>
          <w:bCs/>
        </w:rPr>
        <w:t>A number of</w:t>
      </w:r>
      <w:r w:rsidRPr="001E417A" w:rsidR="00C24DF3">
        <w:rPr>
          <w:bCs/>
        </w:rPr>
        <w:t xml:space="preserve"> </w:t>
      </w:r>
      <w:r w:rsidRPr="001E417A" w:rsidR="00471692">
        <w:rPr>
          <w:bCs/>
        </w:rPr>
        <w:t xml:space="preserve">commenters </w:t>
      </w:r>
      <w:r w:rsidR="00471692">
        <w:rPr>
          <w:bCs/>
        </w:rPr>
        <w:t>argue</w:t>
      </w:r>
      <w:r w:rsidRPr="001E417A" w:rsidR="00471692">
        <w:rPr>
          <w:bCs/>
        </w:rPr>
        <w:t xml:space="preserve"> that the RTOs/ISOs </w:t>
      </w:r>
      <w:r w:rsidR="00471692">
        <w:rPr>
          <w:bCs/>
        </w:rPr>
        <w:t xml:space="preserve">should </w:t>
      </w:r>
      <w:r w:rsidRPr="001E417A" w:rsidR="00471692">
        <w:rPr>
          <w:bCs/>
        </w:rPr>
        <w:t xml:space="preserve">be responsible for demonstrating how </w:t>
      </w:r>
      <w:r w:rsidR="008B225E">
        <w:rPr>
          <w:bCs/>
        </w:rPr>
        <w:t xml:space="preserve">they will prevent </w:t>
      </w:r>
      <w:r w:rsidRPr="001E417A" w:rsidR="00471692">
        <w:rPr>
          <w:bCs/>
        </w:rPr>
        <w:t>duplicate compensation for the same service.</w:t>
      </w:r>
      <w:r w:rsidRPr="00367C29" w:rsidR="00471692">
        <w:rPr>
          <w:rStyle w:val="FootnoteReference"/>
        </w:rPr>
        <w:footnoteReference w:id="364"/>
      </w:r>
      <w:r w:rsidR="00471692">
        <w:rPr>
          <w:bCs/>
        </w:rPr>
        <w:t xml:space="preserve">  </w:t>
      </w:r>
      <w:r w:rsidR="00576A77">
        <w:t xml:space="preserve">To that end, some </w:t>
      </w:r>
      <w:r w:rsidRPr="00BD1675" w:rsidR="00576A77">
        <w:t>commenters urge the Commission to, at a minimum, direct RTOs</w:t>
      </w:r>
      <w:r w:rsidR="00576A77">
        <w:t>/ISOs</w:t>
      </w:r>
      <w:r w:rsidRPr="00BD1675" w:rsidR="00576A77">
        <w:t xml:space="preserve"> to establish protocols that address duplicate compensation,</w:t>
      </w:r>
      <w:r w:rsidRPr="00AC20F1" w:rsidR="00576A77">
        <w:rPr>
          <w:rStyle w:val="FootnoteReference"/>
          <w:bCs/>
        </w:rPr>
        <w:footnoteReference w:id="365"/>
      </w:r>
      <w:r w:rsidRPr="00E32C4A" w:rsidR="00576A77">
        <w:rPr>
          <w:bCs/>
        </w:rPr>
        <w:t xml:space="preserve"> </w:t>
      </w:r>
      <w:r w:rsidRPr="00BD1675" w:rsidR="00576A77">
        <w:t xml:space="preserve">monitor </w:t>
      </w:r>
      <w:r w:rsidR="00576A77">
        <w:t>distributed energy resource</w:t>
      </w:r>
      <w:r w:rsidRPr="00BD1675" w:rsidR="00576A77">
        <w:t xml:space="preserve"> offers for true cost, and hold </w:t>
      </w:r>
      <w:r w:rsidR="00896F75">
        <w:t>distributed energy resources</w:t>
      </w:r>
      <w:r w:rsidRPr="00BD1675" w:rsidR="00576A77">
        <w:t xml:space="preserve"> accountable for performance, among other measures.</w:t>
      </w:r>
      <w:r w:rsidRPr="00AC20F1" w:rsidR="00576A77">
        <w:rPr>
          <w:rStyle w:val="FootnoteReference"/>
          <w:bCs/>
        </w:rPr>
        <w:footnoteReference w:id="366"/>
      </w:r>
      <w:r w:rsidRPr="00BD1675" w:rsidR="00576A77">
        <w:t xml:space="preserve">  </w:t>
      </w:r>
      <w:r w:rsidRPr="00A50DBE" w:rsidR="00DA6365">
        <w:t xml:space="preserve">ISO-NE notes that if </w:t>
      </w:r>
      <w:r w:rsidR="009720FD">
        <w:t xml:space="preserve">distributed energy </w:t>
      </w:r>
      <w:r w:rsidRPr="00A50DBE" w:rsidR="00DA6365">
        <w:t xml:space="preserve">resources have to choose between wholesale and retail participation, retail programs and behind-the-meter </w:t>
      </w:r>
      <w:r w:rsidR="00DA6365">
        <w:t>demand response</w:t>
      </w:r>
      <w:r w:rsidRPr="00A50DBE" w:rsidR="00DA6365">
        <w:t xml:space="preserve"> may be more attractive in New England.</w:t>
      </w:r>
      <w:r w:rsidRPr="00367C29" w:rsidR="00DA6365">
        <w:rPr>
          <w:rStyle w:val="FootnoteReference"/>
        </w:rPr>
        <w:footnoteReference w:id="367"/>
      </w:r>
    </w:p>
    <w:p w:rsidRPr="00BB1F79" w:rsidR="00BB1F79" w:rsidP="00E15A22" w:rsidRDefault="00C94B92" w14:paraId="1A71C65B" w14:textId="1D378F48">
      <w:pPr>
        <w:pStyle w:val="FERCparanumber"/>
      </w:pPr>
      <w:r>
        <w:t xml:space="preserve">Conversely, </w:t>
      </w:r>
      <w:r w:rsidR="00C24DF3">
        <w:t>numerous</w:t>
      </w:r>
      <w:r w:rsidRPr="00BA792F">
        <w:t xml:space="preserve"> </w:t>
      </w:r>
      <w:r w:rsidRPr="004940C1">
        <w:t>commenters</w:t>
      </w:r>
      <w:r w:rsidRPr="00BA792F">
        <w:t xml:space="preserve"> </w:t>
      </w:r>
      <w:r w:rsidR="00250105">
        <w:t xml:space="preserve">assert that the Commission should </w:t>
      </w:r>
      <w:r w:rsidR="007317A5">
        <w:t>permit</w:t>
      </w:r>
      <w:r>
        <w:t xml:space="preserve"> distributed energy resource aggregations</w:t>
      </w:r>
      <w:r w:rsidR="00250105">
        <w:t xml:space="preserve"> to participate in both</w:t>
      </w:r>
      <w:r>
        <w:t xml:space="preserve"> wholesale and retail markets,</w:t>
      </w:r>
      <w:r w:rsidRPr="00AF3995">
        <w:rPr>
          <w:rStyle w:val="FootnoteReference"/>
        </w:rPr>
        <w:footnoteReference w:id="368"/>
      </w:r>
      <w:r>
        <w:t xml:space="preserve"> </w:t>
      </w:r>
      <w:r w:rsidRPr="00BD1675">
        <w:t xml:space="preserve">provided </w:t>
      </w:r>
      <w:r>
        <w:t>that the distributed energy resources</w:t>
      </w:r>
      <w:r w:rsidRPr="00BD1675">
        <w:t xml:space="preserve"> are technically capable of doing so and there are not physical system limitations that would prevent such participation.</w:t>
      </w:r>
      <w:r w:rsidRPr="00AC20F1">
        <w:rPr>
          <w:rStyle w:val="FootnoteReference"/>
          <w:bCs/>
        </w:rPr>
        <w:footnoteReference w:id="369"/>
      </w:r>
      <w:r w:rsidRPr="00725C39">
        <w:t xml:space="preserve"> </w:t>
      </w:r>
      <w:r>
        <w:t xml:space="preserve"> Some of these c</w:t>
      </w:r>
      <w:r w:rsidRPr="00BD1675">
        <w:t xml:space="preserve">ommenters argue that </w:t>
      </w:r>
      <w:r>
        <w:t>distributed energy resource</w:t>
      </w:r>
      <w:r w:rsidRPr="00BD1675">
        <w:t>s should not</w:t>
      </w:r>
      <w:r>
        <w:t xml:space="preserve"> </w:t>
      </w:r>
      <w:r w:rsidRPr="00BD1675">
        <w:t xml:space="preserve">receive duplicate compensation for the same service </w:t>
      </w:r>
      <w:r>
        <w:t xml:space="preserve">but should </w:t>
      </w:r>
      <w:r w:rsidRPr="00BD1675">
        <w:t xml:space="preserve">receive compensation for each distinct </w:t>
      </w:r>
      <w:r w:rsidR="00DF4224">
        <w:t xml:space="preserve">or incremental </w:t>
      </w:r>
      <w:r w:rsidRPr="00BD1675">
        <w:t>value they provide</w:t>
      </w:r>
      <w:r w:rsidR="00DF4224">
        <w:t xml:space="preserve"> at the retail or wholesale level</w:t>
      </w:r>
      <w:r w:rsidR="00733070">
        <w:t xml:space="preserve">, </w:t>
      </w:r>
      <w:r w:rsidRPr="00111AAD" w:rsidR="00733070">
        <w:t>and that being allowed to do so will improve efficiency and lower overall costs</w:t>
      </w:r>
      <w:r w:rsidRPr="00BD1675">
        <w:t>.</w:t>
      </w:r>
      <w:r w:rsidR="00AC50F6">
        <w:rPr>
          <w:rStyle w:val="FootnoteReference"/>
        </w:rPr>
        <w:footnoteReference w:id="370"/>
      </w:r>
      <w:r>
        <w:t xml:space="preserve">  Some c</w:t>
      </w:r>
      <w:r w:rsidRPr="005C7BA8">
        <w:rPr>
          <w:szCs w:val="26"/>
        </w:rPr>
        <w:t xml:space="preserve">ommenters </w:t>
      </w:r>
      <w:r w:rsidR="0001082B">
        <w:t>that</w:t>
      </w:r>
      <w:r w:rsidRPr="00BD1675" w:rsidR="0001082B">
        <w:t xml:space="preserve"> are in favor of </w:t>
      </w:r>
      <w:r w:rsidR="00A05BC7">
        <w:t xml:space="preserve">RTOs/ISOs allowing </w:t>
      </w:r>
      <w:r w:rsidRPr="00BD1675" w:rsidR="0001082B">
        <w:t>dual</w:t>
      </w:r>
      <w:r w:rsidR="0001082B">
        <w:t xml:space="preserve"> </w:t>
      </w:r>
      <w:r w:rsidRPr="00BD1675" w:rsidR="0001082B">
        <w:t xml:space="preserve">participation also note that </w:t>
      </w:r>
      <w:r w:rsidR="0001082B">
        <w:t>relevant electric retail regulatory authoritie</w:t>
      </w:r>
      <w:r w:rsidRPr="00BD1675" w:rsidR="0001082B">
        <w:t>s have the ability to prevent it</w:t>
      </w:r>
      <w:r w:rsidR="00A05BC7">
        <w:t>.</w:t>
      </w:r>
      <w:r w:rsidRPr="00AC20F1" w:rsidR="0001082B">
        <w:rPr>
          <w:rStyle w:val="FootnoteReference"/>
          <w:bCs/>
        </w:rPr>
        <w:footnoteReference w:id="371"/>
      </w:r>
      <w:r w:rsidRPr="00BD1675" w:rsidR="0001082B">
        <w:t xml:space="preserve"> </w:t>
      </w:r>
      <w:r w:rsidR="00A05BC7">
        <w:t xml:space="preserve"> S</w:t>
      </w:r>
      <w:r w:rsidRPr="00BD1675">
        <w:t xml:space="preserve">everal commenters contend </w:t>
      </w:r>
      <w:r>
        <w:t xml:space="preserve">that </w:t>
      </w:r>
      <w:r w:rsidRPr="00BD1675">
        <w:t>there is precedent for dual participation</w:t>
      </w:r>
      <w:r w:rsidRPr="00AC20F1">
        <w:rPr>
          <w:rStyle w:val="FootnoteReference"/>
          <w:bCs/>
        </w:rPr>
        <w:footnoteReference w:id="372"/>
      </w:r>
      <w:r w:rsidRPr="005C7BA8">
        <w:rPr>
          <w:bCs/>
        </w:rPr>
        <w:t xml:space="preserve"> </w:t>
      </w:r>
      <w:r w:rsidRPr="005C7BA8" w:rsidR="00F07397">
        <w:rPr>
          <w:bCs/>
        </w:rPr>
        <w:t>and argue t</w:t>
      </w:r>
      <w:r w:rsidR="00F07397">
        <w:t xml:space="preserve">hat </w:t>
      </w:r>
      <w:r w:rsidRPr="005C7BA8" w:rsidR="00F07397">
        <w:rPr>
          <w:szCs w:val="26"/>
        </w:rPr>
        <w:t>a blanket ban would create a barrier to distributed energy resource participation</w:t>
      </w:r>
      <w:r w:rsidRPr="005C7BA8" w:rsidR="007B5BA5">
        <w:rPr>
          <w:szCs w:val="26"/>
        </w:rPr>
        <w:t>, underestimating their capabilities,</w:t>
      </w:r>
      <w:r w:rsidRPr="005C7BA8" w:rsidR="00F07397">
        <w:rPr>
          <w:szCs w:val="26"/>
        </w:rPr>
        <w:t xml:space="preserve"> and inhibit competition, undermining the NOPR.</w:t>
      </w:r>
      <w:r w:rsidRPr="00367C29" w:rsidR="00F07397">
        <w:rPr>
          <w:rStyle w:val="FootnoteReference"/>
        </w:rPr>
        <w:footnoteReference w:id="373"/>
      </w:r>
      <w:r w:rsidRPr="005C7BA8" w:rsidR="00F07397">
        <w:rPr>
          <w:szCs w:val="26"/>
        </w:rPr>
        <w:t xml:space="preserve"> </w:t>
      </w:r>
      <w:r w:rsidRPr="005C7BA8">
        <w:rPr>
          <w:szCs w:val="26"/>
        </w:rPr>
        <w:t xml:space="preserve"> </w:t>
      </w:r>
      <w:r w:rsidR="00C24DF3">
        <w:t xml:space="preserve">Icetec and Tesla </w:t>
      </w:r>
      <w:r w:rsidRPr="00BD1675">
        <w:t>point out that capacity markets have long avoided duplicate compensation for demand response and for generators providing multiple services</w:t>
      </w:r>
      <w:r w:rsidR="005E27C9">
        <w:t xml:space="preserve"> at once (e.g.</w:t>
      </w:r>
      <w:r w:rsidR="00C24DF3">
        <w:t>,</w:t>
      </w:r>
      <w:r w:rsidR="005E27C9">
        <w:t xml:space="preserve"> energy and reserves)</w:t>
      </w:r>
      <w:r w:rsidRPr="00BD1675">
        <w:t xml:space="preserve"> and urge the Commission to apply the logic of these constructs to </w:t>
      </w:r>
      <w:r>
        <w:t>distributed energy resource</w:t>
      </w:r>
      <w:r w:rsidRPr="00BD1675">
        <w:t>s</w:t>
      </w:r>
      <w:r>
        <w:t>.</w:t>
      </w:r>
      <w:r w:rsidRPr="00AF3995">
        <w:rPr>
          <w:rStyle w:val="FootnoteReference"/>
        </w:rPr>
        <w:footnoteReference w:id="374"/>
      </w:r>
      <w:r w:rsidRPr="00725C39">
        <w:t xml:space="preserve"> </w:t>
      </w:r>
      <w:r>
        <w:t xml:space="preserve"> </w:t>
      </w:r>
      <w:r w:rsidRPr="005C7BA8" w:rsidR="00E17467">
        <w:rPr>
          <w:szCs w:val="26"/>
        </w:rPr>
        <w:t xml:space="preserve">Advanced Energy Economy claims </w:t>
      </w:r>
      <w:r w:rsidRPr="005C7BA8" w:rsidR="00556C9C">
        <w:rPr>
          <w:szCs w:val="26"/>
        </w:rPr>
        <w:t xml:space="preserve">that </w:t>
      </w:r>
      <w:r w:rsidRPr="005C7BA8" w:rsidR="00E17467">
        <w:rPr>
          <w:szCs w:val="26"/>
        </w:rPr>
        <w:t>the NOPR proposal would prevent the RTOs/ISOs from accessing a growing pool of resources located close to load that can be cost-effectively dispatched to ensure reliability.</w:t>
      </w:r>
      <w:r w:rsidRPr="00550B44" w:rsidR="00E17467">
        <w:rPr>
          <w:rStyle w:val="FootnoteReference"/>
        </w:rPr>
        <w:footnoteReference w:id="375"/>
      </w:r>
      <w:r w:rsidRPr="005C7BA8" w:rsidR="00E17467">
        <w:rPr>
          <w:szCs w:val="26"/>
        </w:rPr>
        <w:t xml:space="preserve">  </w:t>
      </w:r>
      <w:r w:rsidRPr="005C7BA8" w:rsidR="00C24DF3">
        <w:rPr>
          <w:szCs w:val="26"/>
        </w:rPr>
        <w:t xml:space="preserve">Several </w:t>
      </w:r>
      <w:r w:rsidRPr="005C7BA8" w:rsidR="00E17467">
        <w:rPr>
          <w:szCs w:val="26"/>
        </w:rPr>
        <w:t>commenters argue that requiring resources to choose between markets would diminish the incremental value of distributed energy resources, leading to less efficient and flexible markets and reducing distributed energy resources’ commercial viability.</w:t>
      </w:r>
      <w:r w:rsidRPr="00367C29" w:rsidR="00E17467">
        <w:rPr>
          <w:rStyle w:val="FootnoteReference"/>
        </w:rPr>
        <w:footnoteReference w:id="376"/>
      </w:r>
      <w:r w:rsidRPr="005C7BA8" w:rsidR="00E17467">
        <w:rPr>
          <w:szCs w:val="26"/>
        </w:rPr>
        <w:t xml:space="preserve">  </w:t>
      </w:r>
      <w:r w:rsidRPr="00BD1675" w:rsidR="00733070">
        <w:t xml:space="preserve">Commenters </w:t>
      </w:r>
      <w:r w:rsidR="00C24DF3">
        <w:t>contend</w:t>
      </w:r>
      <w:r w:rsidRPr="00BD1675" w:rsidR="00733070">
        <w:t xml:space="preserve"> that</w:t>
      </w:r>
      <w:r w:rsidR="00C24DF3">
        <w:t>,</w:t>
      </w:r>
      <w:r w:rsidRPr="00BD1675" w:rsidR="00733070">
        <w:t xml:space="preserve"> even if some services could qualify generally as the same service, it would be possible to distinguish them.</w:t>
      </w:r>
      <w:r w:rsidRPr="00AC20F1" w:rsidR="00733070">
        <w:rPr>
          <w:rStyle w:val="FootnoteReference"/>
          <w:bCs/>
        </w:rPr>
        <w:footnoteReference w:id="377"/>
      </w:r>
      <w:r w:rsidRPr="005C7BA8" w:rsidR="00733070">
        <w:rPr>
          <w:bCs/>
        </w:rPr>
        <w:t xml:space="preserve"> </w:t>
      </w:r>
      <w:r w:rsidRPr="00BD1675" w:rsidR="00733070">
        <w:t xml:space="preserve"> </w:t>
      </w:r>
      <w:r w:rsidRPr="005C7BA8" w:rsidR="00E17467">
        <w:rPr>
          <w:szCs w:val="26"/>
        </w:rPr>
        <w:t>Some commenters</w:t>
      </w:r>
      <w:r w:rsidRPr="00111AAD" w:rsidR="00E17467">
        <w:t xml:space="preserve"> identify a number of scenarios </w:t>
      </w:r>
      <w:r w:rsidR="00E17467">
        <w:t>in which</w:t>
      </w:r>
      <w:r w:rsidRPr="00111AAD" w:rsidR="00E17467">
        <w:t xml:space="preserve"> providing distinct wholesale and retail services is feasible and explain that dispatch triggers for these programs usually do not overlap, which further indicates </w:t>
      </w:r>
      <w:r w:rsidR="00A05BC7">
        <w:t xml:space="preserve">that </w:t>
      </w:r>
      <w:r w:rsidRPr="00111AAD" w:rsidR="00E17467">
        <w:t>they are not the same services.</w:t>
      </w:r>
      <w:r w:rsidRPr="00AF3995" w:rsidR="00E17467">
        <w:rPr>
          <w:rStyle w:val="FootnoteReference"/>
        </w:rPr>
        <w:footnoteReference w:id="378"/>
      </w:r>
      <w:r w:rsidRPr="00111AAD" w:rsidR="00E17467">
        <w:t xml:space="preserve"> </w:t>
      </w:r>
      <w:r w:rsidRPr="005C7BA8" w:rsidR="00E17467">
        <w:rPr>
          <w:szCs w:val="26"/>
        </w:rPr>
        <w:t xml:space="preserve"> </w:t>
      </w:r>
      <w:r w:rsidRPr="004940C1" w:rsidR="000775A9">
        <w:t>Additional</w:t>
      </w:r>
      <w:r w:rsidR="000775A9">
        <w:t xml:space="preserve"> </w:t>
      </w:r>
      <w:r w:rsidRPr="00111AAD" w:rsidR="000775A9">
        <w:t>commenters note potential discrepancies between the</w:t>
      </w:r>
      <w:r w:rsidR="000775A9">
        <w:t xml:space="preserve"> NOPR</w:t>
      </w:r>
      <w:r w:rsidRPr="00111AAD" w:rsidR="000775A9">
        <w:t xml:space="preserve"> proposal and the Commission’s recent policy statement enabling multiple-use applications</w:t>
      </w:r>
      <w:r w:rsidR="000775A9">
        <w:t xml:space="preserve"> for electric storage resources,</w:t>
      </w:r>
      <w:r w:rsidRPr="00367C29" w:rsidR="000775A9">
        <w:rPr>
          <w:rStyle w:val="FootnoteReference"/>
        </w:rPr>
        <w:footnoteReference w:id="379"/>
      </w:r>
      <w:r w:rsidR="000775A9">
        <w:t xml:space="preserve"> </w:t>
      </w:r>
      <w:r w:rsidRPr="005C7BA8" w:rsidR="000775A9">
        <w:rPr>
          <w:szCs w:val="26"/>
        </w:rPr>
        <w:t xml:space="preserve">and </w:t>
      </w:r>
      <w:r w:rsidRPr="005C7BA8" w:rsidR="007317A5">
        <w:rPr>
          <w:szCs w:val="26"/>
        </w:rPr>
        <w:t>contend</w:t>
      </w:r>
      <w:r w:rsidRPr="005C7BA8" w:rsidR="000775A9">
        <w:rPr>
          <w:szCs w:val="26"/>
        </w:rPr>
        <w:t xml:space="preserve"> that </w:t>
      </w:r>
      <w:r w:rsidRPr="005C7BA8" w:rsidR="007317A5">
        <w:rPr>
          <w:szCs w:val="26"/>
        </w:rPr>
        <w:t xml:space="preserve">experience in </w:t>
      </w:r>
      <w:r w:rsidRPr="005C7BA8" w:rsidR="000775A9">
        <w:rPr>
          <w:szCs w:val="26"/>
        </w:rPr>
        <w:t>CAISO has demonstrated that it is possible to differentiate between services.</w:t>
      </w:r>
      <w:r w:rsidRPr="00367C29" w:rsidR="000775A9">
        <w:rPr>
          <w:rStyle w:val="FootnoteReference"/>
        </w:rPr>
        <w:footnoteReference w:id="380"/>
      </w:r>
      <w:r w:rsidRPr="005C7BA8" w:rsidR="000775A9">
        <w:rPr>
          <w:szCs w:val="26"/>
        </w:rPr>
        <w:t xml:space="preserve">  </w:t>
      </w:r>
    </w:p>
    <w:p w:rsidR="00FB2CD8" w:rsidRDefault="00733070" w14:paraId="5D33A696" w14:textId="17A12F2E">
      <w:pPr>
        <w:pStyle w:val="FERCparanumber"/>
      </w:pPr>
      <w:r>
        <w:t>However, m</w:t>
      </w:r>
      <w:r w:rsidR="00BB1F79">
        <w:t>any</w:t>
      </w:r>
      <w:r w:rsidR="00E336ED">
        <w:t xml:space="preserve"> </w:t>
      </w:r>
      <w:r w:rsidR="00BB1F79">
        <w:t xml:space="preserve">commenters disagree over how the Commission should assess what constitutes “the same service.”  </w:t>
      </w:r>
      <w:r w:rsidRPr="00BD1675" w:rsidR="00AD2A73">
        <w:t xml:space="preserve">Some commenters assert that “same service” should refer narrowly to retail and wholesale programs that compensate </w:t>
      </w:r>
      <w:r w:rsidR="00896F75">
        <w:t xml:space="preserve">a </w:t>
      </w:r>
      <w:r w:rsidR="00AD2A73">
        <w:t>distributed energy resource</w:t>
      </w:r>
      <w:r w:rsidRPr="00BD1675" w:rsidR="00AD2A73">
        <w:t xml:space="preserve"> for the exact same kW or </w:t>
      </w:r>
      <w:r w:rsidR="001302E2">
        <w:t>k</w:t>
      </w:r>
      <w:r w:rsidRPr="00BD1675" w:rsidR="00AD2A73">
        <w:t>Wh for the same value, providing no incremental value to the system.</w:t>
      </w:r>
      <w:r w:rsidRPr="00A35CB8" w:rsidR="00AD2A73">
        <w:rPr>
          <w:rStyle w:val="FootnoteReference"/>
        </w:rPr>
        <w:footnoteReference w:id="381"/>
      </w:r>
      <w:r w:rsidR="001302E2">
        <w:t xml:space="preserve">  Other</w:t>
      </w:r>
      <w:r w:rsidRPr="00F605A5" w:rsidR="0055725A">
        <w:t xml:space="preserve"> commenters argue that tools are necessary to prevent double</w:t>
      </w:r>
      <w:r w:rsidR="00752356">
        <w:t xml:space="preserve"> </w:t>
      </w:r>
      <w:r w:rsidRPr="00F605A5" w:rsidR="0055725A">
        <w:t>compensation for the same service</w:t>
      </w:r>
      <w:r w:rsidRPr="00F605A5" w:rsidR="0055725A">
        <w:rPr>
          <w:rStyle w:val="FootnoteReference"/>
          <w:b w:val="0"/>
        </w:rPr>
        <w:t xml:space="preserve"> </w:t>
      </w:r>
      <w:r w:rsidRPr="00F605A5" w:rsidDel="0055725A" w:rsidR="0055725A">
        <w:t xml:space="preserve"> </w:t>
      </w:r>
      <w:r w:rsidRPr="00F605A5" w:rsidR="0055725A">
        <w:t xml:space="preserve">and suggest </w:t>
      </w:r>
      <w:r w:rsidRPr="00F605A5" w:rsidR="00471692">
        <w:t>using performance requirements</w:t>
      </w:r>
      <w:r w:rsidR="00471692">
        <w:t xml:space="preserve"> and</w:t>
      </w:r>
      <w:r w:rsidRPr="00F605A5" w:rsidR="00471692">
        <w:t xml:space="preserve"> dispatch triggers</w:t>
      </w:r>
      <w:r w:rsidR="00471692">
        <w:t xml:space="preserve">, </w:t>
      </w:r>
      <w:r w:rsidRPr="00F605A5" w:rsidR="00471692">
        <w:t>contracting,</w:t>
      </w:r>
      <w:r w:rsidR="00471692">
        <w:t xml:space="preserve"> </w:t>
      </w:r>
      <w:r w:rsidR="00C35BD9">
        <w:t>market/</w:t>
      </w:r>
      <w:r w:rsidRPr="00F605A5" w:rsidR="00471692">
        <w:t>participation rules</w:t>
      </w:r>
      <w:r w:rsidR="00471692">
        <w:t>,</w:t>
      </w:r>
      <w:r w:rsidRPr="00F605A5" w:rsidR="00471692">
        <w:t xml:space="preserve"> registration,</w:t>
      </w:r>
      <w:r w:rsidRPr="004A725B" w:rsidR="00471692">
        <w:rPr>
          <w:rStyle w:val="FootnoteReference"/>
          <w:b w:val="0"/>
        </w:rPr>
        <w:t xml:space="preserve"> </w:t>
      </w:r>
      <w:r w:rsidRPr="00F605A5" w:rsidR="00471692">
        <w:t xml:space="preserve"> </w:t>
      </w:r>
      <w:r w:rsidR="00C35BD9">
        <w:t xml:space="preserve">protections, </w:t>
      </w:r>
      <w:r w:rsidR="00C35BD9">
        <w:rPr>
          <w:szCs w:val="26"/>
        </w:rPr>
        <w:t>mathematical/accounting solutions,</w:t>
      </w:r>
      <w:r w:rsidRPr="00F605A5" w:rsidR="00C35BD9">
        <w:t xml:space="preserve"> </w:t>
      </w:r>
      <w:r w:rsidRPr="00F605A5" w:rsidR="00471692">
        <w:t>and</w:t>
      </w:r>
      <w:r w:rsidR="00C35BD9">
        <w:t>/or</w:t>
      </w:r>
      <w:r w:rsidRPr="00F605A5" w:rsidR="00471692">
        <w:t xml:space="preserve"> a coordination framework, among other measures, to prevent double co</w:t>
      </w:r>
      <w:r w:rsidR="007066D1">
        <w:t>unting</w:t>
      </w:r>
      <w:r w:rsidRPr="00F605A5" w:rsidR="00471692">
        <w:t>.</w:t>
      </w:r>
      <w:r w:rsidR="00471692">
        <w:rPr>
          <w:rStyle w:val="FootnoteReference"/>
        </w:rPr>
        <w:footnoteReference w:id="382"/>
      </w:r>
      <w:r w:rsidR="00471692">
        <w:t xml:space="preserve">  </w:t>
      </w:r>
      <w:r w:rsidR="00C35BD9">
        <w:t>According to some of these c</w:t>
      </w:r>
      <w:r w:rsidRPr="00111AAD" w:rsidR="00C35BD9">
        <w:t>ommenters</w:t>
      </w:r>
      <w:r w:rsidR="00C35BD9">
        <w:t>,</w:t>
      </w:r>
      <w:r w:rsidRPr="00111AAD" w:rsidR="00C35BD9">
        <w:t xml:space="preserve"> market rules </w:t>
      </w:r>
      <w:r w:rsidRPr="005E7AF1" w:rsidR="00C35BD9">
        <w:rPr>
          <w:szCs w:val="26"/>
        </w:rPr>
        <w:t>could prevent d</w:t>
      </w:r>
      <w:r w:rsidR="00C35BD9">
        <w:rPr>
          <w:szCs w:val="26"/>
        </w:rPr>
        <w:t>ouble</w:t>
      </w:r>
      <w:r w:rsidRPr="005E7AF1" w:rsidR="00C35BD9">
        <w:rPr>
          <w:szCs w:val="26"/>
        </w:rPr>
        <w:t xml:space="preserve"> compensation</w:t>
      </w:r>
      <w:r w:rsidR="00C35BD9">
        <w:rPr>
          <w:szCs w:val="26"/>
        </w:rPr>
        <w:t xml:space="preserve"> </w:t>
      </w:r>
      <w:r w:rsidR="00C35BD9">
        <w:t xml:space="preserve">when </w:t>
      </w:r>
      <w:r w:rsidRPr="00111AAD" w:rsidR="00C35BD9">
        <w:t>a resource is dispatched simultaneously for multiple programs</w:t>
      </w:r>
      <w:r w:rsidR="00C35BD9">
        <w:t xml:space="preserve"> or to prevent a resource from being permitted to sell the same market product as both an individual resource and as part of an aggregation in the same timeframe.</w:t>
      </w:r>
      <w:r w:rsidRPr="00AF3995" w:rsidR="00C35BD9">
        <w:rPr>
          <w:rStyle w:val="FootnoteReference"/>
        </w:rPr>
        <w:footnoteReference w:id="383"/>
      </w:r>
      <w:r w:rsidR="00C35BD9">
        <w:t xml:space="preserve">  </w:t>
      </w:r>
      <w:r w:rsidR="00E64981">
        <w:t>Some</w:t>
      </w:r>
      <w:r w:rsidR="00471692">
        <w:t xml:space="preserve"> commenters </w:t>
      </w:r>
      <w:r w:rsidRPr="00F605A5" w:rsidR="0055725A">
        <w:t xml:space="preserve">suggest </w:t>
      </w:r>
      <w:r w:rsidR="000B59C2">
        <w:t xml:space="preserve">using </w:t>
      </w:r>
      <w:r w:rsidR="007317A5">
        <w:t xml:space="preserve">certain </w:t>
      </w:r>
      <w:r w:rsidRPr="00F605A5" w:rsidR="0055725A">
        <w:t>criteria to determine when a service provides incremental value</w:t>
      </w:r>
      <w:r w:rsidR="00864648">
        <w:t xml:space="preserve"> </w:t>
      </w:r>
      <w:r w:rsidR="0047050D">
        <w:t xml:space="preserve">to the retail or wholesale system </w:t>
      </w:r>
      <w:r w:rsidR="00864648">
        <w:t xml:space="preserve">or </w:t>
      </w:r>
      <w:r w:rsidR="009F25CE">
        <w:t xml:space="preserve">using </w:t>
      </w:r>
      <w:r w:rsidR="00864648">
        <w:t xml:space="preserve">metrics to enable segmentation of </w:t>
      </w:r>
      <w:r w:rsidR="00554B66">
        <w:t xml:space="preserve">time or </w:t>
      </w:r>
      <w:r w:rsidR="00864648">
        <w:t>service</w:t>
      </w:r>
      <w:r w:rsidR="00554B66">
        <w:t xml:space="preserve"> provided</w:t>
      </w:r>
      <w:r w:rsidRPr="00F605A5" w:rsidR="0055725A">
        <w:t>.</w:t>
      </w:r>
      <w:r w:rsidRPr="00AC20F1" w:rsidR="0055725A">
        <w:rPr>
          <w:rStyle w:val="FootnoteReference"/>
          <w:bCs/>
        </w:rPr>
        <w:footnoteReference w:id="384"/>
      </w:r>
      <w:r w:rsidRPr="00BD1675" w:rsidR="0055725A">
        <w:t xml:space="preserve"> </w:t>
      </w:r>
      <w:r w:rsidRPr="00F605A5" w:rsidR="0055725A">
        <w:t xml:space="preserve"> </w:t>
      </w:r>
      <w:r w:rsidRPr="00A50DBE" w:rsidR="00C35BD9">
        <w:t>PJM asks the Commission not to prohibit PJM from using accounting rules to delineate between a behind-the-meter distributed energy resource aggregation’s wholesale and retail transactions, as applicable.</w:t>
      </w:r>
      <w:r w:rsidRPr="00367C29" w:rsidR="00C35BD9">
        <w:rPr>
          <w:rStyle w:val="FootnoteReference"/>
        </w:rPr>
        <w:footnoteReference w:id="385"/>
      </w:r>
      <w:r w:rsidR="00C35BD9">
        <w:t xml:space="preserve">  </w:t>
      </w:r>
      <w:r w:rsidRPr="00BD1675" w:rsidR="0055725A">
        <w:t xml:space="preserve"> </w:t>
      </w:r>
      <w:r w:rsidRPr="00F605A5" w:rsidR="0055725A">
        <w:t xml:space="preserve"> </w:t>
      </w:r>
      <w:r w:rsidRPr="00F605A5" w:rsidDel="0055725A" w:rsidR="0055725A">
        <w:t xml:space="preserve"> </w:t>
      </w:r>
      <w:r w:rsidR="0055725A">
        <w:t xml:space="preserve"> </w:t>
      </w:r>
    </w:p>
    <w:p w:rsidRPr="009C14EA" w:rsidR="009C14EA" w:rsidP="00F16E32" w:rsidRDefault="00C311B9" w14:paraId="7B5223F7" w14:textId="77777777">
      <w:pPr>
        <w:pStyle w:val="FERCparanumber"/>
        <w:autoSpaceDE w:val="0"/>
        <w:autoSpaceDN w:val="0"/>
        <w:adjustRightInd w:val="0"/>
      </w:pPr>
      <w:r>
        <w:rPr>
          <w:bCs/>
        </w:rPr>
        <w:t>IRC</w:t>
      </w:r>
      <w:r w:rsidR="006D274F">
        <w:rPr>
          <w:bCs/>
        </w:rPr>
        <w:t xml:space="preserve"> urge</w:t>
      </w:r>
      <w:r>
        <w:rPr>
          <w:bCs/>
        </w:rPr>
        <w:t>s</w:t>
      </w:r>
      <w:r w:rsidR="006D274F">
        <w:rPr>
          <w:bCs/>
        </w:rPr>
        <w:t xml:space="preserve"> the Commission to </w:t>
      </w:r>
      <w:r w:rsidR="004E12B6">
        <w:rPr>
          <w:bCs/>
        </w:rPr>
        <w:t xml:space="preserve">work with states to </w:t>
      </w:r>
      <w:r w:rsidR="006D274F">
        <w:rPr>
          <w:bCs/>
        </w:rPr>
        <w:t xml:space="preserve">set forth clear processes for resolving jurisdictional </w:t>
      </w:r>
      <w:r w:rsidR="004E12B6">
        <w:rPr>
          <w:bCs/>
        </w:rPr>
        <w:t xml:space="preserve">and rate </w:t>
      </w:r>
      <w:r w:rsidR="006D274F">
        <w:rPr>
          <w:bCs/>
        </w:rPr>
        <w:t>issues</w:t>
      </w:r>
      <w:r w:rsidR="004E12B6">
        <w:rPr>
          <w:bCs/>
        </w:rPr>
        <w:t xml:space="preserve"> to prevent double compensation based on the details of a particular retail program</w:t>
      </w:r>
      <w:r w:rsidR="00FB2CD8">
        <w:rPr>
          <w:bCs/>
        </w:rPr>
        <w:t>.</w:t>
      </w:r>
      <w:r w:rsidRPr="00367C29" w:rsidR="006D274F">
        <w:rPr>
          <w:rStyle w:val="FootnoteReference"/>
        </w:rPr>
        <w:footnoteReference w:id="386"/>
      </w:r>
      <w:r w:rsidDel="00FB2CD8" w:rsidR="006D274F">
        <w:t xml:space="preserve"> </w:t>
      </w:r>
      <w:r w:rsidR="00777B05">
        <w:t xml:space="preserve"> </w:t>
      </w:r>
      <w:r w:rsidR="00FB2CD8">
        <w:t xml:space="preserve">Some commenters </w:t>
      </w:r>
      <w:r w:rsidRPr="00BD1675" w:rsidR="00FB2CD8">
        <w:t xml:space="preserve">suggest that the Commission collaborate with local regulatory authorities </w:t>
      </w:r>
      <w:r w:rsidR="00AA182F">
        <w:t>bec</w:t>
      </w:r>
      <w:r w:rsidRPr="00BD1675" w:rsidR="00FB2CD8">
        <w:t>a</w:t>
      </w:r>
      <w:r w:rsidR="00AA182F">
        <w:t>u</w:t>
      </w:r>
      <w:r w:rsidRPr="00BD1675" w:rsidR="00FB2CD8">
        <w:t>s</w:t>
      </w:r>
      <w:r w:rsidR="00AA182F">
        <w:t>e</w:t>
      </w:r>
      <w:r w:rsidRPr="00BD1675" w:rsidR="00FB2CD8">
        <w:t xml:space="preserve"> local conditions may warrant special rules and restrictions for </w:t>
      </w:r>
      <w:r w:rsidR="00FB2CD8">
        <w:t>distributed energy resource</w:t>
      </w:r>
      <w:r w:rsidRPr="00BD1675" w:rsidR="00FB2CD8">
        <w:t xml:space="preserve"> participation in multiple markets</w:t>
      </w:r>
      <w:r w:rsidR="00962925">
        <w:t xml:space="preserve"> or defer to state jurisdictions</w:t>
      </w:r>
      <w:r w:rsidRPr="00BD1675" w:rsidR="00FB2CD8">
        <w:t>.</w:t>
      </w:r>
      <w:r w:rsidRPr="00AC20F1" w:rsidR="00FB2CD8">
        <w:rPr>
          <w:rStyle w:val="FootnoteReference"/>
          <w:bCs/>
        </w:rPr>
        <w:footnoteReference w:id="387"/>
      </w:r>
      <w:r w:rsidR="006D274F">
        <w:t xml:space="preserve"> </w:t>
      </w:r>
      <w:r w:rsidR="009F25CE">
        <w:t xml:space="preserve"> </w:t>
      </w:r>
      <w:r w:rsidR="006D274F">
        <w:t xml:space="preserve">Some commenters request that the Commission </w:t>
      </w:r>
      <w:r w:rsidR="006D274F">
        <w:rPr>
          <w:bCs/>
        </w:rPr>
        <w:t>clarify the right of state regulators to monitor and regulate potential duplicate compensation</w:t>
      </w:r>
      <w:r w:rsidRPr="00367C29" w:rsidR="006D274F">
        <w:rPr>
          <w:rStyle w:val="FootnoteReference"/>
        </w:rPr>
        <w:footnoteReference w:id="388"/>
      </w:r>
      <w:r w:rsidR="006D274F">
        <w:rPr>
          <w:bCs/>
        </w:rPr>
        <w:t xml:space="preserve"> and </w:t>
      </w:r>
      <w:r w:rsidR="009B5D37">
        <w:rPr>
          <w:bCs/>
        </w:rPr>
        <w:t xml:space="preserve">request </w:t>
      </w:r>
      <w:r w:rsidR="00354D92">
        <w:rPr>
          <w:bCs/>
        </w:rPr>
        <w:t xml:space="preserve">that </w:t>
      </w:r>
      <w:r w:rsidR="009B5D37">
        <w:rPr>
          <w:bCs/>
        </w:rPr>
        <w:t xml:space="preserve">the Commission </w:t>
      </w:r>
      <w:r w:rsidR="006D274F">
        <w:rPr>
          <w:bCs/>
        </w:rPr>
        <w:t>provide guidance to distribution utilities regarding the proposal.</w:t>
      </w:r>
      <w:r w:rsidRPr="00367C29" w:rsidR="006D274F">
        <w:rPr>
          <w:rStyle w:val="FootnoteReference"/>
        </w:rPr>
        <w:footnoteReference w:id="389"/>
      </w:r>
      <w:r w:rsidR="006D274F">
        <w:rPr>
          <w:bCs/>
        </w:rPr>
        <w:t xml:space="preserve">  </w:t>
      </w:r>
    </w:p>
    <w:p w:rsidR="00F16E32" w:rsidP="00F16E32" w:rsidRDefault="006D274F" w14:paraId="692B29CA" w14:textId="7D37170E">
      <w:pPr>
        <w:pStyle w:val="FERCparanumber"/>
        <w:autoSpaceDE w:val="0"/>
        <w:autoSpaceDN w:val="0"/>
        <w:adjustRightInd w:val="0"/>
      </w:pPr>
      <w:r>
        <w:t xml:space="preserve">In addition, </w:t>
      </w:r>
      <w:r w:rsidR="00C24DF3">
        <w:t xml:space="preserve">several </w:t>
      </w:r>
      <w:r>
        <w:t xml:space="preserve">commenters seek clarification that RTOs/ISOs are not precluded from allowing distributed energy resources to provide multiple non-overlapping </w:t>
      </w:r>
      <w:r w:rsidR="00316C5C">
        <w:t xml:space="preserve">wholesale </w:t>
      </w:r>
      <w:r>
        <w:t>services.</w:t>
      </w:r>
      <w:r w:rsidRPr="00367C29">
        <w:rPr>
          <w:rStyle w:val="FootnoteReference"/>
        </w:rPr>
        <w:footnoteReference w:id="390"/>
      </w:r>
      <w:r w:rsidRPr="00111AAD">
        <w:t xml:space="preserve"> </w:t>
      </w:r>
      <w:r w:rsidRPr="00D456C3">
        <w:rPr>
          <w:szCs w:val="26"/>
        </w:rPr>
        <w:t xml:space="preserve"> NYISO</w:t>
      </w:r>
      <w:r w:rsidRPr="006B03DB">
        <w:rPr>
          <w:szCs w:val="26"/>
        </w:rPr>
        <w:t xml:space="preserve"> requests clarification on whether distributed energy resources are permitted to offer the “same service” to the wholesale markets and distribution system-level retail programs.</w:t>
      </w:r>
      <w:r w:rsidRPr="006B03DB">
        <w:rPr>
          <w:rStyle w:val="FootnoteReference"/>
        </w:rPr>
        <w:footnoteReference w:id="391"/>
      </w:r>
      <w:r>
        <w:rPr>
          <w:bCs/>
        </w:rPr>
        <w:t xml:space="preserve">  Lastly, s</w:t>
      </w:r>
      <w:r>
        <w:t>ome</w:t>
      </w:r>
      <w:r w:rsidRPr="00A72E77">
        <w:t xml:space="preserve"> commenters </w:t>
      </w:r>
      <w:r>
        <w:t xml:space="preserve">state </w:t>
      </w:r>
      <w:r w:rsidRPr="00A72E77">
        <w:t xml:space="preserve">that </w:t>
      </w:r>
      <w:r w:rsidRPr="0090520A">
        <w:t>the</w:t>
      </w:r>
      <w:r w:rsidRPr="00A72E77">
        <w:t xml:space="preserve"> Commission </w:t>
      </w:r>
      <w:r>
        <w:t>should</w:t>
      </w:r>
      <w:r w:rsidRPr="00A72E77">
        <w:t xml:space="preserve"> </w:t>
      </w:r>
      <w:r>
        <w:t xml:space="preserve">revisit and </w:t>
      </w:r>
      <w:r w:rsidRPr="00A72E77">
        <w:t>further examin</w:t>
      </w:r>
      <w:r>
        <w:t>e</w:t>
      </w:r>
      <w:r w:rsidRPr="00A72E77">
        <w:t xml:space="preserve"> </w:t>
      </w:r>
      <w:r>
        <w:t>the issue</w:t>
      </w:r>
      <w:r w:rsidR="00031D7B">
        <w:t xml:space="preserve"> of dual participation</w:t>
      </w:r>
      <w:r w:rsidRPr="00A72E77">
        <w:t xml:space="preserve"> in the future.</w:t>
      </w:r>
      <w:r w:rsidRPr="00550B44">
        <w:rPr>
          <w:rStyle w:val="FootnoteReference"/>
        </w:rPr>
        <w:footnoteReference w:id="392"/>
      </w:r>
      <w:r>
        <w:t xml:space="preserve">  </w:t>
      </w:r>
    </w:p>
    <w:p w:rsidRPr="00354D92" w:rsidR="00F16E32" w:rsidP="00354D92" w:rsidRDefault="00F16E32" w14:paraId="2C12B9F0" w14:textId="38A8B7DF">
      <w:pPr>
        <w:pStyle w:val="FERCparanumber"/>
        <w:rPr>
          <w:szCs w:val="26"/>
        </w:rPr>
      </w:pPr>
      <w:r>
        <w:rPr>
          <w:szCs w:val="26"/>
        </w:rPr>
        <w:t xml:space="preserve">Other </w:t>
      </w:r>
      <w:r w:rsidRPr="00AC2F3B">
        <w:t xml:space="preserve">commenters argue </w:t>
      </w:r>
      <w:r>
        <w:t xml:space="preserve">that </w:t>
      </w:r>
      <w:r w:rsidRPr="00AC2F3B">
        <w:t xml:space="preserve">the </w:t>
      </w:r>
      <w:r w:rsidR="00354D92">
        <w:t>NOPR</w:t>
      </w:r>
      <w:r w:rsidRPr="00AC2F3B">
        <w:t xml:space="preserve"> proposal would undermine state policy</w:t>
      </w:r>
      <w:r>
        <w:t>.</w:t>
      </w:r>
      <w:r w:rsidRPr="00AF3995">
        <w:rPr>
          <w:rStyle w:val="FootnoteReference"/>
        </w:rPr>
        <w:footnoteReference w:id="393"/>
      </w:r>
      <w:r>
        <w:rPr>
          <w:bCs/>
        </w:rPr>
        <w:t xml:space="preserve">  </w:t>
      </w:r>
      <w:r w:rsidRPr="00111AAD">
        <w:t xml:space="preserve">Numerous commenters argue that the </w:t>
      </w:r>
      <w:r w:rsidR="00354D92">
        <w:t>NOPR</w:t>
      </w:r>
      <w:r w:rsidRPr="00111AAD">
        <w:t xml:space="preserve"> proposal conflicts with </w:t>
      </w:r>
      <w:r w:rsidR="00354D92">
        <w:t>the Commission’s</w:t>
      </w:r>
      <w:r w:rsidRPr="00111AAD">
        <w:t xml:space="preserve"> finding</w:t>
      </w:r>
      <w:r>
        <w:t xml:space="preserve">s </w:t>
      </w:r>
      <w:r w:rsidRPr="00111AAD">
        <w:t xml:space="preserve">in </w:t>
      </w:r>
      <w:r w:rsidRPr="002D1258">
        <w:rPr>
          <w:i/>
          <w:iCs/>
        </w:rPr>
        <w:t>New</w:t>
      </w:r>
      <w:r w:rsidRPr="00BD1675">
        <w:t xml:space="preserve"> </w:t>
      </w:r>
      <w:r w:rsidRPr="002D1258">
        <w:rPr>
          <w:i/>
          <w:iCs/>
        </w:rPr>
        <w:t xml:space="preserve">York State Public </w:t>
      </w:r>
      <w:r w:rsidRPr="00BD1675">
        <w:rPr>
          <w:i/>
          <w:iCs/>
        </w:rPr>
        <w:t>Service Comm</w:t>
      </w:r>
      <w:r w:rsidR="00D9383B">
        <w:rPr>
          <w:i/>
          <w:iCs/>
        </w:rPr>
        <w:t>issio</w:t>
      </w:r>
      <w:r w:rsidRPr="00BD1675">
        <w:rPr>
          <w:i/>
          <w:iCs/>
        </w:rPr>
        <w:t>n v. N</w:t>
      </w:r>
      <w:r w:rsidR="00FB1808">
        <w:rPr>
          <w:i/>
          <w:iCs/>
        </w:rPr>
        <w:t xml:space="preserve">ew </w:t>
      </w:r>
      <w:r w:rsidRPr="00BD1675">
        <w:rPr>
          <w:i/>
          <w:iCs/>
        </w:rPr>
        <w:t>Y</w:t>
      </w:r>
      <w:r w:rsidR="00FB1808">
        <w:rPr>
          <w:i/>
          <w:iCs/>
        </w:rPr>
        <w:t xml:space="preserve">ork </w:t>
      </w:r>
      <w:r w:rsidRPr="00BD1675">
        <w:rPr>
          <w:i/>
          <w:iCs/>
        </w:rPr>
        <w:t>I</w:t>
      </w:r>
      <w:r w:rsidR="00F066AD">
        <w:rPr>
          <w:i/>
          <w:iCs/>
        </w:rPr>
        <w:t xml:space="preserve">ndependent </w:t>
      </w:r>
      <w:r w:rsidRPr="00BD1675">
        <w:rPr>
          <w:i/>
          <w:iCs/>
        </w:rPr>
        <w:t>S</w:t>
      </w:r>
      <w:r w:rsidR="00F066AD">
        <w:rPr>
          <w:i/>
          <w:iCs/>
        </w:rPr>
        <w:t xml:space="preserve">ystem </w:t>
      </w:r>
      <w:r w:rsidRPr="00BD1675">
        <w:rPr>
          <w:i/>
          <w:iCs/>
        </w:rPr>
        <w:t>O</w:t>
      </w:r>
      <w:r w:rsidR="00F066AD">
        <w:rPr>
          <w:i/>
          <w:iCs/>
        </w:rPr>
        <w:t>perator</w:t>
      </w:r>
      <w:r w:rsidR="0044574D">
        <w:rPr>
          <w:i/>
          <w:iCs/>
        </w:rPr>
        <w:t>, Inc.</w:t>
      </w:r>
      <w:r w:rsidRPr="00F603B8">
        <w:t>,</w:t>
      </w:r>
      <w:r w:rsidRPr="00DE70CD">
        <w:t xml:space="preserve"> </w:t>
      </w:r>
      <w:r>
        <w:t>in which</w:t>
      </w:r>
      <w:r w:rsidRPr="00111AAD">
        <w:t xml:space="preserve"> the Commission stated that “</w:t>
      </w:r>
      <w:r>
        <w:t>[w]</w:t>
      </w:r>
      <w:r w:rsidRPr="00111AAD">
        <w:t>hile the wholesale- and the retail-level demand response programs may complement each other</w:t>
      </w:r>
      <w:r w:rsidRPr="00DE70CD">
        <w:t xml:space="preserve">, </w:t>
      </w:r>
      <w:r w:rsidRPr="005E7AF1">
        <w:rPr>
          <w:iCs/>
        </w:rPr>
        <w:t>they serve different purposes, provide different benefits, and compensate distinctly different services,</w:t>
      </w:r>
      <w:r w:rsidRPr="00111AAD">
        <w:t>”</w:t>
      </w:r>
      <w:r>
        <w:rPr>
          <w:rStyle w:val="FootnoteReference"/>
        </w:rPr>
        <w:footnoteReference w:id="394"/>
      </w:r>
      <w:r>
        <w:t xml:space="preserve"> and would interfere with New York’s existing programs and state objectives.</w:t>
      </w:r>
      <w:r w:rsidRPr="00AF3995">
        <w:rPr>
          <w:rStyle w:val="FootnoteReference"/>
        </w:rPr>
        <w:footnoteReference w:id="395"/>
      </w:r>
      <w:r w:rsidRPr="00111AAD">
        <w:t xml:space="preserve">  </w:t>
      </w:r>
      <w:r w:rsidRPr="00354EAA" w:rsidR="004C408F">
        <w:t>The California Commission maintains that dual participation</w:t>
      </w:r>
      <w:r w:rsidR="004C408F">
        <w:t xml:space="preserve"> of a distributed energy resource in retail programs and RTO/ISO markets</w:t>
      </w:r>
      <w:r w:rsidRPr="00354EAA" w:rsidR="004C408F">
        <w:t xml:space="preserve"> is a retail matter under state jurisdiction.</w:t>
      </w:r>
      <w:r w:rsidRPr="00354EAA" w:rsidR="004C408F">
        <w:rPr>
          <w:b/>
          <w:vertAlign w:val="superscript"/>
        </w:rPr>
        <w:footnoteReference w:id="396"/>
      </w:r>
      <w:r w:rsidRPr="00354EAA" w:rsidR="004C408F">
        <w:t xml:space="preserve">  </w:t>
      </w:r>
      <w:r w:rsidRPr="00B508FF">
        <w:t>The Arkansas</w:t>
      </w:r>
      <w:r w:rsidRPr="00B508FF" w:rsidDel="00354D92">
        <w:t xml:space="preserve"> </w:t>
      </w:r>
      <w:r w:rsidRPr="00B508FF">
        <w:t>Commission</w:t>
      </w:r>
      <w:r>
        <w:t>, with support from Advanced Energy Economy,</w:t>
      </w:r>
      <w:r w:rsidRPr="00B508FF">
        <w:t xml:space="preserve"> </w:t>
      </w:r>
      <w:r w:rsidR="00E349AE">
        <w:t>states</w:t>
      </w:r>
      <w:r w:rsidRPr="00B508FF">
        <w:t xml:space="preserve"> that </w:t>
      </w:r>
      <w:r w:rsidR="00E349AE">
        <w:t>dual participation</w:t>
      </w:r>
      <w:r w:rsidRPr="00B508FF">
        <w:t xml:space="preserve"> </w:t>
      </w:r>
      <w:r w:rsidR="00E349AE">
        <w:t>of</w:t>
      </w:r>
      <w:r w:rsidRPr="00B508FF">
        <w:t xml:space="preserve"> </w:t>
      </w:r>
      <w:r>
        <w:t>distributed energy resource</w:t>
      </w:r>
      <w:r w:rsidRPr="00B508FF">
        <w:t xml:space="preserve"> aggregation</w:t>
      </w:r>
      <w:r w:rsidR="00C53351">
        <w:t>s</w:t>
      </w:r>
      <w:r w:rsidRPr="00B508FF">
        <w:t xml:space="preserve"> </w:t>
      </w:r>
      <w:r w:rsidR="00E349AE">
        <w:t xml:space="preserve">in RTO/ISO and retail markets </w:t>
      </w:r>
      <w:r w:rsidRPr="00B508FF">
        <w:t xml:space="preserve">requires a cooperative federalism approach </w:t>
      </w:r>
      <w:r>
        <w:t>in which</w:t>
      </w:r>
      <w:r w:rsidRPr="00B508FF">
        <w:t xml:space="preserve"> the Commission </w:t>
      </w:r>
      <w:r w:rsidRPr="00967569">
        <w:t>has authority over RTO/ISO eligibility rules, states</w:t>
      </w:r>
      <w:r>
        <w:t xml:space="preserve"> </w:t>
      </w:r>
      <w:r w:rsidRPr="00967569">
        <w:t>have exclusive jurisdiction over retail customer programs and may set terms and conditions so</w:t>
      </w:r>
      <w:r>
        <w:t xml:space="preserve"> </w:t>
      </w:r>
      <w:r w:rsidRPr="00967569">
        <w:t>long as they do not conflict with Commission orders</w:t>
      </w:r>
      <w:r>
        <w:t>, and state regulators play a complementary role</w:t>
      </w:r>
      <w:r w:rsidRPr="00B508FF">
        <w:t>.</w:t>
      </w:r>
      <w:r>
        <w:rPr>
          <w:rStyle w:val="FootnoteReference"/>
        </w:rPr>
        <w:footnoteReference w:id="397"/>
      </w:r>
      <w:r w:rsidRPr="00B508FF">
        <w:t xml:space="preserve"> </w:t>
      </w:r>
      <w:r w:rsidRPr="00354D92" w:rsidDel="00B61FA2">
        <w:rPr>
          <w:bCs/>
        </w:rPr>
        <w:t xml:space="preserve"> </w:t>
      </w:r>
    </w:p>
    <w:p w:rsidRPr="004F0532" w:rsidR="00D61EA4" w:rsidP="00F16E32" w:rsidRDefault="00F16E32" w14:paraId="5F8EE5DB" w14:textId="14241976">
      <w:pPr>
        <w:pStyle w:val="FERCparanumber"/>
        <w:rPr>
          <w:szCs w:val="26"/>
        </w:rPr>
      </w:pPr>
      <w:r>
        <w:rPr>
          <w:bCs/>
        </w:rPr>
        <w:t>In addition, some commenters assert</w:t>
      </w:r>
      <w:r w:rsidRPr="001E417A">
        <w:rPr>
          <w:bCs/>
        </w:rPr>
        <w:t xml:space="preserve"> </w:t>
      </w:r>
      <w:r>
        <w:rPr>
          <w:bCs/>
        </w:rPr>
        <w:t xml:space="preserve">that </w:t>
      </w:r>
      <w:r w:rsidRPr="001E417A">
        <w:rPr>
          <w:bCs/>
        </w:rPr>
        <w:t xml:space="preserve">the Commission does not have </w:t>
      </w:r>
      <w:r w:rsidR="00A6765C">
        <w:rPr>
          <w:bCs/>
        </w:rPr>
        <w:t>authority</w:t>
      </w:r>
      <w:r w:rsidRPr="001E417A">
        <w:rPr>
          <w:bCs/>
        </w:rPr>
        <w:t xml:space="preserve"> to prevent </w:t>
      </w:r>
      <w:r>
        <w:rPr>
          <w:bCs/>
        </w:rPr>
        <w:t>distributed energy resource</w:t>
      </w:r>
      <w:r w:rsidRPr="001E417A">
        <w:rPr>
          <w:bCs/>
        </w:rPr>
        <w:t>s from selling retail services.</w:t>
      </w:r>
      <w:r w:rsidRPr="00AF3995">
        <w:rPr>
          <w:rStyle w:val="FootnoteReference"/>
        </w:rPr>
        <w:footnoteReference w:id="398"/>
      </w:r>
      <w:r w:rsidRPr="001E417A">
        <w:rPr>
          <w:bCs/>
        </w:rPr>
        <w:t xml:space="preserve">  </w:t>
      </w:r>
      <w:r w:rsidR="00F01BDA">
        <w:rPr>
          <w:bCs/>
        </w:rPr>
        <w:t xml:space="preserve">The </w:t>
      </w:r>
      <w:r w:rsidRPr="00803D47">
        <w:rPr>
          <w:szCs w:val="26"/>
        </w:rPr>
        <w:t xml:space="preserve">Harvard Environmental Policy Initiative </w:t>
      </w:r>
      <w:r>
        <w:rPr>
          <w:szCs w:val="26"/>
        </w:rPr>
        <w:t>argues</w:t>
      </w:r>
      <w:r w:rsidRPr="00803D47">
        <w:rPr>
          <w:szCs w:val="26"/>
        </w:rPr>
        <w:t xml:space="preserve"> </w:t>
      </w:r>
      <w:r>
        <w:rPr>
          <w:szCs w:val="26"/>
        </w:rPr>
        <w:t xml:space="preserve">that </w:t>
      </w:r>
      <w:r w:rsidRPr="00803D47">
        <w:rPr>
          <w:szCs w:val="26"/>
        </w:rPr>
        <w:t>there is no legal barrier that prevents distributed energy resources from participating in both state and Commission programs, and that the Commission has the authority to allow each RTO/ISO to determine how to allow distributed energy resources to participate in both state-level and wholesale programs, though they note it may be operationally complex.</w:t>
      </w:r>
      <w:r w:rsidRPr="00AF3995">
        <w:rPr>
          <w:rStyle w:val="FootnoteReference"/>
        </w:rPr>
        <w:footnoteReference w:id="399"/>
      </w:r>
      <w:r>
        <w:rPr>
          <w:szCs w:val="26"/>
        </w:rPr>
        <w:t xml:space="preserve">  </w:t>
      </w:r>
      <w:r w:rsidRPr="00DE680E">
        <w:rPr>
          <w:szCs w:val="26"/>
        </w:rPr>
        <w:t>Tesla/SolarCity asserts that differences in jurisdiction must not prevent distributed energy resources from receiving com</w:t>
      </w:r>
      <w:r w:rsidRPr="008B0BEF">
        <w:rPr>
          <w:szCs w:val="26"/>
        </w:rPr>
        <w:t>pensation for distinct services</w:t>
      </w:r>
      <w:r w:rsidRPr="00550B44">
        <w:rPr>
          <w:rStyle w:val="FootnoteReference"/>
        </w:rPr>
        <w:footnoteReference w:id="400"/>
      </w:r>
      <w:r w:rsidRPr="00DE680E">
        <w:rPr>
          <w:szCs w:val="26"/>
        </w:rPr>
        <w:t xml:space="preserve"> and </w:t>
      </w:r>
      <w:r w:rsidRPr="008B0BEF">
        <w:rPr>
          <w:szCs w:val="26"/>
        </w:rPr>
        <w:t>argues that effects on retail rates</w:t>
      </w:r>
      <w:r w:rsidRPr="00DE7772">
        <w:rPr>
          <w:szCs w:val="26"/>
        </w:rPr>
        <w:t xml:space="preserve"> should not be relevant.</w:t>
      </w:r>
      <w:r w:rsidRPr="00550B44">
        <w:rPr>
          <w:rStyle w:val="FootnoteReference"/>
        </w:rPr>
        <w:footnoteReference w:id="401"/>
      </w:r>
      <w:r>
        <w:rPr>
          <w:szCs w:val="26"/>
        </w:rPr>
        <w:t xml:space="preserve">  </w:t>
      </w:r>
      <w:r w:rsidRPr="00BD1675">
        <w:t xml:space="preserve">Several commenters add that the Commission’s </w:t>
      </w:r>
      <w:r w:rsidR="00354D92">
        <w:t>decision</w:t>
      </w:r>
      <w:r w:rsidR="007C75C9">
        <w:t xml:space="preserve"> in this </w:t>
      </w:r>
      <w:r w:rsidRPr="00D51270" w:rsidR="00D51270">
        <w:t>final rule</w:t>
      </w:r>
      <w:r w:rsidRPr="00BD1675">
        <w:t xml:space="preserve"> will not affect the ability of relevant electric retail regulatory authorities to restrict wholesale participation for </w:t>
      </w:r>
      <w:r>
        <w:t>distributed energy resource</w:t>
      </w:r>
      <w:r w:rsidRPr="00BD1675">
        <w:t>s wishing to participate in retail programs.</w:t>
      </w:r>
      <w:r w:rsidRPr="00AC20F1">
        <w:rPr>
          <w:rStyle w:val="FootnoteReference"/>
          <w:bCs/>
        </w:rPr>
        <w:footnoteReference w:id="402"/>
      </w:r>
      <w:r w:rsidRPr="00BD1675">
        <w:t xml:space="preserve">  </w:t>
      </w:r>
    </w:p>
    <w:p w:rsidRPr="000C151A" w:rsidR="00F16E32" w:rsidP="00F16E32" w:rsidRDefault="00D61EA4" w14:paraId="48C4E7C8" w14:textId="7218433D">
      <w:pPr>
        <w:pStyle w:val="FERCparanumber"/>
        <w:rPr>
          <w:szCs w:val="26"/>
        </w:rPr>
      </w:pPr>
      <w:r>
        <w:t xml:space="preserve">However, </w:t>
      </w:r>
      <w:r w:rsidR="007C75C9">
        <w:t>some</w:t>
      </w:r>
      <w:r>
        <w:t xml:space="preserve"> commenters disagree with </w:t>
      </w:r>
      <w:r w:rsidR="007C75C9">
        <w:t>other commenters’</w:t>
      </w:r>
      <w:r>
        <w:t xml:space="preserve"> proposed approaches to differentiate between wholesale and retail services.  </w:t>
      </w:r>
      <w:r w:rsidRPr="00BD1675">
        <w:t xml:space="preserve">APPA </w:t>
      </w:r>
      <w:r w:rsidR="00F01BDA">
        <w:t>contends</w:t>
      </w:r>
      <w:r>
        <w:t xml:space="preserve"> that</w:t>
      </w:r>
      <w:r w:rsidRPr="00BD1675">
        <w:t xml:space="preserve"> the methods </w:t>
      </w:r>
      <w:r w:rsidR="007C75C9">
        <w:t xml:space="preserve">proposed by some commenters </w:t>
      </w:r>
      <w:r w:rsidRPr="00BD1675">
        <w:t>of determining what constitutes the same service are flawed, an incremental value approach is conceptually complicated, and using dispatch triggers to distinguish services is problematic because a resource could not respond to a reliability event in both the wholesale and retail markets at once.</w:t>
      </w:r>
      <w:r w:rsidRPr="00967569">
        <w:rPr>
          <w:rStyle w:val="FootnoteReference"/>
        </w:rPr>
        <w:footnoteReference w:id="403"/>
      </w:r>
      <w:r w:rsidRPr="00BD1675">
        <w:t xml:space="preserve">  </w:t>
      </w:r>
      <w:r>
        <w:t xml:space="preserve">Similarly, </w:t>
      </w:r>
      <w:r w:rsidRPr="00BD1675">
        <w:t>Sunrun argues that a universal characterization of services would create litigation and confusion.</w:t>
      </w:r>
      <w:r w:rsidRPr="00AC20F1">
        <w:rPr>
          <w:rStyle w:val="FootnoteReference"/>
          <w:bCs/>
        </w:rPr>
        <w:footnoteReference w:id="404"/>
      </w:r>
      <w:r>
        <w:t xml:space="preserve">  PJM </w:t>
      </w:r>
      <w:r w:rsidRPr="00BD1675">
        <w:t>a</w:t>
      </w:r>
      <w:r>
        <w:t>sserts</w:t>
      </w:r>
      <w:r w:rsidRPr="00BD1675">
        <w:t xml:space="preserve"> that </w:t>
      </w:r>
      <w:r>
        <w:t xml:space="preserve">the </w:t>
      </w:r>
      <w:r w:rsidRPr="00BD1675">
        <w:t>C</w:t>
      </w:r>
      <w:r>
        <w:t>ommission</w:t>
      </w:r>
      <w:r w:rsidRPr="00BD1675">
        <w:t xml:space="preserve"> should not “over-define” the services </w:t>
      </w:r>
      <w:r>
        <w:t>that distributed energy resources</w:t>
      </w:r>
      <w:r w:rsidRPr="00BD1675">
        <w:t xml:space="preserve"> provide but instead </w:t>
      </w:r>
      <w:r w:rsidR="00F01BDA">
        <w:t xml:space="preserve">should </w:t>
      </w:r>
      <w:r w:rsidRPr="00BD1675">
        <w:t>focus on the services traditionally addressed in the wholesale market (e.g. capacity, energy and ancillary services), and require that any unit of capacity/resource adequacy only be compensated once across the wholesale and retail domains.</w:t>
      </w:r>
      <w:r w:rsidRPr="00AC20F1">
        <w:rPr>
          <w:rStyle w:val="FootnoteReference"/>
          <w:bCs/>
        </w:rPr>
        <w:footnoteReference w:id="405"/>
      </w:r>
      <w:r w:rsidRPr="00BB1F79">
        <w:rPr>
          <w:bCs/>
        </w:rPr>
        <w:t xml:space="preserve"> </w:t>
      </w:r>
      <w:r w:rsidRPr="00BD1675">
        <w:t xml:space="preserve"> NYISO Indicated Transmission Owners point out that the ability to differentiate services is dependent on particular programs and markets, and suggest that the Commission consider programs as they are filed by the relevant RTOs</w:t>
      </w:r>
      <w:r>
        <w:t>/ISOs</w:t>
      </w:r>
      <w:r w:rsidRPr="00BD1675">
        <w:t>.</w:t>
      </w:r>
      <w:r w:rsidRPr="00AC20F1">
        <w:rPr>
          <w:rStyle w:val="FootnoteReference"/>
          <w:bCs/>
        </w:rPr>
        <w:footnoteReference w:id="406"/>
      </w:r>
      <w:r>
        <w:t xml:space="preserve">  </w:t>
      </w:r>
      <w:r w:rsidRPr="00BD1675">
        <w:t xml:space="preserve">MISO states that it defers to </w:t>
      </w:r>
      <w:r>
        <w:t>relevant electric retail regulatory authoritie</w:t>
      </w:r>
      <w:r w:rsidRPr="00BD1675">
        <w:t>s to address any double compensation matters.</w:t>
      </w:r>
      <w:r w:rsidRPr="00AC20F1">
        <w:rPr>
          <w:rStyle w:val="FootnoteReference"/>
          <w:bCs/>
        </w:rPr>
        <w:footnoteReference w:id="407"/>
      </w:r>
      <w:r>
        <w:t xml:space="preserve">  NYISO</w:t>
      </w:r>
      <w:r w:rsidRPr="00F605A5">
        <w:t xml:space="preserve"> state</w:t>
      </w:r>
      <w:r>
        <w:t>s</w:t>
      </w:r>
      <w:r w:rsidRPr="00F605A5">
        <w:t xml:space="preserve"> that if competing dispatch obligations still arise, it will be the aggregator’s responsibility to resolve the conflict and face penalties, as appropriate</w:t>
      </w:r>
      <w:r>
        <w:t>.</w:t>
      </w:r>
      <w:r w:rsidRPr="00967569">
        <w:rPr>
          <w:rStyle w:val="FootnoteReference"/>
        </w:rPr>
        <w:footnoteReference w:id="408"/>
      </w:r>
      <w:r w:rsidRPr="00DB2774">
        <w:rPr>
          <w:bCs/>
        </w:rPr>
        <w:t xml:space="preserve"> </w:t>
      </w:r>
      <w:r>
        <w:t xml:space="preserve"> </w:t>
      </w:r>
      <w:r w:rsidRPr="00DB2774">
        <w:rPr>
          <w:bCs/>
        </w:rPr>
        <w:t xml:space="preserve"> </w:t>
      </w:r>
      <w:r>
        <w:t xml:space="preserve"> </w:t>
      </w:r>
    </w:p>
    <w:p w:rsidRPr="00A50E81" w:rsidR="003A17D1" w:rsidP="000775A9" w:rsidRDefault="00F01BDA" w14:paraId="596547F1" w14:textId="35F33CB1">
      <w:pPr>
        <w:pStyle w:val="FERCparanumber"/>
        <w:rPr>
          <w:szCs w:val="26"/>
        </w:rPr>
      </w:pPr>
      <w:r>
        <w:t>NRG and Stem</w:t>
      </w:r>
      <w:r w:rsidRPr="00BD1675" w:rsidR="00EA0835">
        <w:t xml:space="preserve"> argue that the Commission should </w:t>
      </w:r>
      <w:r w:rsidRPr="001E417A" w:rsidR="00B61FA2">
        <w:rPr>
          <w:bCs/>
        </w:rPr>
        <w:t xml:space="preserve">only be concerned </w:t>
      </w:r>
      <w:r w:rsidR="00B61FA2">
        <w:rPr>
          <w:bCs/>
        </w:rPr>
        <w:t xml:space="preserve">with double compensation </w:t>
      </w:r>
      <w:r w:rsidRPr="001E417A" w:rsidR="00B61FA2">
        <w:rPr>
          <w:bCs/>
        </w:rPr>
        <w:t>if retail participation interferes with the provision of wholesale services</w:t>
      </w:r>
      <w:r w:rsidR="00C36CC8">
        <w:rPr>
          <w:bCs/>
        </w:rPr>
        <w:t>.</w:t>
      </w:r>
      <w:r w:rsidRPr="00AF3995" w:rsidR="00B61FA2">
        <w:rPr>
          <w:rStyle w:val="FootnoteReference"/>
        </w:rPr>
        <w:footnoteReference w:id="409"/>
      </w:r>
      <w:r w:rsidR="00C36CC8">
        <w:rPr>
          <w:bCs/>
        </w:rPr>
        <w:t xml:space="preserve">  Similarly, </w:t>
      </w:r>
      <w:r w:rsidR="00EC7ECF">
        <w:rPr>
          <w:bCs/>
        </w:rPr>
        <w:t>other</w:t>
      </w:r>
      <w:r w:rsidR="00C36CC8">
        <w:rPr>
          <w:bCs/>
        </w:rPr>
        <w:t xml:space="preserve"> commenters argue tha</w:t>
      </w:r>
      <w:r w:rsidR="00EC7ECF">
        <w:rPr>
          <w:bCs/>
        </w:rPr>
        <w:t>t</w:t>
      </w:r>
      <w:r w:rsidR="00C36CC8">
        <w:rPr>
          <w:bCs/>
        </w:rPr>
        <w:t xml:space="preserve"> the Commission</w:t>
      </w:r>
      <w:r w:rsidR="00B61FA2">
        <w:rPr>
          <w:bCs/>
        </w:rPr>
        <w:t xml:space="preserve"> </w:t>
      </w:r>
      <w:r w:rsidRPr="00BD1675" w:rsidR="00EA0835">
        <w:t xml:space="preserve">should focus on preventing </w:t>
      </w:r>
      <w:r w:rsidR="00EA0835">
        <w:t>distributed energy resource</w:t>
      </w:r>
      <w:r w:rsidRPr="00BD1675" w:rsidR="00EA0835">
        <w:t xml:space="preserve">s from receiving double payment for the same </w:t>
      </w:r>
      <w:r w:rsidRPr="00BD1675" w:rsidR="00EA0835">
        <w:rPr>
          <w:i/>
        </w:rPr>
        <w:t>wholesale</w:t>
      </w:r>
      <w:r w:rsidRPr="00BD1675" w:rsidR="00EA0835">
        <w:t xml:space="preserve"> service</w:t>
      </w:r>
      <w:r w:rsidR="00C91FEF">
        <w:t xml:space="preserve"> and not</w:t>
      </w:r>
      <w:r w:rsidRPr="00BD1675" w:rsidR="00EA0835">
        <w:t xml:space="preserve"> whether those resources are also receiving retail level compensation.</w:t>
      </w:r>
      <w:r w:rsidRPr="00AC20F1" w:rsidR="00EA0835">
        <w:rPr>
          <w:rStyle w:val="FootnoteReference"/>
          <w:bCs/>
        </w:rPr>
        <w:footnoteReference w:id="410"/>
      </w:r>
      <w:r w:rsidRPr="00FE56F5" w:rsidR="00EA0835">
        <w:rPr>
          <w:bCs/>
        </w:rPr>
        <w:t xml:space="preserve"> </w:t>
      </w:r>
      <w:r w:rsidRPr="00BD1675" w:rsidR="00EA0835">
        <w:t xml:space="preserve"> </w:t>
      </w:r>
      <w:r w:rsidR="00D9193C">
        <w:t xml:space="preserve">NYISO </w:t>
      </w:r>
      <w:r w:rsidRPr="00236F48" w:rsidR="00D9193C">
        <w:t xml:space="preserve">Indicated Transmission Owners note that many distribution utilities have established programs to accommodate technology within retail service programs and argue that any changes to market rules for participation of </w:t>
      </w:r>
      <w:r w:rsidR="00D9193C">
        <w:t xml:space="preserve">distributed energy resource </w:t>
      </w:r>
      <w:r w:rsidRPr="00236F48" w:rsidR="00D9193C">
        <w:t xml:space="preserve">aggregations in wholesale markets should avoid encroaching </w:t>
      </w:r>
      <w:r w:rsidR="00D9193C">
        <w:t>up</w:t>
      </w:r>
      <w:r w:rsidRPr="00236F48" w:rsidR="00D9193C">
        <w:t>on or abrogating the jurisdictional status of these distribution-level programs, which</w:t>
      </w:r>
      <w:r w:rsidR="00D9193C">
        <w:t>, they state,</w:t>
      </w:r>
      <w:r w:rsidRPr="00236F48" w:rsidR="00D9193C">
        <w:t xml:space="preserve"> do not involve wholesale sales.</w:t>
      </w:r>
      <w:r w:rsidRPr="00D377EB" w:rsidR="00D9193C">
        <w:rPr>
          <w:rStyle w:val="FootnoteReference"/>
        </w:rPr>
        <w:footnoteReference w:id="411"/>
      </w:r>
      <w:r w:rsidR="000775A9">
        <w:rPr>
          <w:szCs w:val="26"/>
        </w:rPr>
        <w:t xml:space="preserve">  </w:t>
      </w:r>
      <w:bookmarkEnd w:id="61"/>
    </w:p>
    <w:p w:rsidR="00E73BEF" w:rsidP="00E73BEF" w:rsidRDefault="00E73BEF" w14:paraId="51774367" w14:textId="008DA1AA">
      <w:pPr>
        <w:pStyle w:val="Heading4"/>
      </w:pPr>
      <w:bookmarkStart w:name="_bmk33" w:id="62"/>
      <w:r>
        <w:t>C</w:t>
      </w:r>
      <w:bookmarkEnd w:id="62"/>
      <w:r>
        <w:t>ommission Determination</w:t>
      </w:r>
    </w:p>
    <w:p w:rsidR="00FF4426" w:rsidP="00F45D61" w:rsidRDefault="00942573" w14:paraId="63E89B64" w14:textId="457C62D4">
      <w:pPr>
        <w:pStyle w:val="FERCparanumber"/>
      </w:pPr>
      <w:r w:rsidRPr="00942573">
        <w:t xml:space="preserve">To implement </w:t>
      </w:r>
      <w:r w:rsidR="00F16837">
        <w:t>§</w:t>
      </w:r>
      <w:r w:rsidRPr="00942573">
        <w:t xml:space="preserve"> 35.28(g)(</w:t>
      </w:r>
      <w:r w:rsidR="00EE74BA">
        <w:t>1</w:t>
      </w:r>
      <w:r w:rsidR="00CD5DB1">
        <w:t>2</w:t>
      </w:r>
      <w:r w:rsidRPr="00942573">
        <w:t>)(</w:t>
      </w:r>
      <w:r w:rsidR="00EE74BA">
        <w:t>i</w:t>
      </w:r>
      <w:r w:rsidRPr="00942573">
        <w:t xml:space="preserve">i)(a) of the Commission’s regulations and </w:t>
      </w:r>
      <w:r w:rsidR="00BB5763">
        <w:t>u</w:t>
      </w:r>
      <w:r w:rsidR="00947BEC">
        <w:t xml:space="preserve">pon consideration of the </w:t>
      </w:r>
      <w:r w:rsidRPr="00A50DBE" w:rsidR="00947BEC">
        <w:t>comments received</w:t>
      </w:r>
      <w:r w:rsidR="00947BEC">
        <w:t xml:space="preserve">, we </w:t>
      </w:r>
      <w:r w:rsidR="00F54B95">
        <w:t xml:space="preserve">adopt </w:t>
      </w:r>
      <w:r w:rsidRPr="00A50DBE" w:rsidR="00947BEC">
        <w:t>the</w:t>
      </w:r>
      <w:r w:rsidR="00947BEC">
        <w:t xml:space="preserve"> NOPR proposal</w:t>
      </w:r>
      <w:r w:rsidR="00F33DB1">
        <w:t xml:space="preserve">, as modified </w:t>
      </w:r>
      <w:r w:rsidR="004D5558">
        <w:t>and clarified below,</w:t>
      </w:r>
      <w:r w:rsidR="00947BEC">
        <w:t xml:space="preserve"> </w:t>
      </w:r>
      <w:r w:rsidR="00943515">
        <w:t>to</w:t>
      </w:r>
      <w:r w:rsidR="00246F83">
        <w:t xml:space="preserve"> </w:t>
      </w:r>
      <w:r w:rsidR="004D5558">
        <w:t>allow RTOs/ISOs</w:t>
      </w:r>
      <w:r w:rsidRPr="0064384C" w:rsidR="004D5558">
        <w:t xml:space="preserve"> to limit the participation of resources in </w:t>
      </w:r>
      <w:r w:rsidR="004D5558">
        <w:t>RTO/ISO</w:t>
      </w:r>
      <w:r w:rsidRPr="0064384C" w:rsidR="004D5558">
        <w:t xml:space="preserve"> markets through a </w:t>
      </w:r>
      <w:r w:rsidR="004D5558">
        <w:t>distributed energy resource</w:t>
      </w:r>
      <w:r w:rsidRPr="00262BC1" w:rsidR="004D5558">
        <w:t xml:space="preserve"> </w:t>
      </w:r>
      <w:r w:rsidRPr="00802A8E" w:rsidR="004D5558">
        <w:t>aggregator</w:t>
      </w:r>
      <w:r w:rsidRPr="00F367CF" w:rsidR="004D5558">
        <w:t xml:space="preserve"> that are receiving compensation for the same services as part of another </w:t>
      </w:r>
      <w:r w:rsidRPr="006B3303" w:rsidR="004D5558">
        <w:t>program</w:t>
      </w:r>
      <w:r w:rsidR="00947BEC">
        <w:t xml:space="preserve">.  </w:t>
      </w:r>
    </w:p>
    <w:p w:rsidR="002D3F52" w:rsidP="00F45D61" w:rsidRDefault="0095016A" w14:paraId="68A1FA10" w14:textId="198B2596">
      <w:pPr>
        <w:pStyle w:val="FERCparanumber"/>
      </w:pPr>
      <w:r>
        <w:t>However, w</w:t>
      </w:r>
      <w:r w:rsidR="002D3F52">
        <w:t xml:space="preserve">e agree with many commenters that </w:t>
      </w:r>
      <w:r w:rsidRPr="00007C85" w:rsidDel="00BE2503" w:rsidR="002D3F52">
        <w:t xml:space="preserve">the </w:t>
      </w:r>
      <w:r w:rsidRPr="00007C85" w:rsidR="002D3F52">
        <w:t>NOPR proposal</w:t>
      </w:r>
      <w:r w:rsidR="002D3F52">
        <w:t xml:space="preserve"> t</w:t>
      </w:r>
      <w:r w:rsidR="00BE2503">
        <w:t>o</w:t>
      </w:r>
      <w:r w:rsidR="002D3F52">
        <w:t xml:space="preserve"> prohibit distributed energy resources that are receiving compensation in a retail program from being eligible to participate in the RTO/ISO markets as part of a distributed energy resource aggregation </w:t>
      </w:r>
      <w:r w:rsidRPr="00007C85" w:rsidR="002D3F52">
        <w:t>was overly broad</w:t>
      </w:r>
      <w:r w:rsidR="002D3F52">
        <w:t>.  C</w:t>
      </w:r>
      <w:r w:rsidRPr="00007C85" w:rsidR="002D3F52">
        <w:t xml:space="preserve">ommenters </w:t>
      </w:r>
      <w:r w:rsidR="002D3F52">
        <w:t xml:space="preserve">identify multiple </w:t>
      </w:r>
      <w:r w:rsidRPr="00007C85" w:rsidR="002D3F52">
        <w:t xml:space="preserve">examples where participation </w:t>
      </w:r>
      <w:r w:rsidR="00FF4426">
        <w:t xml:space="preserve">in both wholesale and retail markets </w:t>
      </w:r>
      <w:r w:rsidR="002D3F52">
        <w:t>is feasible</w:t>
      </w:r>
      <w:r w:rsidR="002D3F52">
        <w:rPr>
          <w:rStyle w:val="FootnoteReference"/>
        </w:rPr>
        <w:footnoteReference w:id="412"/>
      </w:r>
      <w:r w:rsidRPr="00007C85" w:rsidR="002D3F52">
        <w:t xml:space="preserve"> </w:t>
      </w:r>
      <w:r w:rsidR="00662C44">
        <w:t>and</w:t>
      </w:r>
      <w:r w:rsidRPr="00007C85" w:rsidR="002D3F52">
        <w:t xml:space="preserve"> </w:t>
      </w:r>
      <w:r w:rsidR="002D3F52">
        <w:t xml:space="preserve">is </w:t>
      </w:r>
      <w:r w:rsidRPr="00007C85" w:rsidR="002D3F52">
        <w:t xml:space="preserve">already </w:t>
      </w:r>
      <w:r w:rsidR="002D3F52">
        <w:t>permitted and occurring,</w:t>
      </w:r>
      <w:r w:rsidR="002D3F52">
        <w:rPr>
          <w:rStyle w:val="FootnoteReference"/>
        </w:rPr>
        <w:footnoteReference w:id="413"/>
      </w:r>
      <w:r w:rsidR="002D3F52">
        <w:t xml:space="preserve"> and </w:t>
      </w:r>
      <w:r w:rsidR="00662C44">
        <w:t xml:space="preserve">they identify </w:t>
      </w:r>
      <w:r w:rsidR="002D3F52">
        <w:t>a variety of existing and potential approaches to address reasonable concerns about double counting and overcompensation.</w:t>
      </w:r>
      <w:r w:rsidR="002D3F52">
        <w:rPr>
          <w:rStyle w:val="FootnoteReference"/>
        </w:rPr>
        <w:footnoteReference w:id="414"/>
      </w:r>
      <w:r w:rsidR="002D3F52">
        <w:t xml:space="preserve">  </w:t>
      </w:r>
      <w:r w:rsidR="005715B7">
        <w:t>Therefore, r</w:t>
      </w:r>
      <w:r w:rsidR="00AA2546">
        <w:t>ather than barring participation in both wholesale and retail or multiple wholesale programs,</w:t>
      </w:r>
      <w:r w:rsidDel="00AA2546" w:rsidR="00AA2546">
        <w:t xml:space="preserve"> </w:t>
      </w:r>
      <w:r w:rsidR="00AA2546">
        <w:t>w</w:t>
      </w:r>
      <w:r w:rsidR="002D3F52">
        <w:t>e</w:t>
      </w:r>
      <w:r w:rsidRPr="00007C85" w:rsidDel="006A14FE" w:rsidR="002D3F52">
        <w:t xml:space="preserve"> </w:t>
      </w:r>
      <w:r w:rsidRPr="00007C85" w:rsidR="002D3F52">
        <w:t xml:space="preserve">modify the NOPR </w:t>
      </w:r>
      <w:r w:rsidR="002D3F52">
        <w:t xml:space="preserve">proposal to </w:t>
      </w:r>
      <w:r w:rsidR="00CA0D7A">
        <w:t xml:space="preserve">require </w:t>
      </w:r>
      <w:r w:rsidR="00114B88">
        <w:t xml:space="preserve">each </w:t>
      </w:r>
      <w:r w:rsidR="002D3F52">
        <w:t xml:space="preserve">RTO/ISO to revise </w:t>
      </w:r>
      <w:r w:rsidR="00114B88">
        <w:t>its</w:t>
      </w:r>
      <w:r w:rsidR="002D3F52">
        <w:t xml:space="preserve"> tariff to</w:t>
      </w:r>
      <w:r w:rsidR="00CA0D7A">
        <w:t>:</w:t>
      </w:r>
      <w:r w:rsidR="002D3F52">
        <w:t xml:space="preserve"> </w:t>
      </w:r>
      <w:r w:rsidR="00CA0D7A">
        <w:t xml:space="preserve">(1) allow distributed energy resources </w:t>
      </w:r>
      <w:r w:rsidR="0014618A">
        <w:t xml:space="preserve">that participate in </w:t>
      </w:r>
      <w:r w:rsidR="00932C32">
        <w:t xml:space="preserve">one or more </w:t>
      </w:r>
      <w:r w:rsidR="0014618A">
        <w:t xml:space="preserve">retail programs </w:t>
      </w:r>
      <w:r w:rsidR="00CA0D7A">
        <w:t xml:space="preserve">to participate in </w:t>
      </w:r>
      <w:r w:rsidR="00114B88">
        <w:t xml:space="preserve">its </w:t>
      </w:r>
      <w:r w:rsidR="00CA0D7A">
        <w:t xml:space="preserve">wholesale </w:t>
      </w:r>
      <w:r w:rsidR="00114B88">
        <w:t>markets</w:t>
      </w:r>
      <w:r w:rsidR="00CA0D7A">
        <w:t xml:space="preserve">; </w:t>
      </w:r>
      <w:r w:rsidR="00B90088">
        <w:t>(2)</w:t>
      </w:r>
      <w:r w:rsidR="00232DE6">
        <w:t xml:space="preserve"> allow distributed energy resources to provide multiple </w:t>
      </w:r>
      <w:r w:rsidR="00614C23">
        <w:t xml:space="preserve">wholesale </w:t>
      </w:r>
      <w:r w:rsidR="00232DE6">
        <w:t>services</w:t>
      </w:r>
      <w:r w:rsidR="000B1C11">
        <w:t>;</w:t>
      </w:r>
      <w:r w:rsidDel="00232DE6" w:rsidR="00CA0D7A">
        <w:t xml:space="preserve"> </w:t>
      </w:r>
      <w:r w:rsidDel="00B33872" w:rsidR="00CA0D7A">
        <w:t>and</w:t>
      </w:r>
      <w:r w:rsidR="00B33872">
        <w:t xml:space="preserve"> </w:t>
      </w:r>
      <w:r w:rsidR="00CA0D7A">
        <w:t>(</w:t>
      </w:r>
      <w:r w:rsidR="000B1C11">
        <w:t>3</w:t>
      </w:r>
      <w:r w:rsidR="00CA0D7A">
        <w:t>)</w:t>
      </w:r>
      <w:r w:rsidR="002D3F52">
        <w:t xml:space="preserve"> include </w:t>
      </w:r>
      <w:r w:rsidR="006663B3">
        <w:t xml:space="preserve">any </w:t>
      </w:r>
      <w:r w:rsidR="002D3F52">
        <w:t xml:space="preserve">appropriate restrictions on the </w:t>
      </w:r>
      <w:r w:rsidR="00B95A67">
        <w:t>distributed energy resource</w:t>
      </w:r>
      <w:r w:rsidRPr="0098017F" w:rsidR="002D3F52">
        <w:t>s</w:t>
      </w:r>
      <w:r w:rsidR="00CF469C">
        <w:t>’ participation</w:t>
      </w:r>
      <w:r w:rsidRPr="0098017F" w:rsidR="002D3F52">
        <w:t xml:space="preserve"> in </w:t>
      </w:r>
      <w:r w:rsidR="00F312DF">
        <w:t>RTO/ISO</w:t>
      </w:r>
      <w:r w:rsidR="00CF469C">
        <w:t xml:space="preserve"> </w:t>
      </w:r>
      <w:r w:rsidR="00642740">
        <w:t xml:space="preserve">markets </w:t>
      </w:r>
      <w:r w:rsidR="00CF469C">
        <w:t>through</w:t>
      </w:r>
      <w:r w:rsidR="00DE10FA">
        <w:t xml:space="preserve"> </w:t>
      </w:r>
      <w:r w:rsidR="002D3F52">
        <w:t>distributed energy resource</w:t>
      </w:r>
      <w:r w:rsidRPr="0098017F" w:rsidR="002D3F52">
        <w:t xml:space="preserve"> aggreg</w:t>
      </w:r>
      <w:r w:rsidRPr="00133BCB" w:rsidR="002D3F52">
        <w:t>ations</w:t>
      </w:r>
      <w:r w:rsidR="002D3F52">
        <w:t>,</w:t>
      </w:r>
      <w:r w:rsidRPr="00133BCB" w:rsidR="002D3F52">
        <w:t xml:space="preserve"> </w:t>
      </w:r>
      <w:r w:rsidR="002D3F52">
        <w:t xml:space="preserve">if </w:t>
      </w:r>
      <w:r w:rsidR="00114B88">
        <w:t xml:space="preserve">narrowly designed </w:t>
      </w:r>
      <w:r w:rsidRPr="00133BCB" w:rsidR="002D3F52">
        <w:t>to avoid co</w:t>
      </w:r>
      <w:r w:rsidR="00052354">
        <w:t>unting</w:t>
      </w:r>
      <w:r w:rsidR="002D3F52">
        <w:t xml:space="preserve"> more than once</w:t>
      </w:r>
      <w:r w:rsidRPr="00133BCB" w:rsidR="002D3F52">
        <w:t xml:space="preserve"> the </w:t>
      </w:r>
      <w:r w:rsidRPr="00671653" w:rsidR="002D3F52">
        <w:t>services</w:t>
      </w:r>
      <w:r w:rsidRPr="00133BCB" w:rsidR="002D3F52">
        <w:t xml:space="preserve"> </w:t>
      </w:r>
      <w:r w:rsidR="00624D1F">
        <w:t>provided by</w:t>
      </w:r>
      <w:r w:rsidR="002D3F52">
        <w:t xml:space="preserve"> distributed energy resources </w:t>
      </w:r>
      <w:r w:rsidRPr="00133BCB" w:rsidR="002D3F52">
        <w:t xml:space="preserve">in </w:t>
      </w:r>
      <w:r w:rsidR="002D3F52">
        <w:t>RTO/ISO</w:t>
      </w:r>
      <w:r w:rsidRPr="00133BCB" w:rsidR="002D3F52">
        <w:t xml:space="preserve"> markets</w:t>
      </w:r>
      <w:r w:rsidR="002D3F52">
        <w:t xml:space="preserve">.  </w:t>
      </w:r>
      <w:r w:rsidR="005715B7">
        <w:t xml:space="preserve">In compliance with this </w:t>
      </w:r>
      <w:r w:rsidRPr="00D51270" w:rsidR="00D51270">
        <w:t>final rule</w:t>
      </w:r>
      <w:r w:rsidR="005715B7">
        <w:t xml:space="preserve">, we require each RTO/ISO to describe how it will </w:t>
      </w:r>
      <w:r w:rsidR="00932C32">
        <w:t xml:space="preserve">properly account for the different services that distributed energy resources provide in the RTO/ISO </w:t>
      </w:r>
      <w:r w:rsidR="00624D1F">
        <w:t>markets</w:t>
      </w:r>
      <w:r w:rsidDel="00020B67" w:rsidR="005715B7">
        <w:t>.</w:t>
      </w:r>
    </w:p>
    <w:p w:rsidR="00344A11" w:rsidP="00344A11" w:rsidRDefault="00DF6391" w14:paraId="2BAF1E52" w14:textId="3FA753D9">
      <w:pPr>
        <w:pStyle w:val="FERCparanumber"/>
      </w:pPr>
      <w:r>
        <w:rPr>
          <w:szCs w:val="26"/>
        </w:rPr>
        <w:t>W</w:t>
      </w:r>
      <w:r w:rsidR="00D70149">
        <w:rPr>
          <w:szCs w:val="26"/>
        </w:rPr>
        <w:t>e</w:t>
      </w:r>
      <w:r>
        <w:rPr>
          <w:szCs w:val="26"/>
        </w:rPr>
        <w:t xml:space="preserve"> find that</w:t>
      </w:r>
      <w:r w:rsidR="00344A11">
        <w:rPr>
          <w:szCs w:val="26"/>
        </w:rPr>
        <w:t xml:space="preserve"> </w:t>
      </w:r>
      <w:r w:rsidR="00EA6FA0">
        <w:rPr>
          <w:szCs w:val="26"/>
        </w:rPr>
        <w:t xml:space="preserve">it </w:t>
      </w:r>
      <w:r w:rsidR="001343F3">
        <w:rPr>
          <w:szCs w:val="26"/>
        </w:rPr>
        <w:t>is</w:t>
      </w:r>
      <w:r w:rsidR="00EA6FA0">
        <w:rPr>
          <w:szCs w:val="26"/>
        </w:rPr>
        <w:t xml:space="preserve"> appropriate for </w:t>
      </w:r>
      <w:r w:rsidR="00344A11">
        <w:rPr>
          <w:szCs w:val="26"/>
        </w:rPr>
        <w:t xml:space="preserve">RTOs/ISOs </w:t>
      </w:r>
      <w:r w:rsidR="00EA6FA0">
        <w:rPr>
          <w:szCs w:val="26"/>
        </w:rPr>
        <w:t>to</w:t>
      </w:r>
      <w:r w:rsidR="00344A11">
        <w:rPr>
          <w:szCs w:val="26"/>
        </w:rPr>
        <w:t xml:space="preserve"> place </w:t>
      </w:r>
      <w:r w:rsidR="001343F3">
        <w:rPr>
          <w:szCs w:val="26"/>
        </w:rPr>
        <w:t xml:space="preserve">narrowly designed </w:t>
      </w:r>
      <w:r w:rsidR="00344A11">
        <w:rPr>
          <w:szCs w:val="26"/>
        </w:rPr>
        <w:t xml:space="preserve">restrictions on the RTO/ISO market participation of distributed energy resources </w:t>
      </w:r>
      <w:r w:rsidR="00D70149">
        <w:rPr>
          <w:szCs w:val="26"/>
        </w:rPr>
        <w:t>through aggregations</w:t>
      </w:r>
      <w:r w:rsidR="00EE1F4A">
        <w:rPr>
          <w:szCs w:val="26"/>
        </w:rPr>
        <w:t>,</w:t>
      </w:r>
      <w:r w:rsidR="00D70149">
        <w:rPr>
          <w:szCs w:val="26"/>
        </w:rPr>
        <w:t xml:space="preserve"> </w:t>
      </w:r>
      <w:r w:rsidR="00EE1F4A">
        <w:rPr>
          <w:szCs w:val="26"/>
        </w:rPr>
        <w:t xml:space="preserve">if </w:t>
      </w:r>
      <w:r w:rsidR="001343F3">
        <w:rPr>
          <w:szCs w:val="26"/>
        </w:rPr>
        <w:t xml:space="preserve">necessary </w:t>
      </w:r>
      <w:r w:rsidR="00432849">
        <w:rPr>
          <w:szCs w:val="26"/>
        </w:rPr>
        <w:t>to prevent double counting</w:t>
      </w:r>
      <w:r w:rsidR="00666FB7">
        <w:rPr>
          <w:szCs w:val="26"/>
        </w:rPr>
        <w:t xml:space="preserve"> of services</w:t>
      </w:r>
      <w:r w:rsidR="00432849">
        <w:rPr>
          <w:szCs w:val="26"/>
        </w:rPr>
        <w:t>.  For instance,</w:t>
      </w:r>
      <w:r w:rsidRPr="00432849" w:rsidR="00432849">
        <w:rPr>
          <w:szCs w:val="26"/>
        </w:rPr>
        <w:t xml:space="preserve"> if a distributed energy resource is offered into an RTO/ISO market and is not added back to a utility’s or other load serving entity’s load profile, then that resource will be double counted as both load reduction and a supply resource.  </w:t>
      </w:r>
      <w:r w:rsidR="00E97C94">
        <w:rPr>
          <w:szCs w:val="26"/>
        </w:rPr>
        <w:t>Also</w:t>
      </w:r>
      <w:r w:rsidRPr="00432849" w:rsidR="00432849">
        <w:rPr>
          <w:szCs w:val="26"/>
        </w:rPr>
        <w:t>, if a distributed energy resource is registered to provide the same service twice in an RTO/ISO market (</w:t>
      </w:r>
      <w:r w:rsidR="00B028C5">
        <w:rPr>
          <w:szCs w:val="26"/>
        </w:rPr>
        <w:t xml:space="preserve">e.g., </w:t>
      </w:r>
      <w:r w:rsidRPr="00432849" w:rsidR="00432849">
        <w:rPr>
          <w:szCs w:val="26"/>
        </w:rPr>
        <w:t xml:space="preserve">as part of multiple </w:t>
      </w:r>
      <w:r w:rsidR="00395588">
        <w:rPr>
          <w:szCs w:val="26"/>
        </w:rPr>
        <w:t>distributed energy resource</w:t>
      </w:r>
      <w:r w:rsidRPr="00432849" w:rsidR="00432849">
        <w:rPr>
          <w:szCs w:val="26"/>
        </w:rPr>
        <w:t xml:space="preserve"> aggregations, as part of a </w:t>
      </w:r>
      <w:r w:rsidR="00395588">
        <w:rPr>
          <w:szCs w:val="26"/>
        </w:rPr>
        <w:t>distributed energy resource</w:t>
      </w:r>
      <w:r w:rsidRPr="00432849" w:rsidR="00432849">
        <w:rPr>
          <w:szCs w:val="26"/>
        </w:rPr>
        <w:t xml:space="preserve"> aggregation and a </w:t>
      </w:r>
      <w:r w:rsidR="00B028C5">
        <w:rPr>
          <w:szCs w:val="26"/>
        </w:rPr>
        <w:t xml:space="preserve">standalone </w:t>
      </w:r>
      <w:r w:rsidRPr="00432849" w:rsidR="00432849">
        <w:rPr>
          <w:szCs w:val="26"/>
        </w:rPr>
        <w:t xml:space="preserve">demand response resource, and/or a standalone </w:t>
      </w:r>
      <w:r w:rsidR="00395588">
        <w:rPr>
          <w:szCs w:val="26"/>
        </w:rPr>
        <w:t>distributed energy resource</w:t>
      </w:r>
      <w:r w:rsidRPr="00432849" w:rsidR="00432849">
        <w:rPr>
          <w:szCs w:val="26"/>
        </w:rPr>
        <w:t>),</w:t>
      </w:r>
      <w:r w:rsidRPr="00432849" w:rsidDel="007037EB" w:rsidR="00432849">
        <w:rPr>
          <w:szCs w:val="26"/>
        </w:rPr>
        <w:t xml:space="preserve"> </w:t>
      </w:r>
      <w:r w:rsidRPr="00432849" w:rsidR="00432849">
        <w:rPr>
          <w:szCs w:val="26"/>
        </w:rPr>
        <w:t>then that resource w</w:t>
      </w:r>
      <w:r w:rsidR="00666FB7">
        <w:rPr>
          <w:szCs w:val="26"/>
        </w:rPr>
        <w:t>ould</w:t>
      </w:r>
      <w:r w:rsidRPr="00432849" w:rsidR="00432849">
        <w:rPr>
          <w:szCs w:val="26"/>
        </w:rPr>
        <w:t xml:space="preserve"> </w:t>
      </w:r>
      <w:r w:rsidR="00666FB7">
        <w:rPr>
          <w:szCs w:val="26"/>
        </w:rPr>
        <w:t xml:space="preserve">also </w:t>
      </w:r>
      <w:r w:rsidRPr="00432849" w:rsidR="00432849">
        <w:rPr>
          <w:szCs w:val="26"/>
        </w:rPr>
        <w:t xml:space="preserve">be double counted and double compensated if it clears the market as part of both market participants.  </w:t>
      </w:r>
      <w:r w:rsidR="00986421">
        <w:rPr>
          <w:szCs w:val="26"/>
        </w:rPr>
        <w:t xml:space="preserve">Thus, we find that it </w:t>
      </w:r>
      <w:r w:rsidR="001B7AD1">
        <w:rPr>
          <w:szCs w:val="26"/>
        </w:rPr>
        <w:t>is</w:t>
      </w:r>
      <w:r w:rsidR="00986421">
        <w:rPr>
          <w:szCs w:val="26"/>
        </w:rPr>
        <w:t xml:space="preserve"> appropriate for RTOs/ISOs to place restrictions on the RTO/ISO market participation of distributed energy resources through aggregations</w:t>
      </w:r>
      <w:r w:rsidR="00D70149">
        <w:rPr>
          <w:szCs w:val="26"/>
        </w:rPr>
        <w:t xml:space="preserve"> </w:t>
      </w:r>
      <w:r w:rsidR="00344A11">
        <w:rPr>
          <w:szCs w:val="26"/>
        </w:rPr>
        <w:t xml:space="preserve">after determining whether a distributed energy resource that is proposing to participate in a distributed energy resource aggregation is (1) registered to provide the same services </w:t>
      </w:r>
      <w:r w:rsidR="00EA6FA0">
        <w:rPr>
          <w:szCs w:val="26"/>
        </w:rPr>
        <w:t>either</w:t>
      </w:r>
      <w:r w:rsidR="00344A11">
        <w:rPr>
          <w:szCs w:val="26"/>
        </w:rPr>
        <w:t xml:space="preserve"> individually or as part of another RTO/ISO market participant</w:t>
      </w:r>
      <w:r w:rsidR="00FB7F86">
        <w:rPr>
          <w:szCs w:val="26"/>
        </w:rPr>
        <w:t>;</w:t>
      </w:r>
      <w:r w:rsidR="00344A11">
        <w:rPr>
          <w:rStyle w:val="FootnoteReference"/>
          <w:szCs w:val="26"/>
        </w:rPr>
        <w:footnoteReference w:id="415"/>
      </w:r>
      <w:r w:rsidR="00344A11">
        <w:rPr>
          <w:szCs w:val="26"/>
        </w:rPr>
        <w:t xml:space="preserve"> or (2) </w:t>
      </w:r>
      <w:r w:rsidR="00F3798E">
        <w:rPr>
          <w:szCs w:val="26"/>
        </w:rPr>
        <w:t>included in a retail program</w:t>
      </w:r>
      <w:r w:rsidR="00344A11">
        <w:rPr>
          <w:szCs w:val="26"/>
        </w:rPr>
        <w:t xml:space="preserve"> to reduce a utility’s or other load serving entity’s obligations to purchase services from the RTO/ISO market.  </w:t>
      </w:r>
    </w:p>
    <w:p w:rsidR="00344A11" w:rsidP="00344A11" w:rsidRDefault="00344A11" w14:paraId="79DD7252" w14:textId="6FB04CDF">
      <w:pPr>
        <w:pStyle w:val="FERCparanumber"/>
      </w:pPr>
      <w:r>
        <w:t>This restriction is</w:t>
      </w:r>
      <w:r w:rsidRPr="00007C85">
        <w:t xml:space="preserve"> similar to that </w:t>
      </w:r>
      <w:r>
        <w:t xml:space="preserve">adopted by the Commission </w:t>
      </w:r>
      <w:r w:rsidRPr="00007C85">
        <w:t>in Order No.</w:t>
      </w:r>
      <w:r w:rsidR="00267978">
        <w:t> </w:t>
      </w:r>
      <w:r w:rsidRPr="00007C85">
        <w:t>719</w:t>
      </w:r>
      <w:r>
        <w:t xml:space="preserve"> in the context of aggregations of demand response</w:t>
      </w:r>
      <w:r w:rsidRPr="00007C85">
        <w:t>, which state</w:t>
      </w:r>
      <w:r>
        <w:t>s</w:t>
      </w:r>
      <w:r w:rsidRPr="00007C85">
        <w:t xml:space="preserve"> that “[a]n RTO or ISO may place appropriate restrictions on any customer’s participation in an [aggregation of retail customers]-aggregated demand response bid to avoid counting the same demand response resource more than once.”</w:t>
      </w:r>
      <w:r w:rsidRPr="00D377EB">
        <w:rPr>
          <w:rStyle w:val="FootnoteReference"/>
        </w:rPr>
        <w:footnoteReference w:id="416"/>
      </w:r>
      <w:r>
        <w:t xml:space="preserve">  In addition, </w:t>
      </w:r>
      <w:r w:rsidR="008B4EFB">
        <w:t>a</w:t>
      </w:r>
      <w:r w:rsidRPr="00007C85" w:rsidR="008B4EFB">
        <w:t xml:space="preserve">s </w:t>
      </w:r>
      <w:r w:rsidRPr="00217C76" w:rsidR="008B4EFB">
        <w:t xml:space="preserve">discussed in Section </w:t>
      </w:r>
      <w:r w:rsidRPr="00217C76" w:rsidR="00F45971">
        <w:t>I</w:t>
      </w:r>
      <w:r w:rsidRPr="00217C76" w:rsidR="008B4EFB">
        <w:t xml:space="preserve">V.A.2 above, </w:t>
      </w:r>
      <w:r w:rsidRPr="00217C76">
        <w:t>relevant electric retail regulatory authorities may decide wh</w:t>
      </w:r>
      <w:r>
        <w:t xml:space="preserve">ether to permit the customers of small utilities to participate in </w:t>
      </w:r>
      <w:r w:rsidR="00146973">
        <w:t xml:space="preserve">the RTO/ISO markets through </w:t>
      </w:r>
      <w:r>
        <w:t>distributed energy resource aggregations</w:t>
      </w:r>
      <w:r w:rsidR="00B82966">
        <w:t xml:space="preserve"> </w:t>
      </w:r>
      <w:bookmarkStart w:name="_Hlk37693145" w:id="63"/>
      <w:r w:rsidR="00B82966">
        <w:t>and</w:t>
      </w:r>
      <w:r>
        <w:t xml:space="preserve"> relevant electric retail regulatory authorities</w:t>
      </w:r>
      <w:r w:rsidRPr="00007C85">
        <w:t xml:space="preserve"> continue to have authority to condition participation in their retail </w:t>
      </w:r>
      <w:r>
        <w:t xml:space="preserve">distributed energy resource </w:t>
      </w:r>
      <w:r w:rsidRPr="00007C85">
        <w:t>programs</w:t>
      </w:r>
      <w:r>
        <w:t xml:space="preserve"> on those resources not also participating in RTO/ISO markets</w:t>
      </w:r>
      <w:bookmarkEnd w:id="63"/>
      <w:r>
        <w:t>,</w:t>
      </w:r>
      <w:r>
        <w:rPr>
          <w:rStyle w:val="FootnoteReference"/>
        </w:rPr>
        <w:footnoteReference w:id="417"/>
      </w:r>
      <w:r>
        <w:t xml:space="preserve"> which </w:t>
      </w:r>
      <w:r w:rsidR="00E9639B">
        <w:t>should</w:t>
      </w:r>
      <w:r>
        <w:t xml:space="preserve"> allow them to mitigate any double</w:t>
      </w:r>
      <w:r w:rsidR="001343F3">
        <w:t>-</w:t>
      </w:r>
      <w:r>
        <w:t>compensation concerns</w:t>
      </w:r>
      <w:r w:rsidRPr="00007C85">
        <w:t>.</w:t>
      </w:r>
      <w:r>
        <w:t xml:space="preserve">  </w:t>
      </w:r>
    </w:p>
    <w:p w:rsidR="002D3F52" w:rsidP="002D3F52" w:rsidRDefault="002D3F52" w14:paraId="29032C1A" w14:textId="29431CA2">
      <w:pPr>
        <w:pStyle w:val="FERCparanumber"/>
      </w:pPr>
      <w:r>
        <w:t xml:space="preserve">We agree with many commenters that the NOPR proposal could undermine the effectiveness of existing retail and wholesale programs, render current RTO/ISO market participants ineligible to continue their participation, and </w:t>
      </w:r>
      <w:r w:rsidRPr="00007C85">
        <w:t xml:space="preserve">reduce competition in </w:t>
      </w:r>
      <w:r>
        <w:t>RTO/ISO markets, which could l</w:t>
      </w:r>
      <w:r w:rsidRPr="00007C85">
        <w:t>ead to unjust and unreasonable rates.</w:t>
      </w:r>
      <w:r>
        <w:t xml:space="preserve">  Further, </w:t>
      </w:r>
      <w:r w:rsidR="00781C28">
        <w:t>there may be instances in which</w:t>
      </w:r>
      <w:r>
        <w:t xml:space="preserve"> </w:t>
      </w:r>
      <w:r w:rsidRPr="00007C85">
        <w:t>a</w:t>
      </w:r>
      <w:r w:rsidR="00781C28">
        <w:t>n individual</w:t>
      </w:r>
      <w:r w:rsidRPr="00007C85">
        <w:t xml:space="preserve"> </w:t>
      </w:r>
      <w:r>
        <w:t>distributed energy resource</w:t>
      </w:r>
      <w:r w:rsidRPr="00007C85">
        <w:t xml:space="preserve"> c</w:t>
      </w:r>
      <w:r w:rsidR="00781C28">
        <w:t>ould</w:t>
      </w:r>
      <w:r w:rsidRPr="00007C85">
        <w:t xml:space="preserve"> technically, reliably, and economically provide multiple</w:t>
      </w:r>
      <w:r w:rsidR="002714A7">
        <w:t>,</w:t>
      </w:r>
      <w:r w:rsidRPr="00007C85">
        <w:t xml:space="preserve"> distinct services at wholesale and retail levels, </w:t>
      </w:r>
      <w:r w:rsidR="00781C28">
        <w:t xml:space="preserve">and therefore </w:t>
      </w:r>
      <w:r w:rsidRPr="00007C85">
        <w:t>prevent</w:t>
      </w:r>
      <w:r w:rsidR="003A12B6">
        <w:t>ing</w:t>
      </w:r>
      <w:r w:rsidRPr="00007C85">
        <w:t xml:space="preserve"> it from doing so may </w:t>
      </w:r>
      <w:r>
        <w:t xml:space="preserve">undermine the </w:t>
      </w:r>
      <w:r w:rsidRPr="00D51270" w:rsidR="00D51270">
        <w:t>final rule</w:t>
      </w:r>
      <w:r>
        <w:t xml:space="preserve"> by creating a new barrier to participation</w:t>
      </w:r>
      <w:r w:rsidR="003A12B6">
        <w:t xml:space="preserve"> in RTO/ISO markets, thereby inhibiting </w:t>
      </w:r>
      <w:r w:rsidRPr="00C81CF6" w:rsidR="003A12B6">
        <w:t>competition</w:t>
      </w:r>
      <w:r w:rsidRPr="00C81CF6">
        <w:t xml:space="preserve"> and decreas</w:t>
      </w:r>
      <w:r w:rsidRPr="00C81CF6" w:rsidR="003A12B6">
        <w:t>ing</w:t>
      </w:r>
      <w:r w:rsidRPr="00C81CF6">
        <w:t xml:space="preserve"> reliability.  </w:t>
      </w:r>
      <w:r w:rsidRPr="00C81CF6" w:rsidR="00E34EDC">
        <w:t>We believe t</w:t>
      </w:r>
      <w:r w:rsidRPr="00C81CF6">
        <w:t xml:space="preserve">he modified </w:t>
      </w:r>
      <w:r w:rsidRPr="00C81CF6" w:rsidR="00E34EDC">
        <w:t xml:space="preserve">rules </w:t>
      </w:r>
      <w:r w:rsidRPr="00C81CF6" w:rsidR="009F18CC">
        <w:t xml:space="preserve">that </w:t>
      </w:r>
      <w:r w:rsidRPr="00C81CF6" w:rsidR="00E34EDC">
        <w:t>we adopt</w:t>
      </w:r>
      <w:r w:rsidR="00E34EDC">
        <w:t xml:space="preserve"> </w:t>
      </w:r>
      <w:r w:rsidR="001542CA">
        <w:t>herein</w:t>
      </w:r>
      <w:r w:rsidRPr="00007C85">
        <w:t xml:space="preserve"> will enable efficient outcomes in </w:t>
      </w:r>
      <w:r w:rsidR="00EF2CE0">
        <w:t>RTO/ISO</w:t>
      </w:r>
      <w:r w:rsidRPr="00007C85">
        <w:t xml:space="preserve"> markets by </w:t>
      </w:r>
      <w:r>
        <w:t>capturing the full value of distributed energy resources and enabling efficient resource allocation</w:t>
      </w:r>
      <w:r w:rsidR="00EE1F4A">
        <w:t xml:space="preserve"> while also requiring RTOs/ISOs to address double-counting concerns</w:t>
      </w:r>
      <w:r w:rsidRPr="00007C85">
        <w:t>.</w:t>
      </w:r>
      <w:r>
        <w:t xml:space="preserve">  </w:t>
      </w:r>
    </w:p>
    <w:p w:rsidRPr="00007C85" w:rsidR="002D3F52" w:rsidP="002D3F52" w:rsidRDefault="002D3F52" w14:paraId="4AF6B766" w14:textId="6EE2ACCF">
      <w:pPr>
        <w:pStyle w:val="FERCparanumber"/>
      </w:pPr>
      <w:r>
        <w:t xml:space="preserve">In addition to </w:t>
      </w:r>
      <w:r w:rsidR="001E2873">
        <w:t>addressing</w:t>
      </w:r>
      <w:r>
        <w:t xml:space="preserve"> </w:t>
      </w:r>
      <w:r w:rsidR="00C93637">
        <w:t>the</w:t>
      </w:r>
      <w:r w:rsidR="001E2873">
        <w:t xml:space="preserve"> </w:t>
      </w:r>
      <w:r>
        <w:t xml:space="preserve">potential </w:t>
      </w:r>
      <w:r w:rsidR="00EF2CE0">
        <w:t>market</w:t>
      </w:r>
      <w:r>
        <w:t xml:space="preserve"> and reliability impacts of the NOPR proposal described above, </w:t>
      </w:r>
      <w:r w:rsidR="00D97EC3">
        <w:t xml:space="preserve">we find that </w:t>
      </w:r>
      <w:r>
        <w:t xml:space="preserve">the </w:t>
      </w:r>
      <w:r w:rsidR="008175A2">
        <w:t>reforms we adopt here are consistent</w:t>
      </w:r>
      <w:r>
        <w:t xml:space="preserve"> with</w:t>
      </w:r>
      <w:r w:rsidRPr="00007C85">
        <w:t xml:space="preserve"> the Commission’s determination that a single </w:t>
      </w:r>
      <w:r>
        <w:t>distributed energy resource</w:t>
      </w:r>
      <w:r w:rsidRPr="00007C85">
        <w:t xml:space="preserve"> can participate in both retail and wholesale programs and be compensated in each for providing “distinctly different services.”</w:t>
      </w:r>
      <w:r w:rsidRPr="00D377EB">
        <w:rPr>
          <w:rStyle w:val="FootnoteReference"/>
        </w:rPr>
        <w:footnoteReference w:id="418"/>
      </w:r>
      <w:r w:rsidRPr="00007C85">
        <w:t xml:space="preserve">  </w:t>
      </w:r>
      <w:r>
        <w:t xml:space="preserve">While commenters suggest several tests to identify duplicate services, </w:t>
      </w:r>
      <w:r w:rsidRPr="00007C85">
        <w:t xml:space="preserve">the record does not </w:t>
      </w:r>
      <w:r w:rsidR="002714A7">
        <w:t>include</w:t>
      </w:r>
      <w:r w:rsidRPr="00007C85">
        <w:t xml:space="preserve"> a </w:t>
      </w:r>
      <w:r>
        <w:t xml:space="preserve">consistent or practical </w:t>
      </w:r>
      <w:r w:rsidRPr="00007C85">
        <w:t xml:space="preserve">method </w:t>
      </w:r>
      <w:r>
        <w:t xml:space="preserve">for the Commission </w:t>
      </w:r>
      <w:r w:rsidRPr="00007C85">
        <w:t xml:space="preserve">to </w:t>
      </w:r>
      <w:r>
        <w:t xml:space="preserve">universally </w:t>
      </w:r>
      <w:r w:rsidRPr="00007C85">
        <w:t>define “same services”</w:t>
      </w:r>
      <w:r>
        <w:t xml:space="preserve"> across wholesale and retail markets, and we therefore do not believe that it is appropriate to </w:t>
      </w:r>
      <w:r w:rsidR="00C0130C">
        <w:t>prescribe an</w:t>
      </w:r>
      <w:r>
        <w:t xml:space="preserve"> approach across all RTOs/ISOs.  For th</w:t>
      </w:r>
      <w:r w:rsidR="00EF2CE0">
        <w:t>is</w:t>
      </w:r>
      <w:r>
        <w:t xml:space="preserve"> reason</w:t>
      </w:r>
      <w:r w:rsidRPr="00007C85">
        <w:t xml:space="preserve">, </w:t>
      </w:r>
      <w:r>
        <w:t xml:space="preserve">we will </w:t>
      </w:r>
      <w:r w:rsidR="00114B88">
        <w:t xml:space="preserve">grant </w:t>
      </w:r>
      <w:r>
        <w:t xml:space="preserve">RTOs/ISOs </w:t>
      </w:r>
      <w:r w:rsidR="00064896">
        <w:t xml:space="preserve">regional flexibility </w:t>
      </w:r>
      <w:r w:rsidR="00114B88">
        <w:t>with respect to</w:t>
      </w:r>
      <w:r>
        <w:t xml:space="preserve"> the </w:t>
      </w:r>
      <w:r w:rsidR="00D1498C">
        <w:t>restrictions</w:t>
      </w:r>
      <w:r>
        <w:t xml:space="preserve"> they </w:t>
      </w:r>
      <w:r w:rsidR="00114B88">
        <w:t>propose in their tariffs</w:t>
      </w:r>
      <w:r>
        <w:t xml:space="preserve"> to</w:t>
      </w:r>
      <w:r w:rsidRPr="00007C85">
        <w:t xml:space="preserve"> </w:t>
      </w:r>
      <w:r w:rsidR="00114B88">
        <w:t>minimize</w:t>
      </w:r>
      <w:r w:rsidRPr="00007C85">
        <w:t xml:space="preserve"> </w:t>
      </w:r>
      <w:r>
        <w:t xml:space="preserve">market </w:t>
      </w:r>
      <w:r w:rsidR="00D1498C">
        <w:t>impacts</w:t>
      </w:r>
      <w:r>
        <w:t xml:space="preserve"> caused by </w:t>
      </w:r>
      <w:r w:rsidRPr="00007C85">
        <w:t xml:space="preserve">the double counting of services provided by </w:t>
      </w:r>
      <w:r>
        <w:t>distributed energy resource</w:t>
      </w:r>
      <w:r w:rsidRPr="00007C85">
        <w:t>s in the RTO/ISO markets.</w:t>
      </w:r>
      <w:r w:rsidR="00DB7179">
        <w:t xml:space="preserve">  </w:t>
      </w:r>
    </w:p>
    <w:p w:rsidRPr="00E73BEF" w:rsidR="00E73BEF" w:rsidP="003F4773" w:rsidRDefault="00E73BEF" w14:paraId="78FC4EE5" w14:textId="11EFE520">
      <w:pPr>
        <w:pStyle w:val="Heading3"/>
      </w:pPr>
      <w:bookmarkStart w:name="_bmk34" w:id="64"/>
      <w:r>
        <w:t>M</w:t>
      </w:r>
      <w:bookmarkEnd w:id="64"/>
      <w:r>
        <w:t xml:space="preserve">inimum </w:t>
      </w:r>
      <w:r w:rsidR="006B6B59">
        <w:t xml:space="preserve">and Maximum </w:t>
      </w:r>
      <w:r>
        <w:t>Size</w:t>
      </w:r>
      <w:r w:rsidR="006B6B59">
        <w:t xml:space="preserve"> of Aggregation</w:t>
      </w:r>
    </w:p>
    <w:p w:rsidR="00E73BEF" w:rsidP="00E73BEF" w:rsidRDefault="00E73BEF" w14:paraId="4A7FCA71" w14:textId="2CDBF4E2">
      <w:pPr>
        <w:pStyle w:val="Heading4"/>
      </w:pPr>
      <w:bookmarkStart w:name="_bmk35" w:id="65"/>
      <w:r>
        <w:t>N</w:t>
      </w:r>
      <w:bookmarkEnd w:id="65"/>
      <w:r>
        <w:t>OPR Proposal</w:t>
      </w:r>
    </w:p>
    <w:p w:rsidR="00392251" w:rsidP="003F4773" w:rsidRDefault="003F4773" w14:paraId="7EAA2FD6" w14:textId="15B23664">
      <w:pPr>
        <w:pStyle w:val="FERCparanumber"/>
      </w:pPr>
      <w:r>
        <w:t>In the</w:t>
      </w:r>
      <w:r w:rsidRPr="008229CB">
        <w:t xml:space="preserve"> NOPR</w:t>
      </w:r>
      <w:r>
        <w:t>, the Commission</w:t>
      </w:r>
      <w:r w:rsidRPr="008229CB">
        <w:t xml:space="preserve"> propose</w:t>
      </w:r>
      <w:r>
        <w:t>d</w:t>
      </w:r>
      <w:r w:rsidRPr="008229CB">
        <w:t xml:space="preserve"> that </w:t>
      </w:r>
      <w:r w:rsidRPr="00716CDF">
        <w:t xml:space="preserve">distributed energy resource </w:t>
      </w:r>
      <w:r w:rsidRPr="008229CB">
        <w:t xml:space="preserve">aggregations </w:t>
      </w:r>
      <w:r w:rsidR="00334CE1">
        <w:t>must</w:t>
      </w:r>
      <w:r w:rsidR="00AE2369">
        <w:t xml:space="preserve"> </w:t>
      </w:r>
      <w:r w:rsidRPr="008229CB">
        <w:t xml:space="preserve">meet any minimum size requirements of the participation model under which they elect to participate in </w:t>
      </w:r>
      <w:r>
        <w:t>RTO/ISO</w:t>
      </w:r>
      <w:r w:rsidRPr="008229CB">
        <w:t xml:space="preserve"> markets.</w:t>
      </w:r>
      <w:r w:rsidRPr="00367C29">
        <w:rPr>
          <w:rStyle w:val="FootnoteReference"/>
        </w:rPr>
        <w:footnoteReference w:id="419"/>
      </w:r>
      <w:r w:rsidRPr="008229CB">
        <w:t xml:space="preserve">  </w:t>
      </w:r>
      <w:r>
        <w:t xml:space="preserve">The Commission stated that, for example, if a </w:t>
      </w:r>
      <w:r w:rsidRPr="00716CDF">
        <w:t xml:space="preserve">distributed energy resource </w:t>
      </w:r>
      <w:r>
        <w:t>aggregator</w:t>
      </w:r>
      <w:r w:rsidRPr="008229CB">
        <w:t xml:space="preserve"> </w:t>
      </w:r>
      <w:r>
        <w:t xml:space="preserve">decides to </w:t>
      </w:r>
      <w:r w:rsidRPr="008229CB">
        <w:t>register using the participation model for electric storage resources</w:t>
      </w:r>
      <w:r>
        <w:t xml:space="preserve"> </w:t>
      </w:r>
      <w:r w:rsidRPr="00C33295">
        <w:t xml:space="preserve">given the cumulative physical and operational characteristics of the </w:t>
      </w:r>
      <w:r w:rsidRPr="00716CDF">
        <w:t>distributed energy resource</w:t>
      </w:r>
      <w:r>
        <w:t>s</w:t>
      </w:r>
      <w:r w:rsidRPr="00716CDF">
        <w:t xml:space="preserve"> </w:t>
      </w:r>
      <w:r w:rsidRPr="00C33295">
        <w:t xml:space="preserve">in its aggregation, then its </w:t>
      </w:r>
      <w:r w:rsidRPr="00716CDF">
        <w:t xml:space="preserve">distributed energy resource </w:t>
      </w:r>
      <w:r w:rsidRPr="00C33295">
        <w:t xml:space="preserve">aggregation would be required to meet the 100 kW minimum size requirement </w:t>
      </w:r>
      <w:r w:rsidR="00D65BCA">
        <w:t xml:space="preserve">that </w:t>
      </w:r>
      <w:r>
        <w:t>the Commission</w:t>
      </w:r>
      <w:r w:rsidRPr="00C33295">
        <w:t xml:space="preserve"> </w:t>
      </w:r>
      <w:r w:rsidR="006857A0">
        <w:t>required</w:t>
      </w:r>
      <w:r w:rsidRPr="00C33295" w:rsidR="006857A0">
        <w:t xml:space="preserve"> </w:t>
      </w:r>
      <w:r w:rsidRPr="00C33295">
        <w:t>for that participation model</w:t>
      </w:r>
      <w:r w:rsidRPr="008229CB">
        <w:t>.</w:t>
      </w:r>
      <w:r>
        <w:t xml:space="preserve">  The Commission stated that, a</w:t>
      </w:r>
      <w:r w:rsidRPr="008229CB">
        <w:t xml:space="preserve">lternatively, if the </w:t>
      </w:r>
      <w:r w:rsidRPr="00716CDF">
        <w:t xml:space="preserve">distributed energy resource </w:t>
      </w:r>
      <w:r w:rsidRPr="008229CB">
        <w:t>aggregator register</w:t>
      </w:r>
      <w:r>
        <w:t>ed</w:t>
      </w:r>
      <w:r w:rsidRPr="008229CB">
        <w:t xml:space="preserve"> as a generator, </w:t>
      </w:r>
      <w:r w:rsidRPr="00C33295">
        <w:t xml:space="preserve">then its aggregation would be required to meet the minimum size requirement for the generator participation model in the relevant RTO/ISO market. </w:t>
      </w:r>
    </w:p>
    <w:p w:rsidRPr="00E73BEF" w:rsidR="00E73BEF" w:rsidP="003F4773" w:rsidRDefault="00392251" w14:paraId="0D4E4F5B" w14:textId="53C1F33B">
      <w:pPr>
        <w:pStyle w:val="FERCparanumber"/>
      </w:pPr>
      <w:r>
        <w:t xml:space="preserve">After the </w:t>
      </w:r>
      <w:r w:rsidR="00D65BCA">
        <w:t>April 2018</w:t>
      </w:r>
      <w:r>
        <w:t xml:space="preserve"> technical conference, the Commission sought comments on whether reducing the minimum size of distributed energy resource aggregations to participate in RTO</w:t>
      </w:r>
      <w:r w:rsidR="009C518B">
        <w:t>/</w:t>
      </w:r>
      <w:r>
        <w:t>ISO markets would help alleviate concerns about requiring distributed energy resource aggregations to locate only at a single node.</w:t>
      </w:r>
      <w:r w:rsidR="00D76D26">
        <w:rPr>
          <w:rStyle w:val="FootnoteReference"/>
        </w:rPr>
        <w:footnoteReference w:id="420"/>
      </w:r>
      <w:r w:rsidRPr="00C33295" w:rsidR="003F4773">
        <w:t xml:space="preserve"> </w:t>
      </w:r>
    </w:p>
    <w:p w:rsidR="00E73BEF" w:rsidP="00E73BEF" w:rsidRDefault="00E73BEF" w14:paraId="3CD5218F" w14:textId="0EC824C4">
      <w:pPr>
        <w:pStyle w:val="Heading4"/>
      </w:pPr>
      <w:bookmarkStart w:name="_bmk36" w:id="66"/>
      <w:r>
        <w:t>C</w:t>
      </w:r>
      <w:bookmarkEnd w:id="66"/>
      <w:r>
        <w:t>omments</w:t>
      </w:r>
    </w:p>
    <w:p w:rsidR="004D6E33" w:rsidP="003F4773" w:rsidRDefault="004D6E33" w14:paraId="5FFED3C4" w14:textId="1AB0833D">
      <w:pPr>
        <w:pStyle w:val="FERCparanumber"/>
      </w:pPr>
      <w:r w:rsidRPr="009015D4">
        <w:t xml:space="preserve">SPP agrees with the </w:t>
      </w:r>
      <w:r>
        <w:t xml:space="preserve">Commission’s </w:t>
      </w:r>
      <w:r w:rsidRPr="009015D4">
        <w:t>propos</w:t>
      </w:r>
      <w:r>
        <w:t>al for</w:t>
      </w:r>
      <w:r w:rsidRPr="009015D4">
        <w:t xml:space="preserve"> </w:t>
      </w:r>
      <w:r>
        <w:t xml:space="preserve">aggregations to meet any </w:t>
      </w:r>
      <w:r w:rsidRPr="009015D4">
        <w:t>minimum size requirement</w:t>
      </w:r>
      <w:r>
        <w:t>s of the participation model under which they elect to participate</w:t>
      </w:r>
      <w:r w:rsidRPr="009015D4">
        <w:t xml:space="preserve">, noting that </w:t>
      </w:r>
      <w:r>
        <w:t>that</w:t>
      </w:r>
      <w:r w:rsidRPr="009015D4">
        <w:t xml:space="preserve"> is consistent</w:t>
      </w:r>
      <w:r w:rsidRPr="00716CDF">
        <w:t xml:space="preserve"> with SPP’s registration requirements for any resource type.</w:t>
      </w:r>
      <w:r w:rsidRPr="001C7A7D">
        <w:rPr>
          <w:rStyle w:val="FootnoteReference"/>
        </w:rPr>
        <w:footnoteReference w:id="421"/>
      </w:r>
      <w:r w:rsidRPr="00716CDF">
        <w:t xml:space="preserve">  </w:t>
      </w:r>
    </w:p>
    <w:p w:rsidRPr="00716CDF" w:rsidR="003F4773" w:rsidP="00340E5B" w:rsidRDefault="004D6E33" w14:paraId="1E69D12F" w14:textId="4E877D9A">
      <w:pPr>
        <w:pStyle w:val="FERCparanumber"/>
      </w:pPr>
      <w:r>
        <w:t>In contrast, s</w:t>
      </w:r>
      <w:r w:rsidRPr="00716CDF" w:rsidR="003F4773">
        <w:t xml:space="preserve">everal commenters argue that </w:t>
      </w:r>
      <w:r>
        <w:t xml:space="preserve">the Commission should require RTOs/ISOs to adopt </w:t>
      </w:r>
      <w:r w:rsidR="00813022">
        <w:t>a</w:t>
      </w:r>
      <w:r w:rsidRPr="00716CDF" w:rsidR="003F4773">
        <w:t xml:space="preserve"> minimum size requirement of 100 kW </w:t>
      </w:r>
      <w:r>
        <w:t>for</w:t>
      </w:r>
      <w:r w:rsidRPr="00716CDF" w:rsidR="003F4773">
        <w:t xml:space="preserve"> all distributed energy resource aggregations, regardless of the participation model </w:t>
      </w:r>
      <w:r w:rsidR="003D08B5">
        <w:t>in which</w:t>
      </w:r>
      <w:r w:rsidRPr="00716CDF" w:rsidR="003F4773">
        <w:t xml:space="preserve"> they </w:t>
      </w:r>
      <w:r w:rsidR="00140623">
        <w:t>elect to participate</w:t>
      </w:r>
      <w:r w:rsidRPr="00716CDF" w:rsidR="003F4773">
        <w:t>.</w:t>
      </w:r>
      <w:r w:rsidRPr="001C7A7D" w:rsidR="003F4773">
        <w:rPr>
          <w:rStyle w:val="FootnoteReference"/>
        </w:rPr>
        <w:footnoteReference w:id="422"/>
      </w:r>
      <w:r w:rsidRPr="00716CDF" w:rsidR="003F4773">
        <w:t xml:space="preserve">  </w:t>
      </w:r>
      <w:r w:rsidR="00607199">
        <w:t xml:space="preserve">NYISO </w:t>
      </w:r>
      <w:r w:rsidRPr="00716CDF" w:rsidR="00607199">
        <w:t xml:space="preserve">states that it </w:t>
      </w:r>
      <w:r w:rsidR="00607199">
        <w:t>is currently working with stakeholders on a</w:t>
      </w:r>
      <w:r w:rsidRPr="00716CDF" w:rsidR="00607199">
        <w:t xml:space="preserve"> distributed energy resource market design proposal </w:t>
      </w:r>
      <w:r w:rsidR="00607199">
        <w:t>that would set</w:t>
      </w:r>
      <w:r w:rsidRPr="00716CDF" w:rsidR="00607199">
        <w:t xml:space="preserve"> a minimum aggregation size of 100 kW</w:t>
      </w:r>
      <w:r w:rsidR="00607199">
        <w:t xml:space="preserve"> because </w:t>
      </w:r>
      <w:r w:rsidRPr="00716CDF" w:rsidR="00607199">
        <w:t>this is the smallest increment that NYISO believes it can accurately model, commit</w:t>
      </w:r>
      <w:r w:rsidR="00607199">
        <w:t>,</w:t>
      </w:r>
      <w:r w:rsidRPr="00716CDF" w:rsidR="00607199">
        <w:t xml:space="preserve"> and dispatch with its current grid operations software.</w:t>
      </w:r>
      <w:r w:rsidRPr="001C7A7D" w:rsidR="00607199">
        <w:rPr>
          <w:rStyle w:val="FootnoteReference"/>
        </w:rPr>
        <w:footnoteReference w:id="423"/>
      </w:r>
      <w:r w:rsidRPr="00716CDF" w:rsidR="00607199">
        <w:t xml:space="preserve">  </w:t>
      </w:r>
      <w:r w:rsidR="00630AF3">
        <w:t>Some of those c</w:t>
      </w:r>
      <w:r w:rsidRPr="00716CDF" w:rsidR="003F4773">
        <w:t>ommenters contend that a minimum size requirement above</w:t>
      </w:r>
      <w:r w:rsidRPr="00716CDF" w:rsidDel="00630AF3" w:rsidR="003F4773">
        <w:t xml:space="preserve"> </w:t>
      </w:r>
      <w:r w:rsidRPr="00716CDF" w:rsidR="003F4773">
        <w:t xml:space="preserve">100 kW runs counter to the NOPR’s goal of improving competition in the wholesale markets while avoiding excessive registration of </w:t>
      </w:r>
      <w:r w:rsidR="00140623">
        <w:t xml:space="preserve">individual </w:t>
      </w:r>
      <w:r w:rsidRPr="00716CDF" w:rsidR="003F4773">
        <w:t>small resources and modeling complexity.</w:t>
      </w:r>
      <w:r w:rsidRPr="001C7A7D" w:rsidR="003F4773">
        <w:rPr>
          <w:rStyle w:val="FootnoteReference"/>
        </w:rPr>
        <w:footnoteReference w:id="424"/>
      </w:r>
      <w:r w:rsidRPr="00716CDF" w:rsidR="003F4773">
        <w:t xml:space="preserve">  Tesla/SolarCity state that </w:t>
      </w:r>
      <w:r w:rsidR="003F4773">
        <w:t xml:space="preserve">a </w:t>
      </w:r>
      <w:r w:rsidRPr="00716CDF" w:rsidR="003F4773">
        <w:t>minimum size requirement</w:t>
      </w:r>
      <w:r w:rsidR="003F4773">
        <w:t xml:space="preserve"> of </w:t>
      </w:r>
      <w:r w:rsidRPr="00716CDF" w:rsidR="003F4773">
        <w:t>100 kW across all markets</w:t>
      </w:r>
      <w:r w:rsidRPr="00716CDF" w:rsidR="003F4773">
        <w:rPr>
          <w:b/>
        </w:rPr>
        <w:t xml:space="preserve"> </w:t>
      </w:r>
      <w:r w:rsidRPr="00716CDF" w:rsidR="003F4773">
        <w:t>would avoid any confusion caused by artificial differences between the electric storage and distributed energy resource aggregation participation models.</w:t>
      </w:r>
      <w:r w:rsidRPr="001C7A7D" w:rsidR="003F4773">
        <w:rPr>
          <w:rStyle w:val="FootnoteReference"/>
        </w:rPr>
        <w:footnoteReference w:id="425"/>
      </w:r>
      <w:r w:rsidRPr="00716CDF" w:rsidR="003F4773">
        <w:t xml:space="preserve">  </w:t>
      </w:r>
      <w:r w:rsidR="00D1134B">
        <w:t>Some commenters</w:t>
      </w:r>
      <w:r w:rsidRPr="00716CDF" w:rsidR="002773CE">
        <w:t xml:space="preserve"> </w:t>
      </w:r>
      <w:r w:rsidR="002773CE">
        <w:t>argue</w:t>
      </w:r>
      <w:r w:rsidRPr="00716CDF" w:rsidR="002773CE">
        <w:t xml:space="preserve"> that minimum size requirements </w:t>
      </w:r>
      <w:r w:rsidR="009D2BF9">
        <w:t>greater than 100</w:t>
      </w:r>
      <w:r w:rsidR="00AD489D">
        <w:t xml:space="preserve"> </w:t>
      </w:r>
      <w:r w:rsidR="009D2BF9">
        <w:t>kW</w:t>
      </w:r>
      <w:r w:rsidRPr="00716CDF" w:rsidR="002773CE">
        <w:t xml:space="preserve"> pose a significant barrier to entry</w:t>
      </w:r>
      <w:r w:rsidRPr="009015D4" w:rsidR="002773CE">
        <w:t>.</w:t>
      </w:r>
      <w:r w:rsidRPr="00367C29" w:rsidR="002773CE">
        <w:rPr>
          <w:rStyle w:val="FootnoteReference"/>
        </w:rPr>
        <w:footnoteReference w:id="426"/>
      </w:r>
      <w:r w:rsidRPr="009015D4" w:rsidR="002773CE">
        <w:t xml:space="preserve">  </w:t>
      </w:r>
      <w:r w:rsidR="00E95788">
        <w:rPr>
          <w:szCs w:val="26"/>
        </w:rPr>
        <w:t>Direct Energy disagrees with</w:t>
      </w:r>
      <w:r w:rsidRPr="004656B5" w:rsidR="003F4773">
        <w:rPr>
          <w:szCs w:val="26"/>
        </w:rPr>
        <w:t xml:space="preserve"> ISO-NE’s assertion at the technical conference that </w:t>
      </w:r>
      <w:r w:rsidRPr="000C237E" w:rsidR="000C237E">
        <w:rPr>
          <w:szCs w:val="26"/>
        </w:rPr>
        <w:t xml:space="preserve">there is no real need for aggregation </w:t>
      </w:r>
      <w:r w:rsidRPr="004656B5" w:rsidR="003F4773">
        <w:rPr>
          <w:szCs w:val="26"/>
        </w:rPr>
        <w:t>because there</w:t>
      </w:r>
      <w:r w:rsidR="003F4773">
        <w:rPr>
          <w:szCs w:val="26"/>
        </w:rPr>
        <w:t xml:space="preserve"> i</w:t>
      </w:r>
      <w:r w:rsidRPr="004656B5" w:rsidR="003F4773">
        <w:rPr>
          <w:szCs w:val="26"/>
        </w:rPr>
        <w:t xml:space="preserve">s no </w:t>
      </w:r>
      <w:r w:rsidR="00140623">
        <w:rPr>
          <w:szCs w:val="26"/>
        </w:rPr>
        <w:t xml:space="preserve">minimum </w:t>
      </w:r>
      <w:r w:rsidRPr="004656B5" w:rsidR="003F4773">
        <w:rPr>
          <w:szCs w:val="26"/>
        </w:rPr>
        <w:t xml:space="preserve">size limitation for participating in </w:t>
      </w:r>
      <w:r w:rsidR="00140623">
        <w:rPr>
          <w:szCs w:val="26"/>
        </w:rPr>
        <w:t>ISO-NE’s</w:t>
      </w:r>
      <w:r w:rsidRPr="004656B5" w:rsidR="003F4773">
        <w:rPr>
          <w:szCs w:val="26"/>
        </w:rPr>
        <w:t xml:space="preserve"> market</w:t>
      </w:r>
      <w:r w:rsidR="00140623">
        <w:rPr>
          <w:szCs w:val="26"/>
        </w:rPr>
        <w:t>s</w:t>
      </w:r>
      <w:r w:rsidR="003F4773">
        <w:rPr>
          <w:szCs w:val="26"/>
        </w:rPr>
        <w:t>,</w:t>
      </w:r>
      <w:r w:rsidRPr="004656B5" w:rsidR="003F4773">
        <w:rPr>
          <w:szCs w:val="26"/>
        </w:rPr>
        <w:t xml:space="preserve"> stat</w:t>
      </w:r>
      <w:r w:rsidR="00F5665F">
        <w:rPr>
          <w:szCs w:val="26"/>
        </w:rPr>
        <w:t>ing</w:t>
      </w:r>
      <w:r w:rsidRPr="004656B5" w:rsidR="003F4773">
        <w:rPr>
          <w:szCs w:val="26"/>
        </w:rPr>
        <w:t xml:space="preserve"> that </w:t>
      </w:r>
      <w:r w:rsidR="00DC738C">
        <w:rPr>
          <w:szCs w:val="26"/>
        </w:rPr>
        <w:t>while</w:t>
      </w:r>
      <w:r w:rsidRPr="004656B5" w:rsidR="003F4773">
        <w:rPr>
          <w:szCs w:val="26"/>
        </w:rPr>
        <w:t xml:space="preserve"> </w:t>
      </w:r>
      <w:r w:rsidR="000C237E">
        <w:rPr>
          <w:szCs w:val="26"/>
        </w:rPr>
        <w:t>Direct Energy</w:t>
      </w:r>
      <w:r w:rsidRPr="004656B5" w:rsidR="003F4773">
        <w:rPr>
          <w:szCs w:val="26"/>
        </w:rPr>
        <w:t xml:space="preserve"> is supportive of establishing a framework without minimum size limitations for </w:t>
      </w:r>
      <w:r w:rsidR="003F4773">
        <w:rPr>
          <w:szCs w:val="26"/>
        </w:rPr>
        <w:t>distributed energy resource</w:t>
      </w:r>
      <w:r w:rsidRPr="004656B5" w:rsidR="003F4773">
        <w:rPr>
          <w:szCs w:val="26"/>
        </w:rPr>
        <w:t>s,</w:t>
      </w:r>
      <w:r w:rsidR="003F4773">
        <w:rPr>
          <w:szCs w:val="26"/>
        </w:rPr>
        <w:t xml:space="preserve"> </w:t>
      </w:r>
      <w:r w:rsidRPr="004656B5" w:rsidR="003F4773">
        <w:rPr>
          <w:szCs w:val="26"/>
        </w:rPr>
        <w:t>the lack of such limitations should not serve as an alternative for aggregation.</w:t>
      </w:r>
      <w:r w:rsidRPr="00367C29" w:rsidR="003F4773">
        <w:rPr>
          <w:rStyle w:val="FootnoteReference"/>
        </w:rPr>
        <w:footnoteReference w:id="427"/>
      </w:r>
      <w:r w:rsidRPr="00716CDF" w:rsidR="003F4773">
        <w:t xml:space="preserve">  NRG states that </w:t>
      </w:r>
      <w:r w:rsidRPr="00042C4E" w:rsidR="003F4773">
        <w:t>100</w:t>
      </w:r>
      <w:r w:rsidR="00630AF3">
        <w:t xml:space="preserve"> </w:t>
      </w:r>
      <w:r w:rsidRPr="00042C4E" w:rsidR="003F4773">
        <w:t>kW</w:t>
      </w:r>
      <w:r w:rsidRPr="00716CDF" w:rsidR="003F4773">
        <w:t xml:space="preserve"> is an efficient minimum size requirement </w:t>
      </w:r>
      <w:r w:rsidR="00340E5B">
        <w:t>but</w:t>
      </w:r>
      <w:r w:rsidR="003F4773">
        <w:t xml:space="preserve"> that the participation model for distributed energy resource aggregations should </w:t>
      </w:r>
      <w:r w:rsidRPr="00F9723B" w:rsidR="003F4773">
        <w:t>set minimum resource participation thresholds only to the extent necessary to accommodate existing metering and data management systems infrastructure</w:t>
      </w:r>
      <w:r w:rsidRPr="00716CDF" w:rsidR="003F4773">
        <w:t>.</w:t>
      </w:r>
      <w:r w:rsidRPr="001C7A7D" w:rsidR="003F4773">
        <w:rPr>
          <w:rStyle w:val="FootnoteReference"/>
        </w:rPr>
        <w:footnoteReference w:id="428"/>
      </w:r>
      <w:r w:rsidR="003F4773">
        <w:t xml:space="preserve">  </w:t>
      </w:r>
    </w:p>
    <w:p w:rsidRPr="003F4773" w:rsidR="00434588" w:rsidP="00434588" w:rsidRDefault="003F4773" w14:paraId="4E28F299" w14:textId="0092ADD2">
      <w:pPr>
        <w:pStyle w:val="FERCparanumber"/>
      </w:pPr>
      <w:r w:rsidRPr="00716CDF">
        <w:t xml:space="preserve">Several commenters argue that </w:t>
      </w:r>
      <w:r w:rsidR="00B90BC6">
        <w:t>the Commission should provide the</w:t>
      </w:r>
      <w:r w:rsidRPr="00716CDF">
        <w:t xml:space="preserve"> RTOs/ISOs </w:t>
      </w:r>
      <w:r w:rsidR="00B90BC6">
        <w:t>with</w:t>
      </w:r>
      <w:r>
        <w:t xml:space="preserve"> </w:t>
      </w:r>
      <w:r w:rsidR="00B90BC6">
        <w:t>flexibility</w:t>
      </w:r>
      <w:r>
        <w:t xml:space="preserve"> to </w:t>
      </w:r>
      <w:r w:rsidRPr="00716CDF">
        <w:t xml:space="preserve">establish any minimum size </w:t>
      </w:r>
      <w:r w:rsidRPr="00A97894">
        <w:t>requirement for distributed energy resource aggregations based on their ability to model and dispatch these resources.</w:t>
      </w:r>
      <w:r w:rsidRPr="001C7A7D">
        <w:rPr>
          <w:rStyle w:val="FootnoteReference"/>
        </w:rPr>
        <w:footnoteReference w:id="429"/>
      </w:r>
      <w:r w:rsidRPr="00A97894">
        <w:t xml:space="preserve">  </w:t>
      </w:r>
      <w:r w:rsidRPr="00716CDF" w:rsidR="00353323">
        <w:t>SoCal Edison states that</w:t>
      </w:r>
      <w:r w:rsidR="00353323">
        <w:t xml:space="preserve"> each RTO/ISO should be allowed to determine </w:t>
      </w:r>
      <w:r w:rsidR="00AD489D">
        <w:t>its</w:t>
      </w:r>
      <w:r w:rsidR="00353323">
        <w:t xml:space="preserve"> own minimum size requirements, providing the example </w:t>
      </w:r>
      <w:r w:rsidR="00E32235">
        <w:t>of</w:t>
      </w:r>
      <w:r w:rsidRPr="00716CDF" w:rsidR="00E32235">
        <w:t xml:space="preserve"> </w:t>
      </w:r>
      <w:r w:rsidRPr="00716CDF" w:rsidR="00353323">
        <w:t>CAISO</w:t>
      </w:r>
      <w:r w:rsidR="000B114C">
        <w:t>’s</w:t>
      </w:r>
      <w:r w:rsidRPr="00716CDF" w:rsidR="00353323">
        <w:t xml:space="preserve"> require</w:t>
      </w:r>
      <w:r w:rsidR="000B114C">
        <w:t>ment</w:t>
      </w:r>
      <w:r w:rsidRPr="00716CDF" w:rsidR="00353323">
        <w:t xml:space="preserve"> </w:t>
      </w:r>
      <w:r w:rsidR="000B114C">
        <w:t>that</w:t>
      </w:r>
      <w:r w:rsidRPr="00716CDF" w:rsidR="00353323">
        <w:t xml:space="preserve"> distributed energy resource aggregations be at least 500</w:t>
      </w:r>
      <w:r w:rsidR="00353323">
        <w:t xml:space="preserve"> </w:t>
      </w:r>
      <w:r w:rsidRPr="00716CDF" w:rsidR="00353323">
        <w:t>kW to help ensure that an aggregation is large enough to have a measurable impact on the transmission system.</w:t>
      </w:r>
      <w:r w:rsidRPr="001C7A7D" w:rsidR="00353323">
        <w:rPr>
          <w:rStyle w:val="FootnoteReference"/>
        </w:rPr>
        <w:footnoteReference w:id="430"/>
      </w:r>
      <w:r w:rsidR="00353323">
        <w:t xml:space="preserve">  </w:t>
      </w:r>
      <w:r>
        <w:t>EPRI and SoCal Edison both highlight the software challenges and potential costs associated with implementing a minimum size requirement at or below 100 kW.</w:t>
      </w:r>
      <w:r w:rsidRPr="00367C29">
        <w:rPr>
          <w:rStyle w:val="FootnoteReference"/>
        </w:rPr>
        <w:footnoteReference w:id="431"/>
      </w:r>
      <w:r>
        <w:t xml:space="preserve">  </w:t>
      </w:r>
      <w:r w:rsidRPr="00A97894">
        <w:t>Pacific Gas &amp; Electric assert</w:t>
      </w:r>
      <w:r>
        <w:t>s</w:t>
      </w:r>
      <w:r w:rsidRPr="00A97894">
        <w:t xml:space="preserve"> </w:t>
      </w:r>
      <w:r w:rsidR="005A797A">
        <w:t xml:space="preserve">that </w:t>
      </w:r>
      <w:r w:rsidRPr="00A97894">
        <w:t>RTOs/ISOs must be allowed to account</w:t>
      </w:r>
      <w:r w:rsidRPr="00716CDF">
        <w:t xml:space="preserve"> for the differences between interacting with aggregations and stand-alone resources in their markets.</w:t>
      </w:r>
      <w:r w:rsidRPr="001C7A7D">
        <w:rPr>
          <w:rStyle w:val="FootnoteReference"/>
        </w:rPr>
        <w:footnoteReference w:id="432"/>
      </w:r>
      <w:r w:rsidRPr="00716CDF">
        <w:t xml:space="preserve">  MISO </w:t>
      </w:r>
      <w:r>
        <w:t>states that, t</w:t>
      </w:r>
      <w:r w:rsidRPr="00AE153F">
        <w:t>o the extent the Commission deems it necessary to set a volume threshold for aggregated participation, the threshold should apply to registration minimums and not be related to how RTOs/ISOs model or dispatch resources.</w:t>
      </w:r>
      <w:r w:rsidRPr="00367C29">
        <w:rPr>
          <w:rStyle w:val="FootnoteReference"/>
        </w:rPr>
        <w:footnoteReference w:id="433"/>
      </w:r>
      <w:r>
        <w:t xml:space="preserve">  </w:t>
      </w:r>
      <w:r w:rsidRPr="00042C4E">
        <w:t>NYISO</w:t>
      </w:r>
      <w:r w:rsidRPr="00716CDF">
        <w:t xml:space="preserve"> Indicated Transmission Owners assert that aggregations should be subject to the same minimum size requirements as traditional resources that are based on the services they are providing.</w:t>
      </w:r>
      <w:r w:rsidRPr="001C7A7D">
        <w:rPr>
          <w:rStyle w:val="FootnoteReference"/>
        </w:rPr>
        <w:footnoteReference w:id="434"/>
      </w:r>
      <w:r w:rsidRPr="00716CDF">
        <w:t xml:space="preserve">     </w:t>
      </w:r>
    </w:p>
    <w:p w:rsidRPr="003F4773" w:rsidR="003F4773" w:rsidP="005E0383" w:rsidRDefault="003F4773" w14:paraId="2263993B" w14:textId="457EF53C">
      <w:pPr>
        <w:pStyle w:val="FERCparanumber"/>
      </w:pPr>
      <w:r w:rsidRPr="00716CDF">
        <w:t xml:space="preserve">Energy Storage </w:t>
      </w:r>
      <w:r w:rsidRPr="00042C4E">
        <w:t>Association</w:t>
      </w:r>
      <w:r w:rsidRPr="00716CDF">
        <w:t xml:space="preserve"> </w:t>
      </w:r>
      <w:r w:rsidRPr="00716CDF" w:rsidR="003B7001">
        <w:t xml:space="preserve">agrees that a lower limit is necessary </w:t>
      </w:r>
      <w:r w:rsidR="003B7001">
        <w:t xml:space="preserve">but </w:t>
      </w:r>
      <w:r w:rsidR="00FE2591">
        <w:t>asserts</w:t>
      </w:r>
      <w:r w:rsidRPr="00716CDF" w:rsidR="00FE2591">
        <w:t xml:space="preserve"> </w:t>
      </w:r>
      <w:r w:rsidRPr="00716CDF">
        <w:t>that</w:t>
      </w:r>
      <w:r w:rsidR="00FE2591">
        <w:t xml:space="preserve"> the Commission should not allow RTOs/ISOs to place upper limits</w:t>
      </w:r>
      <w:r w:rsidRPr="00716CDF">
        <w:t xml:space="preserve"> </w:t>
      </w:r>
      <w:r w:rsidR="00FE2591">
        <w:t>on the size of</w:t>
      </w:r>
      <w:r w:rsidRPr="00716CDF">
        <w:t xml:space="preserve"> distributed energy resource aggregations.</w:t>
      </w:r>
      <w:r w:rsidRPr="001C7A7D">
        <w:rPr>
          <w:rStyle w:val="FootnoteReference"/>
        </w:rPr>
        <w:footnoteReference w:id="435"/>
      </w:r>
      <w:r w:rsidRPr="00716CDF">
        <w:t xml:space="preserve">  </w:t>
      </w:r>
      <w:r w:rsidR="00FE2591">
        <w:t xml:space="preserve">In contrast, </w:t>
      </w:r>
      <w:r w:rsidRPr="00716CDF">
        <w:t xml:space="preserve">CAISO believes that </w:t>
      </w:r>
      <w:r w:rsidR="00F57E18">
        <w:t xml:space="preserve">the Commission should </w:t>
      </w:r>
      <w:r w:rsidRPr="00716CDF">
        <w:t xml:space="preserve">adopt an </w:t>
      </w:r>
      <w:r w:rsidR="005A797A">
        <w:t xml:space="preserve">upper </w:t>
      </w:r>
      <w:r w:rsidRPr="00716CDF">
        <w:t>limit on the size of these aggregations to ensure reliable operation of the transmission system while obtaining more experience with distributed energy resource aggregations.</w:t>
      </w:r>
      <w:r w:rsidR="00FE2591">
        <w:t xml:space="preserve">  </w:t>
      </w:r>
      <w:r w:rsidR="00AD489D">
        <w:t>CAISO</w:t>
      </w:r>
      <w:r w:rsidR="00FE2591">
        <w:t xml:space="preserve"> notes that </w:t>
      </w:r>
      <w:r w:rsidRPr="00716CDF" w:rsidR="00FE2591">
        <w:t xml:space="preserve">its </w:t>
      </w:r>
      <w:r w:rsidR="00FE2591">
        <w:t>D</w:t>
      </w:r>
      <w:r w:rsidRPr="00716CDF" w:rsidR="00FE2591">
        <w:t xml:space="preserve">istributed </w:t>
      </w:r>
      <w:r w:rsidR="00FE2591">
        <w:t>E</w:t>
      </w:r>
      <w:r w:rsidRPr="00716CDF" w:rsidR="00FE2591">
        <w:t xml:space="preserve">nergy </w:t>
      </w:r>
      <w:r w:rsidR="00FE2591">
        <w:t>R</w:t>
      </w:r>
      <w:r w:rsidRPr="00716CDF" w:rsidR="00FE2591">
        <w:t xml:space="preserve">esource </w:t>
      </w:r>
      <w:r w:rsidR="00FE2591">
        <w:t>P</w:t>
      </w:r>
      <w:r w:rsidRPr="00716CDF" w:rsidR="00FE2591">
        <w:t>rovider model imposes a maximum capacity requirement of 20 MW on aggregations that span multiple pricing nodes</w:t>
      </w:r>
      <w:r w:rsidR="00FE2591">
        <w:t xml:space="preserve"> </w:t>
      </w:r>
      <w:r w:rsidRPr="00716CDF" w:rsidR="00FE2591">
        <w:t>to limit the impact of these aggregations on congestion on the CAISO grid without severely constraining the ability of distributed energy resource providers to form viable aggregations</w:t>
      </w:r>
      <w:r w:rsidRPr="00716CDF">
        <w:t>.</w:t>
      </w:r>
      <w:r w:rsidRPr="001C7A7D">
        <w:rPr>
          <w:rStyle w:val="FootnoteReference"/>
        </w:rPr>
        <w:footnoteReference w:id="436"/>
      </w:r>
      <w:r w:rsidR="00FA6DDE">
        <w:t xml:space="preserve">  </w:t>
      </w:r>
      <w:r w:rsidR="00A65C06">
        <w:t xml:space="preserve">Similarly, </w:t>
      </w:r>
      <w:r w:rsidRPr="006B6B59" w:rsidR="00FA6DDE">
        <w:t xml:space="preserve">SPP </w:t>
      </w:r>
      <w:r w:rsidRPr="00716CDF" w:rsidR="006B6B59">
        <w:t>argues that the Commission should consider a maximum size requirement for aggregations across multiple nodes but that no maximum requirement is necessary for aggregations located at a single node.</w:t>
      </w:r>
      <w:r w:rsidRPr="001C7A7D" w:rsidR="006B6B59">
        <w:rPr>
          <w:rStyle w:val="FootnoteReference"/>
        </w:rPr>
        <w:footnoteReference w:id="437"/>
      </w:r>
      <w:r w:rsidRPr="00716CDF" w:rsidR="006B6B59">
        <w:t xml:space="preserve">  </w:t>
      </w:r>
      <w:r w:rsidRPr="00092574" w:rsidR="003B7001">
        <w:rPr>
          <w:color w:val="000000"/>
        </w:rPr>
        <w:t>University of Delaware’s EV R&amp;D Group argues that upper power limits should allow for an aggregation of 100-200 kW resources as this will better permit the participation of electric bus fleets.</w:t>
      </w:r>
      <w:r w:rsidRPr="00F1235F" w:rsidR="003B7001">
        <w:rPr>
          <w:rStyle w:val="FootnoteReference"/>
        </w:rPr>
        <w:footnoteReference w:id="438"/>
      </w:r>
      <w:r w:rsidRPr="00092574" w:rsidR="003B7001">
        <w:rPr>
          <w:color w:val="000000"/>
        </w:rPr>
        <w:t xml:space="preserve">  </w:t>
      </w:r>
      <w:r>
        <w:t xml:space="preserve">  </w:t>
      </w:r>
    </w:p>
    <w:p w:rsidR="00E73BEF" w:rsidP="00E73BEF" w:rsidRDefault="00E73BEF" w14:paraId="2420A325" w14:textId="3069E6DB">
      <w:pPr>
        <w:pStyle w:val="Heading4"/>
      </w:pPr>
      <w:bookmarkStart w:name="_bmk37" w:id="69"/>
      <w:r>
        <w:t>C</w:t>
      </w:r>
      <w:bookmarkEnd w:id="69"/>
      <w:r>
        <w:t>ommission Determination</w:t>
      </w:r>
    </w:p>
    <w:p w:rsidR="003F4773" w:rsidP="003F4773" w:rsidRDefault="00EE712D" w14:paraId="74625332" w14:textId="0A2DA08C">
      <w:pPr>
        <w:pStyle w:val="FERCparanumber"/>
      </w:pPr>
      <w:r>
        <w:t>W</w:t>
      </w:r>
      <w:r w:rsidR="003F4773">
        <w:t>e</w:t>
      </w:r>
      <w:r>
        <w:t xml:space="preserve"> adopt</w:t>
      </w:r>
      <w:r w:rsidR="003F4773">
        <w:t xml:space="preserve"> the NOPR proposal</w:t>
      </w:r>
      <w:r>
        <w:t>, with modifications,</w:t>
      </w:r>
      <w:r w:rsidR="003F4773">
        <w:t xml:space="preserve"> and </w:t>
      </w:r>
      <w:r w:rsidRPr="00A54C89" w:rsidR="00937DB8">
        <w:t xml:space="preserve">add </w:t>
      </w:r>
      <w:r w:rsidR="00F16837">
        <w:t>§</w:t>
      </w:r>
      <w:r w:rsidRPr="00A54C89" w:rsidR="00937DB8">
        <w:t xml:space="preserve"> </w:t>
      </w:r>
      <w:r w:rsidRPr="00E507B7" w:rsidR="00937DB8">
        <w:t>35.28(g)(1</w:t>
      </w:r>
      <w:r w:rsidR="00CD5DB1">
        <w:t>2</w:t>
      </w:r>
      <w:r w:rsidRPr="00E507B7" w:rsidR="00937DB8">
        <w:t>)(</w:t>
      </w:r>
      <w:r w:rsidRPr="00E507B7" w:rsidR="000177FE">
        <w:t>iii</w:t>
      </w:r>
      <w:r w:rsidRPr="00E507B7" w:rsidR="00937DB8">
        <w:t>) to the Commission’s regulations to</w:t>
      </w:r>
      <w:r w:rsidRPr="00E507B7" w:rsidDel="00937DB8" w:rsidR="00937DB8">
        <w:rPr>
          <w:rStyle w:val="CommentReference"/>
          <w:rFonts w:ascii="Arial" w:hAnsi="Arial" w:cs="Arial"/>
        </w:rPr>
        <w:t xml:space="preserve"> </w:t>
      </w:r>
      <w:r w:rsidRPr="00E507B7" w:rsidR="003F4773">
        <w:t>require each RTO/ISO to implement</w:t>
      </w:r>
      <w:r w:rsidRPr="0006307E" w:rsidR="003F4773">
        <w:t xml:space="preserve"> a minimum size requirement not to exceed 100 kW for all </w:t>
      </w:r>
      <w:r w:rsidR="003F4773">
        <w:t>distributed energy resource</w:t>
      </w:r>
      <w:r w:rsidRPr="0006307E" w:rsidR="003F4773">
        <w:t xml:space="preserve"> aggregations</w:t>
      </w:r>
      <w:r w:rsidR="003F4773">
        <w:t xml:space="preserve">.  </w:t>
      </w:r>
      <w:bookmarkStart w:name="_Hlk46216083" w:id="70"/>
      <w:r w:rsidR="003F4773">
        <w:t xml:space="preserve">We agree with commenters that a minimum size requirement not to exceed 100 kW will help improve competition in the RTO/ISO markets and avoid confusion about appropriate minimum size requirements for distributed energy resource aggregations under existing or new participation models.  </w:t>
      </w:r>
      <w:bookmarkEnd w:id="70"/>
      <w:r w:rsidR="00E86589">
        <w:t>We do not expect t</w:t>
      </w:r>
      <w:r w:rsidR="003F4773">
        <w:t xml:space="preserve">his requirement </w:t>
      </w:r>
      <w:r w:rsidR="00E86589">
        <w:t>to</w:t>
      </w:r>
      <w:r w:rsidR="003F4773">
        <w:t xml:space="preserve"> overburden RTO/ISO modeling software with an excessive number of small resources because 100 kW is </w:t>
      </w:r>
      <w:r w:rsidR="007020E6">
        <w:t xml:space="preserve">currently </w:t>
      </w:r>
      <w:r w:rsidR="003F4773">
        <w:t>a commonly used resource size.  In contrast, large</w:t>
      </w:r>
      <w:r w:rsidR="00F72F98">
        <w:t>r</w:t>
      </w:r>
      <w:r w:rsidR="003F4773">
        <w:t xml:space="preserve"> minimum size requirements that may have been designed for different types of resources </w:t>
      </w:r>
      <w:r w:rsidR="00B249E3">
        <w:t>c</w:t>
      </w:r>
      <w:r w:rsidR="003F4773">
        <w:t>ould pose a significant barrier to entry for distributed energy resource aggregations.  In addition, this minimum size requirement is consistent with the Commission’s minimum size requirement for electric storage resources in Order No. 841.</w:t>
      </w:r>
      <w:r w:rsidRPr="00D377EB" w:rsidR="003F4773">
        <w:rPr>
          <w:rStyle w:val="FootnoteReference"/>
        </w:rPr>
        <w:footnoteReference w:id="439"/>
      </w:r>
    </w:p>
    <w:p w:rsidR="003F4773" w:rsidP="003F4773" w:rsidRDefault="00B21EEE" w14:paraId="7B1EA24B" w14:textId="6105017B">
      <w:pPr>
        <w:pStyle w:val="FERCparanumber"/>
      </w:pPr>
      <w:r>
        <w:t>S</w:t>
      </w:r>
      <w:r w:rsidR="003F4773">
        <w:t xml:space="preserve">everal RTOs/ISOs support a minimum size requirement not to exceed 100 kW.  PJM and SPP have a minimum size requirement of 100 kW for all resources and support the same requirement for distributed energy resource aggregations, and all of the RTOs/ISOs have at least one participation </w:t>
      </w:r>
      <w:r w:rsidRPr="00823477" w:rsidR="003F4773">
        <w:t>model that allows resources as small as 100</w:t>
      </w:r>
      <w:r w:rsidR="00EE1F4A">
        <w:t> </w:t>
      </w:r>
      <w:r w:rsidRPr="00823477" w:rsidR="003F4773">
        <w:t>kW to participate in their markets.</w:t>
      </w:r>
      <w:r w:rsidRPr="00D377EB" w:rsidR="003F4773">
        <w:rPr>
          <w:rStyle w:val="FootnoteReference"/>
        </w:rPr>
        <w:footnoteReference w:id="440"/>
      </w:r>
      <w:r w:rsidR="003F4773">
        <w:t xml:space="preserve">  </w:t>
      </w:r>
      <w:r w:rsidR="00213539">
        <w:t>However, we recognize concerns</w:t>
      </w:r>
      <w:r w:rsidR="003F4773">
        <w:t xml:space="preserve"> about the ability of</w:t>
      </w:r>
      <w:r w:rsidR="004304D5">
        <w:t xml:space="preserve"> </w:t>
      </w:r>
      <w:r w:rsidR="003F4773">
        <w:t>modeling and dispatch software to handle a large number of small distributed energy resource aggregations</w:t>
      </w:r>
      <w:r w:rsidR="004C5DEA">
        <w:t xml:space="preserve">.  Therefore, while we </w:t>
      </w:r>
      <w:r w:rsidRPr="00E507B7" w:rsidR="004C5DEA">
        <w:t>require each RTO/ISO to implement</w:t>
      </w:r>
      <w:r w:rsidR="004C5DEA">
        <w:t xml:space="preserve"> on compliance</w:t>
      </w:r>
      <w:r w:rsidRPr="0006307E" w:rsidR="004C5DEA">
        <w:t xml:space="preserve"> a minimum size requirement not to exceed 100 kW for all </w:t>
      </w:r>
      <w:r w:rsidR="004C5DEA">
        <w:t>distributed energy resource</w:t>
      </w:r>
      <w:r w:rsidRPr="0006307E" w:rsidR="004C5DEA">
        <w:t xml:space="preserve"> aggregations</w:t>
      </w:r>
      <w:r w:rsidR="003F4773">
        <w:t xml:space="preserve">, we will consider </w:t>
      </w:r>
      <w:r w:rsidR="00EE1F4A">
        <w:t xml:space="preserve">any </w:t>
      </w:r>
      <w:r w:rsidR="003F4773">
        <w:t xml:space="preserve">future </w:t>
      </w:r>
      <w:r w:rsidR="00B970BC">
        <w:t>post-implementation</w:t>
      </w:r>
      <w:r w:rsidR="003F4773">
        <w:t xml:space="preserve"> requests to increase the minimum size requirement above 100 kW if </w:t>
      </w:r>
      <w:r w:rsidR="004304D5">
        <w:t xml:space="preserve">the </w:t>
      </w:r>
      <w:r w:rsidR="003F4773">
        <w:t>RTO/ISO</w:t>
      </w:r>
      <w:r w:rsidDel="00C13899" w:rsidR="003F4773">
        <w:t xml:space="preserve"> </w:t>
      </w:r>
      <w:r w:rsidR="003F4773">
        <w:t>demonstrate</w:t>
      </w:r>
      <w:r w:rsidR="001E0FE3">
        <w:t>s</w:t>
      </w:r>
      <w:r w:rsidR="003F4773">
        <w:t xml:space="preserve"> that it is experiencing difficulty calculating efficient market results and there is not a viable software solution for improving such calculations.</w:t>
      </w:r>
      <w:r w:rsidR="003F4773">
        <w:rPr>
          <w:rStyle w:val="FootnoteReference"/>
        </w:rPr>
        <w:footnoteReference w:id="441"/>
      </w:r>
    </w:p>
    <w:p w:rsidR="003F4773" w:rsidP="003F4773" w:rsidRDefault="003F4773" w14:paraId="6144FE45" w14:textId="4A9FB95E">
      <w:pPr>
        <w:pStyle w:val="FERCparanumber"/>
      </w:pPr>
      <w:bookmarkStart w:name="_Hlk46216142" w:id="71"/>
      <w:r>
        <w:t xml:space="preserve">We agree with the post-technical conference comments that </w:t>
      </w:r>
      <w:r w:rsidR="00800C0A">
        <w:t>a</w:t>
      </w:r>
      <w:r>
        <w:t xml:space="preserve"> minimum size requirement</w:t>
      </w:r>
      <w:r w:rsidR="006C2F29">
        <w:t xml:space="preserve"> that is l</w:t>
      </w:r>
      <w:r w:rsidR="00E31814">
        <w:t>ower</w:t>
      </w:r>
      <w:r w:rsidR="006C2F29">
        <w:t xml:space="preserve"> than</w:t>
      </w:r>
      <w:r>
        <w:t xml:space="preserve"> </w:t>
      </w:r>
      <w:r w:rsidR="007D697F">
        <w:t xml:space="preserve">some </w:t>
      </w:r>
      <w:r>
        <w:t xml:space="preserve">existing </w:t>
      </w:r>
      <w:r w:rsidR="00F471B6">
        <w:t xml:space="preserve">RTO/ISO </w:t>
      </w:r>
      <w:r w:rsidR="00EA008F">
        <w:t>minimum size requirements</w:t>
      </w:r>
      <w:r>
        <w:t xml:space="preserve"> will help alleviate concerns about </w:t>
      </w:r>
      <w:r w:rsidR="00B21EEE">
        <w:t xml:space="preserve">the ability of </w:t>
      </w:r>
      <w:r>
        <w:t>single node aggregations to achieve the necessary minimum size, particularly given our findings on locational requirements for distributed energy resource aggregations.</w:t>
      </w:r>
      <w:r>
        <w:rPr>
          <w:rStyle w:val="FootnoteReference"/>
        </w:rPr>
        <w:footnoteReference w:id="442"/>
      </w:r>
      <w:r>
        <w:t xml:space="preserve">  </w:t>
      </w:r>
      <w:bookmarkEnd w:id="71"/>
      <w:r>
        <w:t xml:space="preserve">NYISO </w:t>
      </w:r>
      <w:r w:rsidR="00F00B1F">
        <w:t xml:space="preserve">recently </w:t>
      </w:r>
      <w:r>
        <w:t>adopted this approach, stating that because it decided to limit distributed energy resource aggregations to a single pricing node in its distributed energy resources roadmap, NYISO thought it was appropriate to lower the minimum size threshold for distributed energy resource aggregations to 100 kW.</w:t>
      </w:r>
      <w:r>
        <w:rPr>
          <w:rStyle w:val="FootnoteReference"/>
        </w:rPr>
        <w:footnoteReference w:id="443"/>
      </w:r>
      <w:r>
        <w:t xml:space="preserve">  Therefore, not only will a minimum size requirement that does not exceed 100 kW remove a barrier to distributed energy resource aggregations, improve competition in RTO/ISO markets, avoid confusion about appropriate requirements, and help ensure just and reasonable rates, but application of this requirement in conjunction with our findings on locational requirements</w:t>
      </w:r>
      <w:r w:rsidR="00FC6DF5">
        <w:t xml:space="preserve">, discussed in </w:t>
      </w:r>
      <w:r w:rsidR="00F16837">
        <w:t>S</w:t>
      </w:r>
      <w:r w:rsidR="00FC6DF5">
        <w:t xml:space="preserve">ection </w:t>
      </w:r>
      <w:r w:rsidRPr="00217C76" w:rsidR="00E17D28">
        <w:t>I</w:t>
      </w:r>
      <w:r w:rsidRPr="00217C76" w:rsidR="007C0407">
        <w:t>V.D</w:t>
      </w:r>
      <w:r w:rsidR="00217C76">
        <w:t xml:space="preserve"> </w:t>
      </w:r>
      <w:r w:rsidR="00FC6DF5">
        <w:t>below,</w:t>
      </w:r>
      <w:r>
        <w:t xml:space="preserve"> will help alleviate any adverse competitive impacts that single node aggregations may have.</w:t>
      </w:r>
      <w:r w:rsidR="00665014">
        <w:rPr>
          <w:rStyle w:val="FootnoteReference"/>
        </w:rPr>
        <w:footnoteReference w:id="444"/>
      </w:r>
    </w:p>
    <w:p w:rsidRPr="00C81CF6" w:rsidR="003F4773" w:rsidP="00134482" w:rsidRDefault="00B6090A" w14:paraId="2F4B1F8A" w14:textId="20756EAF">
      <w:pPr>
        <w:pStyle w:val="FERCparanumber"/>
      </w:pPr>
      <w:r>
        <w:t>W</w:t>
      </w:r>
      <w:r w:rsidR="003F4773">
        <w:t xml:space="preserve">e are not persuaded by commenters to adopt a maximum size requirement for distributed energy resource aggregations that span multiple pricing nodes.  </w:t>
      </w:r>
      <w:r w:rsidR="00F8464B">
        <w:t xml:space="preserve">We </w:t>
      </w:r>
      <w:r w:rsidR="009B72D6">
        <w:t>do not see a need to adopt such a requirement because</w:t>
      </w:r>
      <w:r w:rsidR="002D2653">
        <w:t xml:space="preserve">, as explained </w:t>
      </w:r>
      <w:r w:rsidRPr="00164968" w:rsidR="002D2653">
        <w:t xml:space="preserve">in Section </w:t>
      </w:r>
      <w:r w:rsidRPr="00164968" w:rsidR="00E17D28">
        <w:t>I</w:t>
      </w:r>
      <w:r w:rsidRPr="00164968" w:rsidR="002D2653">
        <w:t>V.E below</w:t>
      </w:r>
      <w:r w:rsidR="002D2653">
        <w:t xml:space="preserve">, to the extent that RTOs/ISOs allow for multi-node distributed energy resource aggregations, distribution factors and bidding parameters should </w:t>
      </w:r>
      <w:r w:rsidRPr="00D34763" w:rsidR="002D2653">
        <w:t>provide the RTOs/ISOs with the information from geographically disperse</w:t>
      </w:r>
      <w:r w:rsidR="002D2653">
        <w:t>d</w:t>
      </w:r>
      <w:r w:rsidRPr="00D34763" w:rsidR="002D2653">
        <w:t xml:space="preserve"> resources in a </w:t>
      </w:r>
      <w:r w:rsidR="002D2653">
        <w:t>distributed energy resource</w:t>
      </w:r>
      <w:r w:rsidRPr="00D34763" w:rsidR="002D2653">
        <w:t xml:space="preserve"> aggregation necessary to reliably operate their systems</w:t>
      </w:r>
      <w:r w:rsidR="00145788">
        <w:t xml:space="preserve"> regardless of the size of the</w:t>
      </w:r>
      <w:r w:rsidR="006D7990">
        <w:t xml:space="preserve"> aggregation</w:t>
      </w:r>
      <w:r w:rsidR="002D2653">
        <w:t>.</w:t>
      </w:r>
      <w:r w:rsidR="002D2653">
        <w:rPr>
          <w:rStyle w:val="FootnoteReference"/>
        </w:rPr>
        <w:footnoteReference w:id="445"/>
      </w:r>
      <w:r w:rsidR="009B72D6">
        <w:t xml:space="preserve"> </w:t>
      </w:r>
      <w:r w:rsidR="00F8464B">
        <w:t xml:space="preserve"> </w:t>
      </w:r>
      <w:r w:rsidR="003F4773">
        <w:t xml:space="preserve">We </w:t>
      </w:r>
      <w:r w:rsidR="002D2653">
        <w:t>also</w:t>
      </w:r>
      <w:r w:rsidR="003F4773">
        <w:t xml:space="preserve"> note that, given our findings on locational requirements, we are not requiring RTOs/ISOs to </w:t>
      </w:r>
      <w:r w:rsidRPr="00C81CF6" w:rsidR="003F4773">
        <w:t>establish multi-node distributed energy resource aggregations.</w:t>
      </w:r>
      <w:r w:rsidRPr="00C81CF6" w:rsidR="003F4773">
        <w:rPr>
          <w:rStyle w:val="FootnoteReference"/>
        </w:rPr>
        <w:footnoteReference w:id="446"/>
      </w:r>
      <w:r w:rsidRPr="00C81CF6" w:rsidR="003F4773">
        <w:t xml:space="preserve">     </w:t>
      </w:r>
    </w:p>
    <w:p w:rsidRPr="00C81CF6" w:rsidR="00E73BEF" w:rsidP="00C81CF6" w:rsidRDefault="00E73BEF" w14:paraId="25957411" w14:textId="5C5E1BF3">
      <w:pPr>
        <w:pStyle w:val="Heading3"/>
        <w:spacing w:after="120" w:line="240" w:lineRule="auto"/>
      </w:pPr>
      <w:bookmarkStart w:name="_bmk38" w:id="72"/>
      <w:r w:rsidRPr="00C81CF6">
        <w:t>M</w:t>
      </w:r>
      <w:bookmarkEnd w:id="72"/>
      <w:r w:rsidRPr="00C81CF6">
        <w:t xml:space="preserve">inimum </w:t>
      </w:r>
      <w:r w:rsidRPr="00C81CF6" w:rsidR="006B6B59">
        <w:t>and</w:t>
      </w:r>
      <w:r w:rsidRPr="00C81CF6">
        <w:t xml:space="preserve"> Maximum Capacity Requirement</w:t>
      </w:r>
      <w:r w:rsidRPr="00C81CF6" w:rsidR="006B6B59">
        <w:t>s</w:t>
      </w:r>
      <w:r w:rsidRPr="00C81CF6" w:rsidR="00191842">
        <w:t xml:space="preserve"> for Distributed Energy Resources Participating in an Aggregation</w:t>
      </w:r>
    </w:p>
    <w:p w:rsidR="00E73BEF" w:rsidP="00E73BEF" w:rsidRDefault="00E73BEF" w14:paraId="3478AD35" w14:textId="1C9F93D7">
      <w:pPr>
        <w:pStyle w:val="Heading4"/>
      </w:pPr>
      <w:bookmarkStart w:name="_bmk39" w:id="73"/>
      <w:r>
        <w:t>N</w:t>
      </w:r>
      <w:bookmarkEnd w:id="73"/>
      <w:r>
        <w:t>OPR Proposal</w:t>
      </w:r>
    </w:p>
    <w:p w:rsidRPr="003F4773" w:rsidR="003F4773" w:rsidP="003F4773" w:rsidRDefault="00470028" w14:paraId="30F76CE2" w14:textId="3082A661">
      <w:pPr>
        <w:pStyle w:val="FERCparanumber"/>
      </w:pPr>
      <w:r>
        <w:rPr>
          <w:szCs w:val="26"/>
        </w:rPr>
        <w:t>T</w:t>
      </w:r>
      <w:r w:rsidRPr="00716CDF">
        <w:rPr>
          <w:szCs w:val="26"/>
        </w:rPr>
        <w:t xml:space="preserve">he </w:t>
      </w:r>
      <w:r>
        <w:rPr>
          <w:szCs w:val="26"/>
        </w:rPr>
        <w:t>Commission</w:t>
      </w:r>
      <w:r w:rsidRPr="00716CDF">
        <w:rPr>
          <w:szCs w:val="26"/>
        </w:rPr>
        <w:t xml:space="preserve"> propose</w:t>
      </w:r>
      <w:r>
        <w:rPr>
          <w:szCs w:val="26"/>
        </w:rPr>
        <w:t>d</w:t>
      </w:r>
      <w:r w:rsidRPr="00716CDF">
        <w:rPr>
          <w:szCs w:val="26"/>
        </w:rPr>
        <w:t xml:space="preserve"> not to establish a minimum or maximum capacity requirement </w:t>
      </w:r>
      <w:r>
        <w:rPr>
          <w:szCs w:val="26"/>
        </w:rPr>
        <w:t>for</w:t>
      </w:r>
      <w:r w:rsidRPr="00716CDF" w:rsidR="003F4773">
        <w:rPr>
          <w:szCs w:val="26"/>
        </w:rPr>
        <w:t xml:space="preserve"> </w:t>
      </w:r>
      <w:r>
        <w:rPr>
          <w:szCs w:val="26"/>
        </w:rPr>
        <w:t>an</w:t>
      </w:r>
      <w:r w:rsidRPr="00716CDF" w:rsidR="003F4773">
        <w:rPr>
          <w:szCs w:val="26"/>
        </w:rPr>
        <w:t xml:space="preserve"> individual distributed energy resource </w:t>
      </w:r>
      <w:r>
        <w:rPr>
          <w:szCs w:val="26"/>
        </w:rPr>
        <w:t>to be able to</w:t>
      </w:r>
      <w:r w:rsidRPr="00716CDF" w:rsidR="003F4773">
        <w:rPr>
          <w:szCs w:val="26"/>
        </w:rPr>
        <w:t xml:space="preserve"> participate in </w:t>
      </w:r>
      <w:r w:rsidR="003F4773">
        <w:rPr>
          <w:szCs w:val="26"/>
        </w:rPr>
        <w:t>RTO/ISO</w:t>
      </w:r>
      <w:r w:rsidRPr="00716CDF" w:rsidR="003F4773">
        <w:rPr>
          <w:szCs w:val="26"/>
        </w:rPr>
        <w:t xml:space="preserve"> markets through a distributed energy resource aggregator.</w:t>
      </w:r>
      <w:r w:rsidRPr="00367C29" w:rsidR="003F4773">
        <w:rPr>
          <w:rStyle w:val="FootnoteReference"/>
        </w:rPr>
        <w:footnoteReference w:id="447"/>
      </w:r>
      <w:r w:rsidRPr="00716CDF" w:rsidR="003F4773">
        <w:rPr>
          <w:szCs w:val="26"/>
        </w:rPr>
        <w:t xml:space="preserve">  The Commission </w:t>
      </w:r>
      <w:r w:rsidR="003F4773">
        <w:rPr>
          <w:szCs w:val="26"/>
        </w:rPr>
        <w:t xml:space="preserve">stated that it </w:t>
      </w:r>
      <w:r w:rsidRPr="00716CDF" w:rsidR="003F4773">
        <w:rPr>
          <w:szCs w:val="26"/>
        </w:rPr>
        <w:t xml:space="preserve">believes participation in </w:t>
      </w:r>
      <w:r w:rsidR="00560341">
        <w:rPr>
          <w:szCs w:val="26"/>
        </w:rPr>
        <w:t>RTO/ISO</w:t>
      </w:r>
      <w:r w:rsidRPr="00716CDF" w:rsidR="003F4773">
        <w:rPr>
          <w:szCs w:val="26"/>
        </w:rPr>
        <w:t xml:space="preserve"> markets through a distributed energy resource aggregator should not be conditioned on the size of the resource </w:t>
      </w:r>
      <w:r w:rsidR="003F4773">
        <w:rPr>
          <w:szCs w:val="26"/>
        </w:rPr>
        <w:t>but recognized</w:t>
      </w:r>
      <w:r w:rsidRPr="00716CDF" w:rsidR="003F4773">
        <w:rPr>
          <w:szCs w:val="26"/>
        </w:rPr>
        <w:t xml:space="preserve"> that existing </w:t>
      </w:r>
      <w:r w:rsidR="00560341">
        <w:rPr>
          <w:szCs w:val="26"/>
        </w:rPr>
        <w:t>RTO/ISO</w:t>
      </w:r>
      <w:r w:rsidRPr="00716CDF" w:rsidR="003F4773">
        <w:rPr>
          <w:szCs w:val="26"/>
        </w:rPr>
        <w:t xml:space="preserve"> market rules may require </w:t>
      </w:r>
      <w:r w:rsidR="003F4773">
        <w:rPr>
          <w:szCs w:val="26"/>
        </w:rPr>
        <w:t xml:space="preserve">distributed energy </w:t>
      </w:r>
      <w:r w:rsidRPr="00716CDF" w:rsidR="003F4773">
        <w:rPr>
          <w:szCs w:val="26"/>
        </w:rPr>
        <w:t xml:space="preserve">resources to meet certain minimum or maximum capacity requirements under certain participation models.  Therefore, the Commission </w:t>
      </w:r>
      <w:r w:rsidR="003F4773">
        <w:rPr>
          <w:szCs w:val="26"/>
        </w:rPr>
        <w:t>sought</w:t>
      </w:r>
      <w:r w:rsidRPr="00716CDF" w:rsidR="003F4773">
        <w:rPr>
          <w:szCs w:val="26"/>
        </w:rPr>
        <w:t xml:space="preserve"> comment on whether </w:t>
      </w:r>
      <w:r w:rsidR="003F4773">
        <w:rPr>
          <w:szCs w:val="26"/>
        </w:rPr>
        <w:t>to</w:t>
      </w:r>
      <w:r w:rsidRPr="00716CDF" w:rsidR="003F4773">
        <w:rPr>
          <w:szCs w:val="26"/>
        </w:rPr>
        <w:t xml:space="preserve"> establish a minimum or maximum capacity limit for individual </w:t>
      </w:r>
      <w:r w:rsidR="003F4773">
        <w:rPr>
          <w:szCs w:val="26"/>
        </w:rPr>
        <w:t>distributed energy</w:t>
      </w:r>
      <w:r w:rsidRPr="00716CDF" w:rsidR="003F4773">
        <w:rPr>
          <w:szCs w:val="26"/>
        </w:rPr>
        <w:t xml:space="preserve"> resources seeking to participate in </w:t>
      </w:r>
      <w:r w:rsidR="00560341">
        <w:rPr>
          <w:szCs w:val="26"/>
        </w:rPr>
        <w:t>RTO/ISO</w:t>
      </w:r>
      <w:r w:rsidRPr="00716CDF" w:rsidR="003F4773">
        <w:rPr>
          <w:szCs w:val="26"/>
        </w:rPr>
        <w:t xml:space="preserve"> markets through a distributed energy resource aggregator, or whether </w:t>
      </w:r>
      <w:r w:rsidR="003F4773">
        <w:rPr>
          <w:szCs w:val="26"/>
        </w:rPr>
        <w:t>to</w:t>
      </w:r>
      <w:r w:rsidRPr="00716CDF" w:rsidR="003F4773">
        <w:rPr>
          <w:szCs w:val="26"/>
        </w:rPr>
        <w:t xml:space="preserve"> allow each RTO/ISO to propose such a minimum or maximum capacity requirement on compliance with any </w:t>
      </w:r>
      <w:r w:rsidRPr="00D51270" w:rsidR="00D51270">
        <w:rPr>
          <w:szCs w:val="26"/>
        </w:rPr>
        <w:t>final rule</w:t>
      </w:r>
      <w:r w:rsidRPr="00716CDF" w:rsidR="003F4773">
        <w:rPr>
          <w:szCs w:val="26"/>
        </w:rPr>
        <w:t xml:space="preserve"> issued in this rulemaking proceeding.  To the extent that commenters </w:t>
      </w:r>
      <w:r w:rsidR="003F4773">
        <w:rPr>
          <w:szCs w:val="26"/>
        </w:rPr>
        <w:t>believe</w:t>
      </w:r>
      <w:r w:rsidRPr="00716CDF" w:rsidR="003F4773">
        <w:rPr>
          <w:szCs w:val="26"/>
        </w:rPr>
        <w:t xml:space="preserve"> that the Commission should adopt a minimum or maximum capacity requirement for individual distributed energy resources participating in </w:t>
      </w:r>
      <w:r w:rsidR="00560341">
        <w:rPr>
          <w:szCs w:val="26"/>
        </w:rPr>
        <w:t>RTO/ISO</w:t>
      </w:r>
      <w:r w:rsidRPr="00716CDF" w:rsidR="003F4773">
        <w:rPr>
          <w:szCs w:val="26"/>
        </w:rPr>
        <w:t xml:space="preserve"> markets through a distributed energy resource aggregator, the Commission </w:t>
      </w:r>
      <w:r w:rsidR="003F4773">
        <w:rPr>
          <w:szCs w:val="26"/>
        </w:rPr>
        <w:t>sought</w:t>
      </w:r>
      <w:r w:rsidRPr="00716CDF" w:rsidR="003F4773">
        <w:rPr>
          <w:szCs w:val="26"/>
        </w:rPr>
        <w:t xml:space="preserve"> comment on what that requirement should be.</w:t>
      </w:r>
    </w:p>
    <w:p w:rsidR="00E73BEF" w:rsidP="00E73BEF" w:rsidRDefault="00E73BEF" w14:paraId="61BB069C" w14:textId="6841B798">
      <w:pPr>
        <w:pStyle w:val="Heading4"/>
      </w:pPr>
      <w:bookmarkStart w:name="_bmk40" w:id="74"/>
      <w:r>
        <w:t>C</w:t>
      </w:r>
      <w:bookmarkEnd w:id="74"/>
      <w:r>
        <w:t>omments</w:t>
      </w:r>
    </w:p>
    <w:p w:rsidRPr="000A2C51" w:rsidR="00C601EC" w:rsidDel="00E6149E" w:rsidP="00C601EC" w:rsidRDefault="00C601EC" w14:paraId="409ED305" w14:textId="3FC53D21">
      <w:pPr>
        <w:pStyle w:val="FERCparanumber"/>
      </w:pPr>
      <w:r w:rsidRPr="004C61B1">
        <w:rPr>
          <w:szCs w:val="26"/>
        </w:rPr>
        <w:t xml:space="preserve">Several commenters support the Commission’s proposal not to establish a minimum capacity requirement for individual distributed energy resources participating in </w:t>
      </w:r>
      <w:r w:rsidR="009A7917">
        <w:rPr>
          <w:szCs w:val="26"/>
        </w:rPr>
        <w:t>RTO/ISO</w:t>
      </w:r>
      <w:r w:rsidRPr="004C61B1">
        <w:rPr>
          <w:szCs w:val="26"/>
        </w:rPr>
        <w:t xml:space="preserve"> markets through distributed energy resource aggregations.</w:t>
      </w:r>
      <w:r w:rsidRPr="00367C29">
        <w:rPr>
          <w:rStyle w:val="FootnoteReference"/>
        </w:rPr>
        <w:footnoteReference w:id="448"/>
      </w:r>
      <w:r w:rsidRPr="004C61B1">
        <w:rPr>
          <w:szCs w:val="26"/>
        </w:rPr>
        <w:t xml:space="preserve">  </w:t>
      </w:r>
      <w:r w:rsidRPr="00E6149E">
        <w:rPr>
          <w:szCs w:val="26"/>
        </w:rPr>
        <w:t xml:space="preserve">Some commenters state that minimum or maximum capacity requirements are not necessary for individual distributed energy resources because the aggregator will interact with the wholesale market as a single resource and, as such, </w:t>
      </w:r>
      <w:r w:rsidR="00405A64">
        <w:rPr>
          <w:szCs w:val="26"/>
        </w:rPr>
        <w:t xml:space="preserve">that aggregation </w:t>
      </w:r>
      <w:r w:rsidRPr="00E6149E">
        <w:rPr>
          <w:szCs w:val="26"/>
        </w:rPr>
        <w:t>will be subject to eligibility rules.</w:t>
      </w:r>
      <w:r w:rsidRPr="00367C29">
        <w:rPr>
          <w:rStyle w:val="FootnoteReference"/>
        </w:rPr>
        <w:footnoteReference w:id="449"/>
      </w:r>
      <w:r w:rsidRPr="00E6149E">
        <w:rPr>
          <w:szCs w:val="26"/>
        </w:rPr>
        <w:t xml:space="preserve">  Fluidic, Fresh Energy/Sierra Club/Union of Concerned Scientists</w:t>
      </w:r>
      <w:r w:rsidRPr="00E6149E" w:rsidR="009A7917">
        <w:rPr>
          <w:szCs w:val="26"/>
        </w:rPr>
        <w:t>,</w:t>
      </w:r>
      <w:r w:rsidRPr="00E6149E">
        <w:rPr>
          <w:szCs w:val="26"/>
        </w:rPr>
        <w:t xml:space="preserve"> and Tesla/SolarCity argue that </w:t>
      </w:r>
      <w:r w:rsidRPr="00E6149E">
        <w:rPr>
          <w:bCs/>
          <w:szCs w:val="26"/>
        </w:rPr>
        <w:t>aggregators should be allowed to optimize their portfolio with any mix of resources to ensure the most cost-effective aggregation.</w:t>
      </w:r>
      <w:r w:rsidRPr="00367C29">
        <w:rPr>
          <w:rStyle w:val="FootnoteReference"/>
        </w:rPr>
        <w:footnoteReference w:id="450"/>
      </w:r>
      <w:r w:rsidRPr="00E6149E">
        <w:rPr>
          <w:bCs/>
          <w:szCs w:val="26"/>
        </w:rPr>
        <w:t xml:space="preserve">  </w:t>
      </w:r>
      <w:r w:rsidRPr="00E6149E">
        <w:rPr>
          <w:szCs w:val="26"/>
        </w:rPr>
        <w:t>Energy Storage Association notes that, while many behind-the-meter electric storage resources are relatively small (only a few kW in some cases), in aggregate, they can operate nearly identically to a single, much larger electric storage resource.</w:t>
      </w:r>
      <w:r w:rsidRPr="00367C29">
        <w:rPr>
          <w:rStyle w:val="FootnoteReference"/>
        </w:rPr>
        <w:footnoteReference w:id="451"/>
      </w:r>
      <w:r w:rsidRPr="00E6149E">
        <w:rPr>
          <w:szCs w:val="26"/>
        </w:rPr>
        <w:t xml:space="preserve"> </w:t>
      </w:r>
    </w:p>
    <w:p w:rsidRPr="004C61B1" w:rsidR="00C601EC" w:rsidP="00C601EC" w:rsidRDefault="00C601EC" w14:paraId="3DA57618" w14:textId="0CC701F1">
      <w:pPr>
        <w:pStyle w:val="FERCparanumber"/>
      </w:pPr>
      <w:r w:rsidRPr="004C61B1">
        <w:rPr>
          <w:szCs w:val="26"/>
        </w:rPr>
        <w:t xml:space="preserve">Several commenters ask the Commission to defer to the RTOs/ISOs to propose and justify to the Commission any minimum and maximum capacity requirements for individual distributed energy resources participating in </w:t>
      </w:r>
      <w:r w:rsidR="00344622">
        <w:rPr>
          <w:szCs w:val="26"/>
        </w:rPr>
        <w:t>RTO/ISO</w:t>
      </w:r>
      <w:r w:rsidRPr="004C61B1">
        <w:rPr>
          <w:szCs w:val="26"/>
        </w:rPr>
        <w:t xml:space="preserve"> markets through distributed energy resource aggregations.</w:t>
      </w:r>
      <w:r w:rsidRPr="00367C29">
        <w:rPr>
          <w:rStyle w:val="FootnoteReference"/>
        </w:rPr>
        <w:footnoteReference w:id="452"/>
      </w:r>
      <w:r w:rsidRPr="004C61B1">
        <w:rPr>
          <w:szCs w:val="26"/>
        </w:rPr>
        <w:t xml:space="preserve">  EEI argues that the RTO/ISO-established requirements should be based on their individual market rules and their ability to verify the accuracy of the metering and the verification process for the resource.</w:t>
      </w:r>
      <w:r w:rsidRPr="00367C29">
        <w:rPr>
          <w:rStyle w:val="FootnoteReference"/>
        </w:rPr>
        <w:footnoteReference w:id="453"/>
      </w:r>
      <w:r w:rsidRPr="004C61B1">
        <w:rPr>
          <w:szCs w:val="26"/>
        </w:rPr>
        <w:t xml:space="preserve">  NYISO notes that it is evaluating whether there should be a maximum </w:t>
      </w:r>
      <w:r w:rsidR="001171F2">
        <w:rPr>
          <w:szCs w:val="26"/>
        </w:rPr>
        <w:t xml:space="preserve">size for a </w:t>
      </w:r>
      <w:r w:rsidRPr="004C61B1">
        <w:rPr>
          <w:szCs w:val="26"/>
        </w:rPr>
        <w:t>distributed energy resource in an aggregation</w:t>
      </w:r>
      <w:r>
        <w:rPr>
          <w:szCs w:val="26"/>
        </w:rPr>
        <w:t xml:space="preserve"> in order to</w:t>
      </w:r>
      <w:r w:rsidRPr="004C61B1">
        <w:rPr>
          <w:szCs w:val="26"/>
        </w:rPr>
        <w:t xml:space="preserve"> permit independent modeling of relatively large distributed energy resources and provide grid operators more operational awareness and control over distributed energy resources that may be needed to address system conditions.</w:t>
      </w:r>
      <w:r w:rsidRPr="00367C29">
        <w:rPr>
          <w:rStyle w:val="FootnoteReference"/>
        </w:rPr>
        <w:footnoteReference w:id="454"/>
      </w:r>
      <w:r w:rsidRPr="004C61B1">
        <w:rPr>
          <w:szCs w:val="26"/>
        </w:rPr>
        <w:t xml:space="preserve">  </w:t>
      </w:r>
    </w:p>
    <w:p w:rsidRPr="00C601EC" w:rsidR="00C601EC" w:rsidP="00C601EC" w:rsidRDefault="00C601EC" w14:paraId="3C2D1E89" w14:textId="3D408788">
      <w:pPr>
        <w:pStyle w:val="FERCparanumber"/>
      </w:pPr>
      <w:r w:rsidRPr="00716CDF">
        <w:rPr>
          <w:szCs w:val="26"/>
        </w:rPr>
        <w:t>MISO Transmission Owners argue that capacity limits should be identified at the RTO/ISO level unless a distribution utility is impacted, in which case the distribution utility should have discretion to set its own requirements so that any minimum size requirement respect</w:t>
      </w:r>
      <w:r w:rsidR="009A7917">
        <w:rPr>
          <w:szCs w:val="26"/>
        </w:rPr>
        <w:t>s</w:t>
      </w:r>
      <w:r w:rsidRPr="00716CDF">
        <w:rPr>
          <w:szCs w:val="26"/>
        </w:rPr>
        <w:t xml:space="preserve"> capacity limitations on a distribution circuit, whether individual or </w:t>
      </w:r>
      <w:r w:rsidR="009A7917">
        <w:rPr>
          <w:szCs w:val="26"/>
        </w:rPr>
        <w:t xml:space="preserve">in the </w:t>
      </w:r>
      <w:r w:rsidRPr="00716CDF">
        <w:rPr>
          <w:szCs w:val="26"/>
        </w:rPr>
        <w:t>aggregate.</w:t>
      </w:r>
      <w:r w:rsidRPr="00367C29">
        <w:rPr>
          <w:rStyle w:val="FootnoteReference"/>
        </w:rPr>
        <w:footnoteReference w:id="455"/>
      </w:r>
      <w:r w:rsidRPr="00716CDF">
        <w:rPr>
          <w:szCs w:val="26"/>
        </w:rPr>
        <w:t xml:space="preserve">  Similarly, APPA/NRECA assert that the Commission has no jurisdiction over facilities used for generation or local distribution and that state and local regulators are likely best equipped to address </w:t>
      </w:r>
      <w:r w:rsidRPr="00066A04" w:rsidR="00066A04">
        <w:rPr>
          <w:szCs w:val="26"/>
        </w:rPr>
        <w:t>minimum or maximum capacity requirements</w:t>
      </w:r>
      <w:r w:rsidRPr="00716CDF">
        <w:rPr>
          <w:szCs w:val="26"/>
        </w:rPr>
        <w:t>.</w:t>
      </w:r>
      <w:r w:rsidRPr="00367C29">
        <w:rPr>
          <w:rStyle w:val="FootnoteReference"/>
        </w:rPr>
        <w:footnoteReference w:id="456"/>
      </w:r>
    </w:p>
    <w:p w:rsidR="00E73BEF" w:rsidP="00E73BEF" w:rsidRDefault="00E73BEF" w14:paraId="2372C103" w14:textId="7B6825C6">
      <w:pPr>
        <w:pStyle w:val="Heading4"/>
      </w:pPr>
      <w:bookmarkStart w:name="_bmk41" w:id="75"/>
      <w:r>
        <w:t>C</w:t>
      </w:r>
      <w:bookmarkEnd w:id="75"/>
      <w:r>
        <w:t>ommission Determination</w:t>
      </w:r>
    </w:p>
    <w:p w:rsidRPr="002F206C" w:rsidR="00CE3B58" w:rsidP="006B1F37" w:rsidRDefault="003D4A30" w14:paraId="0B5E18E6" w14:textId="1374BF0E">
      <w:pPr>
        <w:pStyle w:val="FERCparanumber"/>
      </w:pPr>
      <w:r w:rsidRPr="002F206C">
        <w:t xml:space="preserve">To implement </w:t>
      </w:r>
      <w:r w:rsidRPr="002F206C" w:rsidR="00F16837">
        <w:t>§</w:t>
      </w:r>
      <w:r w:rsidRPr="002F206C">
        <w:t xml:space="preserve"> 35.28(g)(1</w:t>
      </w:r>
      <w:r w:rsidR="00CD5DB1">
        <w:t>2</w:t>
      </w:r>
      <w:r w:rsidRPr="002F206C">
        <w:t>)(ii)(a) of the Commission’s regulations</w:t>
      </w:r>
      <w:r w:rsidRPr="002F206C" w:rsidR="006365DC">
        <w:t>, w</w:t>
      </w:r>
      <w:r w:rsidRPr="002F206C" w:rsidR="00C601EC">
        <w:t>e adopt the NOPR proposal</w:t>
      </w:r>
      <w:r w:rsidRPr="002F206C" w:rsidR="00060BEB">
        <w:t xml:space="preserve">, as </w:t>
      </w:r>
      <w:r w:rsidRPr="002F206C" w:rsidR="00405A64">
        <w:t>modified</w:t>
      </w:r>
      <w:r w:rsidRPr="002F206C" w:rsidR="00060BEB">
        <w:t xml:space="preserve"> below,</w:t>
      </w:r>
      <w:r w:rsidRPr="002F206C" w:rsidR="00C601EC">
        <w:t xml:space="preserve"> </w:t>
      </w:r>
      <w:r w:rsidRPr="002F206C" w:rsidR="00EB0E0A">
        <w:t>and will</w:t>
      </w:r>
      <w:r w:rsidRPr="002F206C" w:rsidR="00C601EC">
        <w:t xml:space="preserve"> </w:t>
      </w:r>
      <w:r w:rsidRPr="002F206C" w:rsidR="00F87610">
        <w:t>not</w:t>
      </w:r>
      <w:r w:rsidRPr="002F206C" w:rsidR="00C601EC">
        <w:t xml:space="preserve"> establish a minimum or maximum capacity requirement for individual distributed energy resources to participate in RTO/ISO markets through a distributed energy resource aggregation.  </w:t>
      </w:r>
      <w:r w:rsidRPr="002F206C" w:rsidR="00320934">
        <w:t>A</w:t>
      </w:r>
      <w:r w:rsidRPr="002F206C" w:rsidR="00730A5B">
        <w:t xml:space="preserve">lthough we </w:t>
      </w:r>
      <w:r w:rsidRPr="002F206C" w:rsidR="006B1F37">
        <w:t xml:space="preserve">decline to establish a </w:t>
      </w:r>
      <w:r w:rsidRPr="002F206C" w:rsidR="00742277">
        <w:t xml:space="preserve">specific </w:t>
      </w:r>
      <w:r w:rsidRPr="002F206C" w:rsidR="006B1F37">
        <w:t>maximum capacity requirement for individual distributed energy resources in an aggregation, we direct each RTO/ISO to propose a maximum capacity requirement for individual distributed energy resources participating in its markets through a distributed energy resource aggregation or, alternatively, to explain why such a requirement is not necessary</w:t>
      </w:r>
      <w:r w:rsidRPr="002F206C" w:rsidR="00730A5B">
        <w:t>, as discussed further below</w:t>
      </w:r>
      <w:r w:rsidRPr="002F206C" w:rsidR="00320934">
        <w:t>.</w:t>
      </w:r>
    </w:p>
    <w:p w:rsidR="00CE3B58" w:rsidP="00CE3B58" w:rsidRDefault="00CE3B58" w14:paraId="5263BC60" w14:textId="7C3D3D23">
      <w:pPr>
        <w:pStyle w:val="FERCparanumber"/>
      </w:pPr>
      <w:r w:rsidRPr="002F206C">
        <w:t xml:space="preserve">We </w:t>
      </w:r>
      <w:r w:rsidRPr="002F206C" w:rsidR="003D7A55">
        <w:t xml:space="preserve">decline to </w:t>
      </w:r>
      <w:r w:rsidRPr="002F206C">
        <w:t xml:space="preserve">require RTOs/ISOs to </w:t>
      </w:r>
      <w:r w:rsidRPr="002F206C" w:rsidR="003D7A55">
        <w:t>adopt</w:t>
      </w:r>
      <w:r w:rsidRPr="002F206C">
        <w:t xml:space="preserve"> minimum capacity requirements</w:t>
      </w:r>
      <w:r>
        <w:t xml:space="preserve"> </w:t>
      </w:r>
      <w:r w:rsidR="00557F3D">
        <w:t>for</w:t>
      </w:r>
      <w:r>
        <w:t xml:space="preserve"> individual distributed energy resources </w:t>
      </w:r>
      <w:r w:rsidR="00AD209D">
        <w:t xml:space="preserve">to </w:t>
      </w:r>
      <w:r>
        <w:t>participat</w:t>
      </w:r>
      <w:r w:rsidR="00AD209D">
        <w:t>e</w:t>
      </w:r>
      <w:r>
        <w:t xml:space="preserve"> in their markets through a distributed energy resource aggregation.  </w:t>
      </w:r>
      <w:r w:rsidR="00C601EC">
        <w:t xml:space="preserve">We agree with commenters that </w:t>
      </w:r>
      <w:r w:rsidR="00E6149E">
        <w:t>minimum capacity requirements for distributed energy resources to participate in an aggrega</w:t>
      </w:r>
      <w:r>
        <w:t>tion</w:t>
      </w:r>
      <w:r w:rsidR="00C601EC">
        <w:t xml:space="preserve"> are not necessary because each individual resource will participate in the market via an aggregation</w:t>
      </w:r>
      <w:r w:rsidR="0089532F">
        <w:t>,</w:t>
      </w:r>
      <w:r w:rsidR="00C601EC">
        <w:t xml:space="preserve"> which acts as a single resource.  To this end, we note that distributed energy resource </w:t>
      </w:r>
      <w:r w:rsidR="003E6BFF">
        <w:t>aggregators,</w:t>
      </w:r>
      <w:r w:rsidR="00C601EC">
        <w:t xml:space="preserve"> as market-interfacing entities</w:t>
      </w:r>
      <w:r w:rsidR="003E6BFF">
        <w:t>,</w:t>
      </w:r>
      <w:r w:rsidR="00C601EC">
        <w:t xml:space="preserve"> are responsible for </w:t>
      </w:r>
      <w:r w:rsidR="00B74BDB">
        <w:t>meet</w:t>
      </w:r>
      <w:r w:rsidR="00C601EC">
        <w:t xml:space="preserve">ing applicable RTO/ISO </w:t>
      </w:r>
      <w:r w:rsidR="00B74BDB">
        <w:t xml:space="preserve">qualification and </w:t>
      </w:r>
      <w:r w:rsidR="00C601EC">
        <w:t xml:space="preserve">performance </w:t>
      </w:r>
      <w:r w:rsidR="00E86551">
        <w:t>requirements</w:t>
      </w:r>
      <w:r>
        <w:t>, including minimum size requirements,</w:t>
      </w:r>
      <w:r w:rsidR="00C601EC">
        <w:t xml:space="preserve"> and for determining how any performance penalties or deratings determined by the RTO/ISO would appl</w:t>
      </w:r>
      <w:r>
        <w:t>y</w:t>
      </w:r>
      <w:r w:rsidR="00C601EC">
        <w:t xml:space="preserve"> to the individual resources in an aggregation.</w:t>
      </w:r>
      <w:r>
        <w:t xml:space="preserve">  </w:t>
      </w:r>
    </w:p>
    <w:p w:rsidRPr="002F206C" w:rsidR="00C601EC" w:rsidP="00CE3B58" w:rsidRDefault="0073419D" w14:paraId="657E0A40" w14:textId="00D2254D">
      <w:pPr>
        <w:pStyle w:val="FERCparanumber"/>
      </w:pPr>
      <w:r w:rsidRPr="002F206C">
        <w:t xml:space="preserve">While we </w:t>
      </w:r>
      <w:r w:rsidRPr="002F206C" w:rsidR="00CF1FEF">
        <w:t xml:space="preserve">find that </w:t>
      </w:r>
      <w:r w:rsidRPr="002F206C">
        <w:t>minimum capacity requirement</w:t>
      </w:r>
      <w:r w:rsidRPr="002F206C" w:rsidR="00CF1FEF">
        <w:t>s are unnecessary</w:t>
      </w:r>
      <w:r w:rsidRPr="002F206C">
        <w:t xml:space="preserve">, we </w:t>
      </w:r>
      <w:r w:rsidRPr="002F206C" w:rsidR="00CF1FEF">
        <w:t xml:space="preserve">recognize </w:t>
      </w:r>
      <w:r w:rsidRPr="002F206C" w:rsidR="00C601EC">
        <w:t xml:space="preserve">the concerns raised by </w:t>
      </w:r>
      <w:r w:rsidRPr="002F206C" w:rsidR="00FF06D6">
        <w:t xml:space="preserve">EEI and </w:t>
      </w:r>
      <w:r w:rsidRPr="002F206C" w:rsidR="0040787F">
        <w:t xml:space="preserve">NYISO </w:t>
      </w:r>
      <w:r w:rsidRPr="002F206C" w:rsidR="00C601EC">
        <w:t>with respect to each RTO</w:t>
      </w:r>
      <w:r w:rsidRPr="002F206C" w:rsidR="003E3CB4">
        <w:t>’s</w:t>
      </w:r>
      <w:r w:rsidRPr="002F206C" w:rsidR="00C601EC">
        <w:t>/ISO’s ability to</w:t>
      </w:r>
      <w:r w:rsidRPr="002F206C" w:rsidR="00F111D0">
        <w:t xml:space="preserve"> </w:t>
      </w:r>
      <w:r w:rsidRPr="002F206C" w:rsidR="00C601EC">
        <w:t xml:space="preserve">accurately model </w:t>
      </w:r>
      <w:r w:rsidRPr="002F206C" w:rsidR="00F111D0">
        <w:t>and verify the metering of larger distributed energy resources</w:t>
      </w:r>
      <w:r w:rsidRPr="002F206C" w:rsidR="00DB1092">
        <w:t xml:space="preserve">. </w:t>
      </w:r>
      <w:r w:rsidRPr="002F206C" w:rsidR="006B1F37">
        <w:t xml:space="preserve"> </w:t>
      </w:r>
      <w:r w:rsidRPr="002F206C" w:rsidR="00DB1092">
        <w:t xml:space="preserve">We </w:t>
      </w:r>
      <w:r w:rsidRPr="002F206C" w:rsidR="006B1F37">
        <w:t xml:space="preserve">believe </w:t>
      </w:r>
      <w:r w:rsidRPr="002F206C" w:rsidR="00DB1092">
        <w:t>that</w:t>
      </w:r>
      <w:r w:rsidRPr="002F206C" w:rsidR="00440309">
        <w:t xml:space="preserve"> </w:t>
      </w:r>
      <w:r w:rsidRPr="002F206C" w:rsidR="006B1F37">
        <w:t>capping the</w:t>
      </w:r>
      <w:r w:rsidRPr="002F206C" w:rsidR="006E0C92">
        <w:t xml:space="preserve"> maximum capacity </w:t>
      </w:r>
      <w:r w:rsidRPr="002F206C" w:rsidR="006B1F37">
        <w:t>size of an</w:t>
      </w:r>
      <w:r w:rsidRPr="002F206C" w:rsidR="006E0C92">
        <w:t xml:space="preserve"> individual distributed energy resource participating </w:t>
      </w:r>
      <w:r w:rsidRPr="002F206C" w:rsidR="0051057D">
        <w:t>in</w:t>
      </w:r>
      <w:r w:rsidRPr="002F206C" w:rsidR="006E0C92">
        <w:t xml:space="preserve"> a distributed energy resource aggregation would </w:t>
      </w:r>
      <w:r w:rsidRPr="002F206C" w:rsidR="00730A5B">
        <w:t xml:space="preserve">ensure that larger resources are required to participate individually, thereby </w:t>
      </w:r>
      <w:r w:rsidRPr="002F206C" w:rsidR="00186871">
        <w:t>allow</w:t>
      </w:r>
      <w:r w:rsidRPr="002F206C" w:rsidR="00730A5B">
        <w:t>ing</w:t>
      </w:r>
      <w:r w:rsidRPr="002F206C" w:rsidR="006B1F37">
        <w:t xml:space="preserve"> RTOs/ISOs to</w:t>
      </w:r>
      <w:r w:rsidRPr="002F206C" w:rsidR="006E0C92">
        <w:t xml:space="preserve"> independent</w:t>
      </w:r>
      <w:r w:rsidRPr="002F206C" w:rsidR="006B1F37">
        <w:t>ly</w:t>
      </w:r>
      <w:r w:rsidRPr="002F206C" w:rsidR="006E0C92">
        <w:t xml:space="preserve"> model and verif</w:t>
      </w:r>
      <w:r w:rsidRPr="002F206C" w:rsidR="006B1F37">
        <w:t>y</w:t>
      </w:r>
      <w:r w:rsidRPr="002F206C" w:rsidR="00730A5B">
        <w:t xml:space="preserve"> </w:t>
      </w:r>
      <w:r w:rsidRPr="002F206C" w:rsidR="00F111D0">
        <w:t xml:space="preserve">the metering of </w:t>
      </w:r>
      <w:r w:rsidRPr="002F206C" w:rsidR="00730A5B">
        <w:t>these</w:t>
      </w:r>
      <w:r w:rsidRPr="002F206C" w:rsidR="006B1F37">
        <w:t xml:space="preserve"> </w:t>
      </w:r>
      <w:r w:rsidRPr="002F206C" w:rsidR="006E0C92">
        <w:t>large</w:t>
      </w:r>
      <w:r w:rsidRPr="002F206C" w:rsidR="006B1F37">
        <w:t>r</w:t>
      </w:r>
      <w:r w:rsidRPr="002F206C" w:rsidR="006E0C92">
        <w:t xml:space="preserve"> resources</w:t>
      </w:r>
      <w:r w:rsidRPr="002F206C" w:rsidR="00730A5B">
        <w:t>.  Independent modeling and verification may</w:t>
      </w:r>
      <w:r w:rsidRPr="002F206C" w:rsidR="006E0C92">
        <w:t xml:space="preserve"> </w:t>
      </w:r>
      <w:r w:rsidRPr="002F206C" w:rsidR="00440309">
        <w:t>provid</w:t>
      </w:r>
      <w:r w:rsidRPr="002F206C" w:rsidR="00730A5B">
        <w:t>e</w:t>
      </w:r>
      <w:r w:rsidRPr="002F206C" w:rsidR="00440309">
        <w:t xml:space="preserve"> </w:t>
      </w:r>
      <w:r w:rsidRPr="002F206C">
        <w:t>system</w:t>
      </w:r>
      <w:r w:rsidRPr="002F206C" w:rsidR="00440309">
        <w:t xml:space="preserve"> operators </w:t>
      </w:r>
      <w:r w:rsidRPr="002F206C" w:rsidR="006E0C92">
        <w:t>with greater</w:t>
      </w:r>
      <w:r w:rsidRPr="002F206C" w:rsidR="00440309">
        <w:t xml:space="preserve"> operational awareness and control </w:t>
      </w:r>
      <w:r w:rsidRPr="002F206C" w:rsidR="00F3370B">
        <w:t xml:space="preserve">to address </w:t>
      </w:r>
      <w:r w:rsidRPr="002F206C" w:rsidR="00FC63A5">
        <w:t xml:space="preserve">changing </w:t>
      </w:r>
      <w:r w:rsidRPr="002F206C" w:rsidR="00F3370B">
        <w:t>system conditions</w:t>
      </w:r>
      <w:r w:rsidRPr="002F206C" w:rsidR="00A242C8">
        <w:t xml:space="preserve">. </w:t>
      </w:r>
      <w:r w:rsidRPr="002F206C" w:rsidR="00CF51B7">
        <w:t xml:space="preserve"> </w:t>
      </w:r>
      <w:r w:rsidRPr="002F206C" w:rsidR="00DB1092">
        <w:t>Therefore,</w:t>
      </w:r>
      <w:r w:rsidRPr="002F206C" w:rsidR="00C601EC">
        <w:t xml:space="preserve"> </w:t>
      </w:r>
      <w:r w:rsidRPr="002F206C" w:rsidR="00FF2EBF">
        <w:t xml:space="preserve">to implement </w:t>
      </w:r>
      <w:r w:rsidRPr="002F206C" w:rsidR="00F16837">
        <w:t>§</w:t>
      </w:r>
      <w:r w:rsidRPr="002F206C" w:rsidR="00CC61B2">
        <w:t xml:space="preserve"> 35.28(g)(1</w:t>
      </w:r>
      <w:r w:rsidR="00CD5DB1">
        <w:t>2</w:t>
      </w:r>
      <w:r w:rsidRPr="002F206C" w:rsidR="00CC61B2">
        <w:t>)(ii)(a) of the Commission’s regulations</w:t>
      </w:r>
      <w:r w:rsidRPr="002F206C" w:rsidR="00373768">
        <w:t>,</w:t>
      </w:r>
      <w:r w:rsidRPr="002F206C" w:rsidR="00C601EC">
        <w:t xml:space="preserve"> </w:t>
      </w:r>
      <w:r w:rsidRPr="002F206C" w:rsidR="00702D48">
        <w:t xml:space="preserve">we </w:t>
      </w:r>
      <w:r w:rsidRPr="002F206C" w:rsidR="003E3CB4">
        <w:t>require each</w:t>
      </w:r>
      <w:r w:rsidRPr="002F206C" w:rsidR="00C601EC">
        <w:t xml:space="preserve"> RTO/ISO</w:t>
      </w:r>
      <w:r w:rsidRPr="002F206C" w:rsidR="007A3D34">
        <w:t>,</w:t>
      </w:r>
      <w:r w:rsidRPr="002F206C" w:rsidR="00C601EC">
        <w:t xml:space="preserve"> </w:t>
      </w:r>
      <w:r w:rsidRPr="002F206C" w:rsidR="00CD117F">
        <w:t xml:space="preserve">in compliance with this </w:t>
      </w:r>
      <w:r w:rsidRPr="00D51270" w:rsidR="00D51270">
        <w:t>final rule</w:t>
      </w:r>
      <w:r w:rsidRPr="002F206C" w:rsidR="007A3D34">
        <w:t>,</w:t>
      </w:r>
      <w:r w:rsidRPr="002F206C" w:rsidR="00CD117F">
        <w:t xml:space="preserve"> </w:t>
      </w:r>
      <w:r w:rsidRPr="002F206C" w:rsidR="003E3CB4">
        <w:t xml:space="preserve">to </w:t>
      </w:r>
      <w:r w:rsidRPr="002F206C" w:rsidR="00CD117F">
        <w:t xml:space="preserve">either </w:t>
      </w:r>
      <w:r w:rsidRPr="002F206C" w:rsidR="00C601EC">
        <w:t>propos</w:t>
      </w:r>
      <w:r w:rsidRPr="002F206C" w:rsidR="003E3CB4">
        <w:t>e</w:t>
      </w:r>
      <w:r w:rsidRPr="002F206C" w:rsidR="00C601EC">
        <w:t xml:space="preserve"> a maximum capacity requirement </w:t>
      </w:r>
      <w:r w:rsidRPr="002F206C" w:rsidR="00702D48">
        <w:t xml:space="preserve">for </w:t>
      </w:r>
      <w:r w:rsidRPr="002F206C" w:rsidR="00B74BDB">
        <w:t xml:space="preserve">individual </w:t>
      </w:r>
      <w:r w:rsidRPr="002F206C" w:rsidR="00702D48">
        <w:t xml:space="preserve">distributed energy resources participating in </w:t>
      </w:r>
      <w:r w:rsidRPr="002F206C" w:rsidR="007A3D34">
        <w:t xml:space="preserve">its </w:t>
      </w:r>
      <w:r w:rsidRPr="002F206C" w:rsidR="00702D48">
        <w:t>markets through a distributed energy resource aggregation</w:t>
      </w:r>
      <w:r w:rsidRPr="002F206C" w:rsidR="00C601EC">
        <w:t xml:space="preserve"> </w:t>
      </w:r>
      <w:r w:rsidRPr="002F206C" w:rsidR="00CD117F">
        <w:t>or, alternatively, to</w:t>
      </w:r>
      <w:r w:rsidRPr="002F206C" w:rsidR="003E3CB4">
        <w:t xml:space="preserve"> </w:t>
      </w:r>
      <w:r w:rsidRPr="002F206C" w:rsidR="00CD117F">
        <w:t>explain why such a requirement is not necessary</w:t>
      </w:r>
      <w:r w:rsidRPr="002F206C" w:rsidR="00C601EC">
        <w:t xml:space="preserve">.  </w:t>
      </w:r>
    </w:p>
    <w:p w:rsidR="00E73BEF" w:rsidP="00E73BEF" w:rsidRDefault="00E73BEF" w14:paraId="42263F27" w14:textId="4BBF2A90">
      <w:pPr>
        <w:pStyle w:val="Heading3"/>
      </w:pPr>
      <w:bookmarkStart w:name="_bmk42" w:id="76"/>
      <w:r>
        <w:t>S</w:t>
      </w:r>
      <w:bookmarkEnd w:id="76"/>
      <w:r>
        <w:t>ingle Resource Aggregation</w:t>
      </w:r>
    </w:p>
    <w:p w:rsidR="00E73BEF" w:rsidP="00E73BEF" w:rsidRDefault="00E73BEF" w14:paraId="03BAD414" w14:textId="4AA7B068">
      <w:pPr>
        <w:pStyle w:val="Heading4"/>
      </w:pPr>
      <w:bookmarkStart w:name="_bmk43" w:id="77"/>
      <w:r>
        <w:t>N</w:t>
      </w:r>
      <w:bookmarkEnd w:id="77"/>
      <w:r>
        <w:t>OPR Proposal</w:t>
      </w:r>
    </w:p>
    <w:p w:rsidRPr="0087772C" w:rsidR="0087772C" w:rsidP="0087772C" w:rsidRDefault="00DF3FFB" w14:paraId="1E275FD9" w14:textId="064A816A">
      <w:pPr>
        <w:pStyle w:val="FERCparanumber"/>
      </w:pPr>
      <w:r>
        <w:rPr>
          <w:szCs w:val="26"/>
        </w:rPr>
        <w:t>T</w:t>
      </w:r>
      <w:r w:rsidRPr="004C61B1" w:rsidR="0087772C">
        <w:rPr>
          <w:szCs w:val="26"/>
        </w:rPr>
        <w:t>he NOPR propose</w:t>
      </w:r>
      <w:r w:rsidR="0087772C">
        <w:rPr>
          <w:szCs w:val="26"/>
        </w:rPr>
        <w:t>d</w:t>
      </w:r>
      <w:r>
        <w:rPr>
          <w:szCs w:val="26"/>
        </w:rPr>
        <w:t xml:space="preserve">, consistent with Order No. 719, </w:t>
      </w:r>
      <w:r w:rsidRPr="004C61B1" w:rsidR="0087772C">
        <w:rPr>
          <w:szCs w:val="26"/>
        </w:rPr>
        <w:t>that each RTO/ISO revise its tariff to allow a single qualifying distributed energy resource to avail itself of the proposed distributed energy resource aggregation</w:t>
      </w:r>
      <w:r w:rsidR="000C657C">
        <w:rPr>
          <w:szCs w:val="26"/>
        </w:rPr>
        <w:t xml:space="preserve"> </w:t>
      </w:r>
      <w:r w:rsidRPr="004C61B1" w:rsidR="0087772C">
        <w:rPr>
          <w:szCs w:val="26"/>
        </w:rPr>
        <w:t>rules by serving as its own distributed energy resource aggregator.</w:t>
      </w:r>
      <w:r w:rsidRPr="00367C29" w:rsidR="0087772C">
        <w:rPr>
          <w:rStyle w:val="FootnoteReference"/>
        </w:rPr>
        <w:footnoteReference w:id="457"/>
      </w:r>
    </w:p>
    <w:p w:rsidR="00E73BEF" w:rsidP="00E73BEF" w:rsidRDefault="00E73BEF" w14:paraId="65E2B62B" w14:textId="2B12A57A">
      <w:pPr>
        <w:pStyle w:val="Heading4"/>
      </w:pPr>
      <w:bookmarkStart w:name="_bmk44" w:id="78"/>
      <w:r>
        <w:t>C</w:t>
      </w:r>
      <w:bookmarkEnd w:id="78"/>
      <w:r>
        <w:t>omments</w:t>
      </w:r>
    </w:p>
    <w:p w:rsidRPr="004C61B1" w:rsidR="0087772C" w:rsidP="0087772C" w:rsidRDefault="0087772C" w14:paraId="40ACEE10" w14:textId="607151CD">
      <w:pPr>
        <w:pStyle w:val="FERCparanumber"/>
      </w:pPr>
      <w:r w:rsidRPr="004C61B1">
        <w:rPr>
          <w:szCs w:val="26"/>
        </w:rPr>
        <w:t>AES Companies, NextEra</w:t>
      </w:r>
      <w:r w:rsidR="00D04555">
        <w:rPr>
          <w:szCs w:val="26"/>
        </w:rPr>
        <w:t>,</w:t>
      </w:r>
      <w:r w:rsidRPr="004C61B1">
        <w:rPr>
          <w:szCs w:val="26"/>
        </w:rPr>
        <w:t xml:space="preserve"> and NYISO agree with the Commission’s proposal to require each RTO/ISO to revise its tariff to allow a single qualifying distributed energy resource to avail itself of the proposed distributed energy resource aggregation rules by serving as its own distributed energy resource</w:t>
      </w:r>
      <w:r w:rsidR="001A73C9">
        <w:rPr>
          <w:szCs w:val="26"/>
        </w:rPr>
        <w:t xml:space="preserve"> aggregator</w:t>
      </w:r>
      <w:r w:rsidRPr="004C61B1">
        <w:rPr>
          <w:szCs w:val="26"/>
        </w:rPr>
        <w:t>.</w:t>
      </w:r>
      <w:r w:rsidRPr="00367C29">
        <w:rPr>
          <w:rStyle w:val="FootnoteReference"/>
        </w:rPr>
        <w:footnoteReference w:id="458"/>
      </w:r>
      <w:r w:rsidRPr="004C61B1">
        <w:rPr>
          <w:szCs w:val="26"/>
        </w:rPr>
        <w:t xml:space="preserve">  CAISO states that, consistent with the </w:t>
      </w:r>
      <w:r>
        <w:rPr>
          <w:szCs w:val="26"/>
        </w:rPr>
        <w:t>NOPR</w:t>
      </w:r>
      <w:r w:rsidRPr="004C61B1">
        <w:rPr>
          <w:szCs w:val="26"/>
        </w:rPr>
        <w:t xml:space="preserve"> proposal, </w:t>
      </w:r>
      <w:r>
        <w:rPr>
          <w:szCs w:val="26"/>
        </w:rPr>
        <w:t xml:space="preserve">CAISO allows a </w:t>
      </w:r>
      <w:r w:rsidRPr="004C61B1">
        <w:rPr>
          <w:szCs w:val="26"/>
        </w:rPr>
        <w:t>distributed energy resource provider to aggregate one or more distributed energy resources for purposes of wholesale market participation.</w:t>
      </w:r>
      <w:r w:rsidRPr="00367C29">
        <w:rPr>
          <w:rStyle w:val="FootnoteReference"/>
        </w:rPr>
        <w:footnoteReference w:id="459"/>
      </w:r>
      <w:r w:rsidRPr="004C61B1">
        <w:rPr>
          <w:szCs w:val="26"/>
        </w:rPr>
        <w:t xml:space="preserve">  </w:t>
      </w:r>
    </w:p>
    <w:p w:rsidRPr="0087772C" w:rsidR="0087772C" w:rsidP="0087772C" w:rsidRDefault="0087772C" w14:paraId="0562F711" w14:textId="1EF78AEA">
      <w:pPr>
        <w:pStyle w:val="FERCparanumber"/>
      </w:pPr>
      <w:r w:rsidRPr="004C61B1">
        <w:rPr>
          <w:szCs w:val="26"/>
        </w:rPr>
        <w:t xml:space="preserve">Xcel Energy Services suggests that a higher </w:t>
      </w:r>
      <w:r>
        <w:rPr>
          <w:szCs w:val="26"/>
        </w:rPr>
        <w:t xml:space="preserve">minimum </w:t>
      </w:r>
      <w:r w:rsidRPr="004C61B1">
        <w:rPr>
          <w:szCs w:val="26"/>
        </w:rPr>
        <w:t xml:space="preserve">threshold </w:t>
      </w:r>
      <w:r>
        <w:rPr>
          <w:szCs w:val="26"/>
        </w:rPr>
        <w:t xml:space="preserve">size </w:t>
      </w:r>
      <w:r w:rsidRPr="004C61B1">
        <w:rPr>
          <w:szCs w:val="26"/>
        </w:rPr>
        <w:t>should be established for single distributed energy resource aggregations</w:t>
      </w:r>
      <w:r>
        <w:rPr>
          <w:szCs w:val="26"/>
        </w:rPr>
        <w:t xml:space="preserve"> because a proliferation of individual aggregators could increase administrative costs</w:t>
      </w:r>
      <w:r w:rsidRPr="004C61B1">
        <w:rPr>
          <w:szCs w:val="26"/>
        </w:rPr>
        <w:t>.</w:t>
      </w:r>
      <w:r w:rsidRPr="00367C29">
        <w:rPr>
          <w:rStyle w:val="FootnoteReference"/>
        </w:rPr>
        <w:footnoteReference w:id="460"/>
      </w:r>
      <w:r w:rsidRPr="004C61B1">
        <w:rPr>
          <w:szCs w:val="26"/>
        </w:rPr>
        <w:t xml:space="preserve"> </w:t>
      </w:r>
    </w:p>
    <w:p w:rsidR="00E73BEF" w:rsidP="00E73BEF" w:rsidRDefault="00E73BEF" w14:paraId="7B9857E2" w14:textId="1D393228">
      <w:pPr>
        <w:pStyle w:val="Heading4"/>
      </w:pPr>
      <w:bookmarkStart w:name="_bmk45" w:id="79"/>
      <w:r>
        <w:t>C</w:t>
      </w:r>
      <w:bookmarkEnd w:id="79"/>
      <w:r>
        <w:t>ommission Determination</w:t>
      </w:r>
    </w:p>
    <w:p w:rsidRPr="00BB207E" w:rsidR="0087772C" w:rsidP="0087772C" w:rsidRDefault="00941D1D" w14:paraId="311EAA03" w14:textId="18EDAAB4">
      <w:pPr>
        <w:pStyle w:val="FERCparanumber"/>
      </w:pPr>
      <w:r w:rsidRPr="00942573">
        <w:t xml:space="preserve">To implement </w:t>
      </w:r>
      <w:r w:rsidR="00F16837">
        <w:t>§</w:t>
      </w:r>
      <w:r w:rsidRPr="00942573">
        <w:t xml:space="preserve"> 35.28(g)(</w:t>
      </w:r>
      <w:r>
        <w:t>1</w:t>
      </w:r>
      <w:r w:rsidR="00CD5DB1">
        <w:t>2</w:t>
      </w:r>
      <w:r w:rsidRPr="00942573">
        <w:t>)(</w:t>
      </w:r>
      <w:r>
        <w:t>i</w:t>
      </w:r>
      <w:r w:rsidRPr="00942573">
        <w:t>i)(a) of the Commission’s regulations</w:t>
      </w:r>
      <w:r w:rsidR="0072634E">
        <w:t>, w</w:t>
      </w:r>
      <w:r w:rsidR="0087772C">
        <w:t xml:space="preserve">e adopt the NOPR proposal to require each RTO/ISO to revise its tariff to </w:t>
      </w:r>
      <w:r w:rsidRPr="004C61B1" w:rsidR="0087772C">
        <w:rPr>
          <w:szCs w:val="26"/>
        </w:rPr>
        <w:t>allow a single qualifying distributed energy resource to avail itself of the proposed distributed energy resource aggregation rules by serving as its own distributed energy resource aggregator</w:t>
      </w:r>
      <w:r w:rsidR="0087772C">
        <w:rPr>
          <w:szCs w:val="26"/>
        </w:rPr>
        <w:t>.</w:t>
      </w:r>
      <w:r w:rsidR="00E86186">
        <w:rPr>
          <w:rStyle w:val="FootnoteReference"/>
          <w:szCs w:val="26"/>
        </w:rPr>
        <w:footnoteReference w:id="461"/>
      </w:r>
      <w:r w:rsidR="0087772C">
        <w:rPr>
          <w:szCs w:val="26"/>
        </w:rPr>
        <w:t xml:space="preserve">  </w:t>
      </w:r>
    </w:p>
    <w:p w:rsidRPr="0087772C" w:rsidR="0087772C" w:rsidP="0087772C" w:rsidRDefault="0087772C" w14:paraId="3645DC3C" w14:textId="6710B689">
      <w:pPr>
        <w:pStyle w:val="FERCparanumber"/>
      </w:pPr>
      <w:r>
        <w:rPr>
          <w:szCs w:val="26"/>
        </w:rPr>
        <w:t xml:space="preserve">We decline to require a minimum size greater than 100 kW for a </w:t>
      </w:r>
      <w:r w:rsidRPr="004C61B1">
        <w:rPr>
          <w:szCs w:val="26"/>
        </w:rPr>
        <w:t>single qualifying distributed energy resource</w:t>
      </w:r>
      <w:r>
        <w:rPr>
          <w:szCs w:val="26"/>
        </w:rPr>
        <w:t xml:space="preserve"> that s</w:t>
      </w:r>
      <w:r w:rsidRPr="004C61B1">
        <w:rPr>
          <w:szCs w:val="26"/>
        </w:rPr>
        <w:t>erv</w:t>
      </w:r>
      <w:r>
        <w:rPr>
          <w:szCs w:val="26"/>
        </w:rPr>
        <w:t>es</w:t>
      </w:r>
      <w:r w:rsidRPr="004C61B1">
        <w:rPr>
          <w:szCs w:val="26"/>
        </w:rPr>
        <w:t xml:space="preserve"> as its own distributed energy resource aggregato</w:t>
      </w:r>
      <w:r>
        <w:rPr>
          <w:szCs w:val="26"/>
        </w:rPr>
        <w:t xml:space="preserve">r, as requested by Xcel Energy Services.  </w:t>
      </w:r>
      <w:r w:rsidRPr="00923E6B">
        <w:rPr>
          <w:szCs w:val="26"/>
        </w:rPr>
        <w:t xml:space="preserve">We find </w:t>
      </w:r>
      <w:r w:rsidR="00FA2AB1">
        <w:rPr>
          <w:szCs w:val="26"/>
        </w:rPr>
        <w:t>that</w:t>
      </w:r>
      <w:r w:rsidRPr="00923E6B">
        <w:rPr>
          <w:szCs w:val="26"/>
        </w:rPr>
        <w:t xml:space="preserve"> such a requirement is unnecessary at this time as the 100 kW minimum size requirement is a commonly used resource size that </w:t>
      </w:r>
      <w:r w:rsidR="00064489">
        <w:rPr>
          <w:szCs w:val="26"/>
        </w:rPr>
        <w:t>sh</w:t>
      </w:r>
      <w:r w:rsidRPr="00923E6B">
        <w:rPr>
          <w:szCs w:val="26"/>
        </w:rPr>
        <w:t xml:space="preserve">ould not overburden RTO/ISO modeling software even if </w:t>
      </w:r>
      <w:r w:rsidRPr="00DF3FFB" w:rsidR="00DF3FFB">
        <w:rPr>
          <w:szCs w:val="26"/>
        </w:rPr>
        <w:t xml:space="preserve">many individual resources choose to participate as </w:t>
      </w:r>
      <w:r w:rsidRPr="00923E6B">
        <w:rPr>
          <w:szCs w:val="26"/>
        </w:rPr>
        <w:t>such single distributed energy resource</w:t>
      </w:r>
      <w:r w:rsidR="00653D95">
        <w:rPr>
          <w:szCs w:val="26"/>
        </w:rPr>
        <w:t xml:space="preserve"> aggregations</w:t>
      </w:r>
      <w:r>
        <w:rPr>
          <w:szCs w:val="26"/>
        </w:rPr>
        <w:t xml:space="preserve">.  In addition, </w:t>
      </w:r>
      <w:r w:rsidRPr="00923E6B">
        <w:rPr>
          <w:szCs w:val="26"/>
        </w:rPr>
        <w:t>a consistent minim</w:t>
      </w:r>
      <w:r w:rsidR="00064489">
        <w:rPr>
          <w:szCs w:val="26"/>
        </w:rPr>
        <w:t>um</w:t>
      </w:r>
      <w:r w:rsidRPr="00923E6B">
        <w:rPr>
          <w:szCs w:val="26"/>
        </w:rPr>
        <w:t xml:space="preserve"> size requirement </w:t>
      </w:r>
      <w:r w:rsidR="009C0306">
        <w:rPr>
          <w:szCs w:val="26"/>
        </w:rPr>
        <w:t>for aggregations of both single and multiple</w:t>
      </w:r>
      <w:r w:rsidRPr="00923E6B">
        <w:rPr>
          <w:szCs w:val="26"/>
        </w:rPr>
        <w:t xml:space="preserve"> </w:t>
      </w:r>
      <w:r w:rsidR="009C0306">
        <w:rPr>
          <w:szCs w:val="26"/>
        </w:rPr>
        <w:t xml:space="preserve">distributed energy resources </w:t>
      </w:r>
      <w:r w:rsidRPr="00923E6B">
        <w:rPr>
          <w:szCs w:val="26"/>
        </w:rPr>
        <w:t xml:space="preserve">will </w:t>
      </w:r>
      <w:r>
        <w:rPr>
          <w:szCs w:val="26"/>
        </w:rPr>
        <w:t>minimize</w:t>
      </w:r>
      <w:r w:rsidRPr="00923E6B">
        <w:rPr>
          <w:szCs w:val="26"/>
        </w:rPr>
        <w:t xml:space="preserve"> </w:t>
      </w:r>
      <w:r w:rsidR="00692539">
        <w:rPr>
          <w:szCs w:val="26"/>
        </w:rPr>
        <w:t>barriers</w:t>
      </w:r>
      <w:r w:rsidRPr="00923E6B">
        <w:rPr>
          <w:szCs w:val="26"/>
        </w:rPr>
        <w:t xml:space="preserve"> </w:t>
      </w:r>
      <w:r>
        <w:rPr>
          <w:szCs w:val="26"/>
        </w:rPr>
        <w:t xml:space="preserve">in the event that an </w:t>
      </w:r>
      <w:r w:rsidRPr="00923E6B">
        <w:rPr>
          <w:szCs w:val="26"/>
        </w:rPr>
        <w:t xml:space="preserve">individual distributed energy resource </w:t>
      </w:r>
      <w:r>
        <w:rPr>
          <w:szCs w:val="26"/>
        </w:rPr>
        <w:t>ceases to participate in a multi-resource aggregation and subsequently seeks to participate in RTO/ISO markets as a single qualifying distributed energy resource</w:t>
      </w:r>
      <w:r w:rsidR="00BC2880">
        <w:rPr>
          <w:szCs w:val="26"/>
        </w:rPr>
        <w:t xml:space="preserve"> aggregation</w:t>
      </w:r>
      <w:r w:rsidRPr="00923E6B">
        <w:rPr>
          <w:szCs w:val="26"/>
        </w:rPr>
        <w:t>.</w:t>
      </w:r>
      <w:r w:rsidR="00112963">
        <w:rPr>
          <w:szCs w:val="26"/>
        </w:rPr>
        <w:t xml:space="preserve">  As </w:t>
      </w:r>
      <w:r w:rsidR="00976301">
        <w:rPr>
          <w:szCs w:val="26"/>
        </w:rPr>
        <w:t>discussed above</w:t>
      </w:r>
      <w:r w:rsidR="00112963">
        <w:rPr>
          <w:szCs w:val="26"/>
        </w:rPr>
        <w:t xml:space="preserve"> in </w:t>
      </w:r>
      <w:r w:rsidR="007760C9">
        <w:rPr>
          <w:szCs w:val="26"/>
        </w:rPr>
        <w:t>Section IV.C.5</w:t>
      </w:r>
      <w:r w:rsidR="00112963">
        <w:rPr>
          <w:szCs w:val="26"/>
        </w:rPr>
        <w:t>, a single distributed energy resource aggregation would need to comply with all of the</w:t>
      </w:r>
      <w:r w:rsidR="00F379E2">
        <w:rPr>
          <w:szCs w:val="26"/>
        </w:rPr>
        <w:t xml:space="preserve"> applicable</w:t>
      </w:r>
      <w:r w:rsidR="00112963">
        <w:rPr>
          <w:szCs w:val="26"/>
        </w:rPr>
        <w:t xml:space="preserve"> RTO</w:t>
      </w:r>
      <w:r w:rsidR="000F63D0">
        <w:rPr>
          <w:szCs w:val="26"/>
        </w:rPr>
        <w:t>’s</w:t>
      </w:r>
      <w:r w:rsidR="00112963">
        <w:rPr>
          <w:szCs w:val="26"/>
        </w:rPr>
        <w:t>/ISO</w:t>
      </w:r>
      <w:r w:rsidR="00F379E2">
        <w:rPr>
          <w:szCs w:val="26"/>
        </w:rPr>
        <w:t>’s</w:t>
      </w:r>
      <w:r w:rsidR="00112963">
        <w:rPr>
          <w:szCs w:val="26"/>
        </w:rPr>
        <w:t xml:space="preserve"> requirements, including </w:t>
      </w:r>
      <w:r w:rsidR="00100941">
        <w:rPr>
          <w:szCs w:val="26"/>
        </w:rPr>
        <w:t>any</w:t>
      </w:r>
      <w:r w:rsidR="00112963">
        <w:rPr>
          <w:szCs w:val="26"/>
        </w:rPr>
        <w:t xml:space="preserve"> </w:t>
      </w:r>
      <w:r w:rsidR="006B2CE6">
        <w:rPr>
          <w:szCs w:val="26"/>
        </w:rPr>
        <w:t xml:space="preserve">minimum or </w:t>
      </w:r>
      <w:r w:rsidR="00112963">
        <w:rPr>
          <w:szCs w:val="26"/>
        </w:rPr>
        <w:t xml:space="preserve">maximum </w:t>
      </w:r>
      <w:r w:rsidR="00100941">
        <w:rPr>
          <w:szCs w:val="26"/>
        </w:rPr>
        <w:t>capacity</w:t>
      </w:r>
      <w:r w:rsidR="00112963">
        <w:rPr>
          <w:szCs w:val="26"/>
        </w:rPr>
        <w:t xml:space="preserve"> requirements</w:t>
      </w:r>
      <w:r w:rsidR="00E72F36">
        <w:rPr>
          <w:szCs w:val="26"/>
        </w:rPr>
        <w:t xml:space="preserve"> for individual distributed energy resources</w:t>
      </w:r>
      <w:r w:rsidR="00112963">
        <w:rPr>
          <w:szCs w:val="26"/>
        </w:rPr>
        <w:t>.</w:t>
      </w:r>
      <w:r w:rsidR="00F379E2">
        <w:rPr>
          <w:rStyle w:val="FootnoteReference"/>
          <w:szCs w:val="26"/>
        </w:rPr>
        <w:footnoteReference w:id="462"/>
      </w:r>
      <w:r w:rsidR="00112963">
        <w:rPr>
          <w:szCs w:val="26"/>
        </w:rPr>
        <w:t xml:space="preserve"> </w:t>
      </w:r>
      <w:r w:rsidR="00FA7A06">
        <w:rPr>
          <w:szCs w:val="26"/>
        </w:rPr>
        <w:t xml:space="preserve"> </w:t>
      </w:r>
      <w:r w:rsidR="00E72F36">
        <w:rPr>
          <w:szCs w:val="26"/>
        </w:rPr>
        <w:t>We clarify that</w:t>
      </w:r>
      <w:r w:rsidR="00002542">
        <w:rPr>
          <w:szCs w:val="26"/>
        </w:rPr>
        <w:t>,</w:t>
      </w:r>
      <w:r w:rsidR="00E72F36">
        <w:rPr>
          <w:szCs w:val="26"/>
        </w:rPr>
        <w:t xml:space="preserve"> </w:t>
      </w:r>
      <w:r w:rsidR="00CE3801">
        <w:rPr>
          <w:szCs w:val="26"/>
        </w:rPr>
        <w:t xml:space="preserve">like other </w:t>
      </w:r>
      <w:r w:rsidR="00CE3801">
        <w:rPr>
          <w:lang w:eastAsia="ja-JP"/>
        </w:rPr>
        <w:t>distributed energy resources</w:t>
      </w:r>
      <w:r w:rsidRPr="00A4698D" w:rsidR="00CE3801">
        <w:rPr>
          <w:lang w:eastAsia="ja-JP"/>
        </w:rPr>
        <w:t xml:space="preserve"> </w:t>
      </w:r>
      <w:r w:rsidR="00CE3801">
        <w:rPr>
          <w:lang w:eastAsia="ja-JP"/>
        </w:rPr>
        <w:t>seeking to</w:t>
      </w:r>
      <w:r w:rsidRPr="00A4698D" w:rsidR="00CE3801">
        <w:rPr>
          <w:lang w:eastAsia="ja-JP"/>
        </w:rPr>
        <w:t xml:space="preserve"> participat</w:t>
      </w:r>
      <w:r w:rsidR="00CE3801">
        <w:rPr>
          <w:lang w:eastAsia="ja-JP"/>
        </w:rPr>
        <w:t>e</w:t>
      </w:r>
      <w:r w:rsidRPr="00A4698D" w:rsidR="00CE3801">
        <w:rPr>
          <w:lang w:eastAsia="ja-JP"/>
        </w:rPr>
        <w:t xml:space="preserve"> in </w:t>
      </w:r>
      <w:r w:rsidR="00CE3801">
        <w:rPr>
          <w:lang w:eastAsia="ja-JP"/>
        </w:rPr>
        <w:t xml:space="preserve">RTO/ISO markets exclusively through </w:t>
      </w:r>
      <w:r w:rsidRPr="00A4698D" w:rsidR="00CE3801">
        <w:rPr>
          <w:lang w:eastAsia="ja-JP"/>
        </w:rPr>
        <w:t xml:space="preserve">a </w:t>
      </w:r>
      <w:r w:rsidR="00CE3801">
        <w:rPr>
          <w:lang w:eastAsia="ja-JP"/>
        </w:rPr>
        <w:t>distributed energy</w:t>
      </w:r>
      <w:r w:rsidRPr="00A4698D" w:rsidR="00CE3801">
        <w:rPr>
          <w:lang w:eastAsia="ja-JP"/>
        </w:rPr>
        <w:t xml:space="preserve"> </w:t>
      </w:r>
      <w:r w:rsidR="00CE3801">
        <w:rPr>
          <w:lang w:eastAsia="ja-JP"/>
        </w:rPr>
        <w:t xml:space="preserve">resource </w:t>
      </w:r>
      <w:r w:rsidRPr="00A4698D" w:rsidR="00CE3801">
        <w:rPr>
          <w:lang w:eastAsia="ja-JP"/>
        </w:rPr>
        <w:t>aggregation</w:t>
      </w:r>
      <w:r w:rsidR="00CE3801">
        <w:rPr>
          <w:lang w:eastAsia="ja-JP"/>
        </w:rPr>
        <w:t xml:space="preserve">, we will not exercise jurisdiction over the interconnection to a distribution facility of a distributed energy resource for the purpose of participating in RTO/ISO markets exclusively through a </w:t>
      </w:r>
      <w:r w:rsidR="00637570">
        <w:rPr>
          <w:lang w:eastAsia="ja-JP"/>
        </w:rPr>
        <w:t>single-resource</w:t>
      </w:r>
      <w:r w:rsidR="00CE3801">
        <w:rPr>
          <w:lang w:eastAsia="ja-JP"/>
        </w:rPr>
        <w:t xml:space="preserve"> aggregation.  </w:t>
      </w:r>
      <w:r w:rsidR="00334936">
        <w:rPr>
          <w:lang w:eastAsia="ja-JP"/>
        </w:rPr>
        <w:t>W</w:t>
      </w:r>
      <w:r w:rsidR="00CE3801">
        <w:rPr>
          <w:lang w:eastAsia="ja-JP"/>
        </w:rPr>
        <w:t>e also clarify that</w:t>
      </w:r>
      <w:r w:rsidR="00CE3801">
        <w:rPr>
          <w:szCs w:val="26"/>
        </w:rPr>
        <w:t xml:space="preserve"> </w:t>
      </w:r>
      <w:r w:rsidR="00887A53">
        <w:rPr>
          <w:szCs w:val="26"/>
        </w:rPr>
        <w:t xml:space="preserve">a </w:t>
      </w:r>
      <w:r w:rsidRPr="004C61B1" w:rsidR="00E72F36">
        <w:rPr>
          <w:szCs w:val="26"/>
        </w:rPr>
        <w:t>single qualifying distributed energy resource</w:t>
      </w:r>
      <w:r w:rsidR="00E72F36">
        <w:rPr>
          <w:szCs w:val="26"/>
        </w:rPr>
        <w:t xml:space="preserve"> that s</w:t>
      </w:r>
      <w:r w:rsidRPr="004C61B1" w:rsidR="00E72F36">
        <w:rPr>
          <w:szCs w:val="26"/>
        </w:rPr>
        <w:t>erv</w:t>
      </w:r>
      <w:r w:rsidR="00E72F36">
        <w:rPr>
          <w:szCs w:val="26"/>
        </w:rPr>
        <w:t>es</w:t>
      </w:r>
      <w:r w:rsidRPr="004C61B1" w:rsidR="00E72F36">
        <w:rPr>
          <w:szCs w:val="26"/>
        </w:rPr>
        <w:t xml:space="preserve"> as its own aggregato</w:t>
      </w:r>
      <w:r w:rsidR="00E72F36">
        <w:rPr>
          <w:szCs w:val="26"/>
        </w:rPr>
        <w:t xml:space="preserve">r would </w:t>
      </w:r>
      <w:r w:rsidR="000F3727">
        <w:rPr>
          <w:szCs w:val="26"/>
        </w:rPr>
        <w:t xml:space="preserve">also </w:t>
      </w:r>
      <w:r w:rsidR="00E72F36">
        <w:rPr>
          <w:szCs w:val="26"/>
        </w:rPr>
        <w:t>be subject to any requirements applicable to distributed energy resource aggregators.</w:t>
      </w:r>
    </w:p>
    <w:p w:rsidR="00E73BEF" w:rsidP="00E73BEF" w:rsidRDefault="00E73BEF" w14:paraId="7B069740" w14:textId="0CA008CE">
      <w:pPr>
        <w:pStyle w:val="Heading2"/>
      </w:pPr>
      <w:bookmarkStart w:name="_bmk46" w:id="80"/>
      <w:r>
        <w:t>L</w:t>
      </w:r>
      <w:bookmarkEnd w:id="80"/>
      <w:r>
        <w:t>ocational Requirements</w:t>
      </w:r>
    </w:p>
    <w:p w:rsidR="008D1463" w:rsidP="008D1463" w:rsidRDefault="008D1463" w14:paraId="14101641" w14:textId="77777777">
      <w:pPr>
        <w:pStyle w:val="Heading4"/>
      </w:pPr>
      <w:bookmarkStart w:name="_bmk47" w:id="81"/>
      <w:r>
        <w:t>N</w:t>
      </w:r>
      <w:bookmarkEnd w:id="81"/>
      <w:r>
        <w:t>OPR Proposal</w:t>
      </w:r>
    </w:p>
    <w:p w:rsidR="000C7A7D" w:rsidRDefault="000C7A7D" w14:paraId="11D24D26" w14:textId="1168DADB">
      <w:pPr>
        <w:pStyle w:val="FERCparanumber"/>
      </w:pPr>
      <w:r>
        <w:t>In the NOPR, the Commission stated that it was</w:t>
      </w:r>
      <w:r w:rsidRPr="000C7A7D">
        <w:t xml:space="preserve"> concerned that some existing requirements for aggregations to be located behind a single point of interconnection or pricing node may be overly stringent and may unnecessarily restrict opportunities for distributed energy resources to participate in the </w:t>
      </w:r>
      <w:r>
        <w:t>RTO/ISO</w:t>
      </w:r>
      <w:r w:rsidRPr="000C7A7D">
        <w:t xml:space="preserve"> markets through a distributed energy resource aggregator.</w:t>
      </w:r>
      <w:r>
        <w:rPr>
          <w:rStyle w:val="FootnoteReference"/>
        </w:rPr>
        <w:footnoteReference w:id="463"/>
      </w:r>
      <w:r>
        <w:t xml:space="preserve">  The Commission</w:t>
      </w:r>
      <w:r w:rsidRPr="000C7A7D">
        <w:t xml:space="preserve"> note</w:t>
      </w:r>
      <w:r>
        <w:t>d</w:t>
      </w:r>
      <w:r w:rsidRPr="000C7A7D">
        <w:t xml:space="preserve"> that recent improvements in metering, telemetry, and communication technology should facilitate better situational awareness and enable management of geographically disperse</w:t>
      </w:r>
      <w:r>
        <w:t>d</w:t>
      </w:r>
      <w:r w:rsidRPr="000C7A7D">
        <w:t xml:space="preserve"> distributed energy resource aggregations, potentially rendering such restrictive locational requirements unnecessary.</w:t>
      </w:r>
    </w:p>
    <w:p w:rsidR="00341AEA" w:rsidP="00504771" w:rsidRDefault="000C7A7D" w14:paraId="59A17F8F" w14:textId="74D8C711">
      <w:pPr>
        <w:pStyle w:val="FERCparanumber"/>
      </w:pPr>
      <w:r>
        <w:t>T</w:t>
      </w:r>
      <w:r w:rsidR="00341AEA">
        <w:t>h</w:t>
      </w:r>
      <w:r>
        <w:t>us, th</w:t>
      </w:r>
      <w:r w:rsidR="00341AEA">
        <w:t>e Commission</w:t>
      </w:r>
      <w:r w:rsidRPr="008229CB" w:rsidR="00341AEA">
        <w:t xml:space="preserve"> propose</w:t>
      </w:r>
      <w:r w:rsidR="00341AEA">
        <w:t>d</w:t>
      </w:r>
      <w:r w:rsidRPr="008229CB" w:rsidR="00341AEA">
        <w:t xml:space="preserve"> to require each RTO/ISO to revise its tariff to establish locational requirements for </w:t>
      </w:r>
      <w:r w:rsidR="00341AEA">
        <w:t>distributed energy resource</w:t>
      </w:r>
      <w:r w:rsidRPr="008229CB" w:rsidR="00341AEA">
        <w:t xml:space="preserve">s to participate in a </w:t>
      </w:r>
      <w:r w:rsidR="00341AEA">
        <w:t>distributed energy resource</w:t>
      </w:r>
      <w:r w:rsidRPr="008229CB" w:rsidR="00341AEA">
        <w:t xml:space="preserve"> aggregation that are as geographically broad as technically feasible.</w:t>
      </w:r>
      <w:r w:rsidRPr="00AC20F1" w:rsidR="00341AEA">
        <w:rPr>
          <w:rStyle w:val="FootnoteReference"/>
        </w:rPr>
        <w:footnoteReference w:id="464"/>
      </w:r>
      <w:r w:rsidRPr="008229CB" w:rsidR="00341AEA">
        <w:t xml:space="preserve">  The </w:t>
      </w:r>
      <w:r w:rsidR="00341AEA">
        <w:t>Commission stated that th</w:t>
      </w:r>
      <w:r w:rsidR="002B21C0">
        <w:t>is</w:t>
      </w:r>
      <w:r w:rsidR="00341AEA">
        <w:t xml:space="preserve"> </w:t>
      </w:r>
      <w:r w:rsidRPr="008229CB" w:rsidR="00341AEA">
        <w:t>proposal would give each RTO/ISO flexibility to adopt locational requirements that both allow for the participation of geographically disperse</w:t>
      </w:r>
      <w:r>
        <w:t>d</w:t>
      </w:r>
      <w:r w:rsidRPr="008229CB" w:rsidR="00341AEA">
        <w:t xml:space="preserve"> </w:t>
      </w:r>
      <w:r w:rsidR="00341AEA">
        <w:t>distributed energy resource</w:t>
      </w:r>
      <w:r w:rsidRPr="008229CB" w:rsidR="00341AEA">
        <w:t xml:space="preserve">s in the </w:t>
      </w:r>
      <w:r w:rsidR="001F167F">
        <w:t>RTO/ISO</w:t>
      </w:r>
      <w:r w:rsidRPr="008229CB" w:rsidR="00341AEA">
        <w:t xml:space="preserve"> markets through a </w:t>
      </w:r>
      <w:r w:rsidR="00341AEA">
        <w:t xml:space="preserve">distributed energy resource </w:t>
      </w:r>
      <w:r w:rsidRPr="008229CB" w:rsidR="00341AEA">
        <w:t xml:space="preserve">aggregation, where technically feasible, and </w:t>
      </w:r>
      <w:r w:rsidR="000F3727">
        <w:t xml:space="preserve">also </w:t>
      </w:r>
      <w:r w:rsidRPr="008229CB" w:rsidR="00341AEA">
        <w:t>account for the modeling and dispatch of the RTO’s/ISO’s transmission system.  The</w:t>
      </w:r>
      <w:r w:rsidR="00341AEA">
        <w:t xml:space="preserve"> Commission further acknowledged </w:t>
      </w:r>
      <w:r w:rsidRPr="008229CB" w:rsidR="00341AEA">
        <w:t xml:space="preserve">that the appropriate locational requirements may differ based on the services that a </w:t>
      </w:r>
      <w:r w:rsidR="00341AEA">
        <w:t xml:space="preserve">distributed energy resource </w:t>
      </w:r>
      <w:r w:rsidRPr="008229CB" w:rsidR="00341AEA">
        <w:t>aggregator seeks to provide (e.g., the locational requirements for participation in the day-ahead energy market may differ from those for participation in ancillary service markets).</w:t>
      </w:r>
    </w:p>
    <w:p w:rsidRPr="00ED6F47" w:rsidR="008D1463" w:rsidP="00341AEA" w:rsidRDefault="002B21C0" w14:paraId="4832748F" w14:textId="7DF4F040">
      <w:pPr>
        <w:pStyle w:val="FERCparanumber"/>
      </w:pPr>
      <w:r w:rsidRPr="002B21C0">
        <w:t xml:space="preserve">To the extent that commenters would prefer that </w:t>
      </w:r>
      <w:r>
        <w:t>the Commission</w:t>
      </w:r>
      <w:r w:rsidRPr="002B21C0">
        <w:t xml:space="preserve"> require the RTOs/ISOs to adopt consistent locational requirements</w:t>
      </w:r>
      <w:r>
        <w:t>, t</w:t>
      </w:r>
      <w:r w:rsidR="00341AEA">
        <w:t xml:space="preserve">he Commission sought comment on </w:t>
      </w:r>
      <w:r w:rsidRPr="008229CB" w:rsidR="00341AEA">
        <w:t xml:space="preserve">what locational requirements </w:t>
      </w:r>
      <w:r>
        <w:t>it</w:t>
      </w:r>
      <w:r w:rsidRPr="008229CB" w:rsidR="00341AEA">
        <w:t xml:space="preserve"> could require each RTO/ISO to adopt that would allow </w:t>
      </w:r>
      <w:r w:rsidR="00341AEA">
        <w:t>distributed energy resource</w:t>
      </w:r>
      <w:r w:rsidRPr="008229CB" w:rsidR="00341AEA">
        <w:t xml:space="preserve">s to be aggregated as widely as possible without threatening the reliability of the transmission grid or the efficiency of </w:t>
      </w:r>
      <w:r w:rsidR="001F167F">
        <w:t>RTO/ISO</w:t>
      </w:r>
      <w:r w:rsidRPr="008229CB" w:rsidR="00341AEA">
        <w:t xml:space="preserve"> markets.</w:t>
      </w:r>
      <w:r w:rsidRPr="001C7A7D" w:rsidR="00341AEA">
        <w:rPr>
          <w:rStyle w:val="FootnoteReference"/>
        </w:rPr>
        <w:footnoteReference w:id="465"/>
      </w:r>
      <w:r w:rsidRPr="008229CB" w:rsidR="00341AEA">
        <w:t xml:space="preserve">  The Commission note</w:t>
      </w:r>
      <w:r w:rsidR="00341AEA">
        <w:t>d</w:t>
      </w:r>
      <w:r w:rsidRPr="008229CB" w:rsidR="00341AEA">
        <w:t xml:space="preserve"> that, in some RTOs/ISOs and for some services, the only geographic limitations imposed on </w:t>
      </w:r>
      <w:r w:rsidR="00341AEA">
        <w:t xml:space="preserve">distributed energy resource </w:t>
      </w:r>
      <w:r w:rsidRPr="008229CB" w:rsidR="00341AEA">
        <w:t>aggregations are by zone or due to modeled transmission constraints.</w:t>
      </w:r>
      <w:r w:rsidRPr="001C7A7D" w:rsidR="00341AEA">
        <w:rPr>
          <w:rStyle w:val="FootnoteReference"/>
        </w:rPr>
        <w:footnoteReference w:id="466"/>
      </w:r>
      <w:r w:rsidR="00341AEA">
        <w:t xml:space="preserve">  T</w:t>
      </w:r>
      <w:r w:rsidRPr="008229CB" w:rsidR="00341AEA">
        <w:t xml:space="preserve">he Commission </w:t>
      </w:r>
      <w:r w:rsidR="00341AEA">
        <w:t>also sought</w:t>
      </w:r>
      <w:r w:rsidRPr="008229CB" w:rsidR="00341AEA">
        <w:t xml:space="preserve"> comment on potential concerns about dispatch, pricing, or settlement that the RTOs/ISOs must address if the </w:t>
      </w:r>
      <w:r w:rsidR="00341AEA">
        <w:t>distributed energy resource</w:t>
      </w:r>
      <w:r w:rsidRPr="008229CB" w:rsidR="00341AEA">
        <w:t xml:space="preserve">s in a particular </w:t>
      </w:r>
      <w:r w:rsidR="00341AEA">
        <w:t xml:space="preserve">distributed energy resource </w:t>
      </w:r>
      <w:r w:rsidRPr="008229CB" w:rsidR="00341AEA">
        <w:t>aggregation are not limited to the same pricing node or behind the same point of interconnection.</w:t>
      </w:r>
      <w:r w:rsidRPr="001C7A7D" w:rsidR="00341AEA">
        <w:rPr>
          <w:rStyle w:val="FootnoteReference"/>
        </w:rPr>
        <w:footnoteReference w:id="467"/>
      </w:r>
    </w:p>
    <w:p w:rsidRPr="00ED6F47" w:rsidR="00F1349A" w:rsidP="00341AEA" w:rsidRDefault="00791140" w14:paraId="14131AC0" w14:textId="38B1CFB2">
      <w:pPr>
        <w:pStyle w:val="FERCparanumber"/>
      </w:pPr>
      <w:r>
        <w:t>A</w:t>
      </w:r>
      <w:r w:rsidR="00F1349A">
        <w:t xml:space="preserve">t the </w:t>
      </w:r>
      <w:r w:rsidR="00AD607B">
        <w:t>April 2018</w:t>
      </w:r>
      <w:r w:rsidR="00F1349A">
        <w:t xml:space="preserve"> technical conference, the Commission sought comment on </w:t>
      </w:r>
      <w:r w:rsidR="005237C9">
        <w:t xml:space="preserve">how to </w:t>
      </w:r>
      <w:r>
        <w:t>establish locational requirements for distributed energy resource aggregations that are as broad as technically feasible.</w:t>
      </w:r>
      <w:r>
        <w:rPr>
          <w:rStyle w:val="FootnoteReference"/>
        </w:rPr>
        <w:footnoteReference w:id="468"/>
      </w:r>
      <w:r>
        <w:t xml:space="preserve">  After the technical conference, the Commission sought further comment on how </w:t>
      </w:r>
      <w:r w:rsidR="005237C9">
        <w:t>RTOs/ISOs can</w:t>
      </w:r>
      <w:r>
        <w:t xml:space="preserve"> accurately represent distributed energy resources in </w:t>
      </w:r>
      <w:r w:rsidR="00CA1FA0">
        <w:t>each</w:t>
      </w:r>
      <w:r>
        <w:t xml:space="preserve"> node within a multi-node aggregation</w:t>
      </w:r>
      <w:r w:rsidR="00F1349A">
        <w:t>.</w:t>
      </w:r>
      <w:r w:rsidR="00F1349A">
        <w:rPr>
          <w:rStyle w:val="FootnoteReference"/>
        </w:rPr>
        <w:footnoteReference w:id="469"/>
      </w:r>
      <w:r w:rsidRPr="00C33295" w:rsidR="00F1349A">
        <w:t xml:space="preserve"> </w:t>
      </w:r>
    </w:p>
    <w:p w:rsidR="008D1463" w:rsidP="00DF1FE3" w:rsidRDefault="008D1463" w14:paraId="52AE6D96" w14:textId="77777777">
      <w:pPr>
        <w:pStyle w:val="Heading4"/>
      </w:pPr>
      <w:bookmarkStart w:name="_bmk48" w:id="82"/>
      <w:r>
        <w:t>C</w:t>
      </w:r>
      <w:bookmarkEnd w:id="82"/>
      <w:r>
        <w:t>omments</w:t>
      </w:r>
    </w:p>
    <w:p w:rsidR="00341AEA" w:rsidP="00341AEA" w:rsidRDefault="00341AEA" w14:paraId="4673692F" w14:textId="4036392F">
      <w:pPr>
        <w:pStyle w:val="FERCparanumber"/>
      </w:pPr>
      <w:r w:rsidRPr="00716CDF">
        <w:t xml:space="preserve">Several commenters support the Commission’s proposal to require distributed energy resource </w:t>
      </w:r>
      <w:r w:rsidRPr="00EC719D">
        <w:t>aggregations</w:t>
      </w:r>
      <w:r w:rsidRPr="00716CDF">
        <w:t xml:space="preserve"> that are </w:t>
      </w:r>
      <w:r w:rsidR="004C11C3">
        <w:t xml:space="preserve">as </w:t>
      </w:r>
      <w:r w:rsidRPr="00716CDF">
        <w:t>geographically broad as technically feasible and cite numerous benefits of broad aggregation.</w:t>
      </w:r>
      <w:r w:rsidRPr="001C7A7D">
        <w:rPr>
          <w:rStyle w:val="FootnoteReference"/>
        </w:rPr>
        <w:footnoteReference w:id="470"/>
      </w:r>
      <w:r w:rsidRPr="00716CDF">
        <w:t xml:space="preserve"> </w:t>
      </w:r>
      <w:r>
        <w:t xml:space="preserve"> </w:t>
      </w:r>
      <w:r w:rsidRPr="0097600C">
        <w:rPr>
          <w:color w:val="000000"/>
        </w:rPr>
        <w:t>IRC states</w:t>
      </w:r>
      <w:r w:rsidR="00744BC5">
        <w:rPr>
          <w:color w:val="000000"/>
        </w:rPr>
        <w:t xml:space="preserve"> that</w:t>
      </w:r>
      <w:r w:rsidRPr="0097600C">
        <w:rPr>
          <w:color w:val="000000"/>
        </w:rPr>
        <w:t xml:space="preserve"> this </w:t>
      </w:r>
      <w:r w:rsidR="00AB6F1B">
        <w:rPr>
          <w:color w:val="000000"/>
        </w:rPr>
        <w:t xml:space="preserve">proposal </w:t>
      </w:r>
      <w:r w:rsidRPr="0097600C">
        <w:rPr>
          <w:color w:val="000000"/>
        </w:rPr>
        <w:t xml:space="preserve">strikes the appropriate balance between accommodating smaller </w:t>
      </w:r>
      <w:r w:rsidRPr="00716CDF">
        <w:t xml:space="preserve">distributed energy resources </w:t>
      </w:r>
      <w:r w:rsidRPr="0097600C">
        <w:rPr>
          <w:color w:val="000000"/>
        </w:rPr>
        <w:t>and providing the necessary flexibility to RTOs/ISOs.</w:t>
      </w:r>
      <w:r w:rsidRPr="001C7A7D">
        <w:rPr>
          <w:rStyle w:val="FootnoteReference"/>
        </w:rPr>
        <w:footnoteReference w:id="471"/>
      </w:r>
      <w:r w:rsidRPr="0097600C">
        <w:rPr>
          <w:color w:val="000000"/>
        </w:rPr>
        <w:t xml:space="preserve">  </w:t>
      </w:r>
      <w:r w:rsidRPr="00E6767B">
        <w:t>Advanced Energy Economy contends that aggregation across a broad geographic area is fundamental to the distributed energy resource business model.</w:t>
      </w:r>
      <w:r w:rsidRPr="001C7A7D">
        <w:rPr>
          <w:rStyle w:val="FootnoteReference"/>
        </w:rPr>
        <w:footnoteReference w:id="472"/>
      </w:r>
      <w:r w:rsidRPr="00E6767B">
        <w:t xml:space="preserve">  </w:t>
      </w:r>
      <w:r w:rsidRPr="00716CDF">
        <w:t xml:space="preserve">Advanced Energy Management contends </w:t>
      </w:r>
      <w:r w:rsidR="003F5B69">
        <w:t xml:space="preserve">that </w:t>
      </w:r>
      <w:r w:rsidRPr="00716CDF">
        <w:t>the larger the aggregation, the lower the chance of underperformance.</w:t>
      </w:r>
      <w:r w:rsidRPr="001C7A7D">
        <w:rPr>
          <w:rStyle w:val="FootnoteReference"/>
        </w:rPr>
        <w:footnoteReference w:id="473"/>
      </w:r>
      <w:r w:rsidRPr="00716CDF">
        <w:t xml:space="preserve">  </w:t>
      </w:r>
      <w:r>
        <w:t>Several c</w:t>
      </w:r>
      <w:r w:rsidRPr="00811DF2">
        <w:t>ommenters</w:t>
      </w:r>
      <w:r>
        <w:t xml:space="preserve"> support multi-node aggregation, stating</w:t>
      </w:r>
      <w:r w:rsidR="00335C1C">
        <w:t xml:space="preserve"> that</w:t>
      </w:r>
      <w:r>
        <w:t xml:space="preserve"> it will improve market entry and overall competitive benefits</w:t>
      </w:r>
      <w:r w:rsidRPr="004656B5">
        <w:t>.</w:t>
      </w:r>
      <w:r w:rsidRPr="00367C29">
        <w:rPr>
          <w:rStyle w:val="FootnoteReference"/>
        </w:rPr>
        <w:footnoteReference w:id="474"/>
      </w:r>
      <w:r>
        <w:t xml:space="preserve">  Others </w:t>
      </w:r>
      <w:r w:rsidR="009B7DA4">
        <w:t xml:space="preserve">assert </w:t>
      </w:r>
      <w:r>
        <w:t xml:space="preserve">that multi-node aggregation will improve the services </w:t>
      </w:r>
      <w:r w:rsidR="00C83F1D">
        <w:t xml:space="preserve">that </w:t>
      </w:r>
      <w:r>
        <w:t>distributed energy resource aggregations can provide, enhancing grid resilience and reliability.</w:t>
      </w:r>
      <w:r w:rsidRPr="00367C29">
        <w:rPr>
          <w:rStyle w:val="FootnoteReference"/>
        </w:rPr>
        <w:footnoteReference w:id="475"/>
      </w:r>
      <w:r>
        <w:t xml:space="preserve">  </w:t>
      </w:r>
    </w:p>
    <w:p w:rsidR="00341AEA" w:rsidP="00341AEA" w:rsidRDefault="00341AEA" w14:paraId="5497098A" w14:textId="1D6098BE">
      <w:pPr>
        <w:pStyle w:val="FERCparanumber"/>
      </w:pPr>
      <w:r w:rsidRPr="00716CDF">
        <w:t xml:space="preserve">Several </w:t>
      </w:r>
      <w:r w:rsidRPr="00EC719D">
        <w:t>commenters</w:t>
      </w:r>
      <w:r w:rsidRPr="00716CDF">
        <w:t xml:space="preserve"> highlight examples of current RTO/ISO activities supporting broad geographic </w:t>
      </w:r>
      <w:r w:rsidRPr="00F1281C">
        <w:t>aggregation.  Advanced Energy Economy states that PJM and NYISO have allowed aggregation at a broad level for behind-the-meter resources.</w:t>
      </w:r>
      <w:r w:rsidRPr="001C7A7D">
        <w:rPr>
          <w:rStyle w:val="FootnoteReference"/>
        </w:rPr>
        <w:footnoteReference w:id="476"/>
      </w:r>
      <w:r w:rsidRPr="00F1281C">
        <w:t xml:space="preserve">  </w:t>
      </w:r>
      <w:r>
        <w:t>Several commenters note that</w:t>
      </w:r>
      <w:r w:rsidRPr="00F1281C">
        <w:t xml:space="preserve"> CAISO allows aggregation across nodes by </w:t>
      </w:r>
      <w:r w:rsidRPr="0024073D">
        <w:t>permitting an aggregator to submit distribution factors.</w:t>
      </w:r>
      <w:r w:rsidRPr="001C7A7D">
        <w:rPr>
          <w:rStyle w:val="FootnoteReference"/>
        </w:rPr>
        <w:footnoteReference w:id="477"/>
      </w:r>
      <w:r w:rsidRPr="0024073D">
        <w:t xml:space="preserve">  Advanced Energy Management highlights that ISO-NE allows aggregation at the dispatch zone level</w:t>
      </w:r>
      <w:r>
        <w:t xml:space="preserve">, stating </w:t>
      </w:r>
      <w:r w:rsidR="00C83F1D">
        <w:t xml:space="preserve">that </w:t>
      </w:r>
      <w:r>
        <w:t xml:space="preserve">this </w:t>
      </w:r>
      <w:r w:rsidRPr="0024073D">
        <w:t>suggest</w:t>
      </w:r>
      <w:r>
        <w:t>s</w:t>
      </w:r>
      <w:r w:rsidRPr="0024073D">
        <w:t xml:space="preserve"> </w:t>
      </w:r>
      <w:r w:rsidRPr="00A8195E">
        <w:t xml:space="preserve">that it is technically feasible to aggregate behind-the-meter resources to that level even for energy and ancillary </w:t>
      </w:r>
      <w:r w:rsidR="00C83F1D">
        <w:t xml:space="preserve">services </w:t>
      </w:r>
      <w:r w:rsidRPr="00A8195E">
        <w:t>participation.</w:t>
      </w:r>
      <w:r w:rsidRPr="001C7A7D">
        <w:rPr>
          <w:rStyle w:val="FootnoteReference"/>
        </w:rPr>
        <w:footnoteReference w:id="478"/>
      </w:r>
      <w:r>
        <w:t xml:space="preserve">  </w:t>
      </w:r>
    </w:p>
    <w:p w:rsidRPr="00611023" w:rsidR="00341AEA" w:rsidP="00341AEA" w:rsidRDefault="00341AEA" w14:paraId="4155C854" w14:textId="777140E6">
      <w:pPr>
        <w:pStyle w:val="FERCparanumber"/>
        <w:rPr>
          <w:szCs w:val="26"/>
        </w:rPr>
      </w:pPr>
      <w:r w:rsidRPr="00716CDF">
        <w:t xml:space="preserve">Multiple </w:t>
      </w:r>
      <w:r w:rsidRPr="00EC719D">
        <w:t>commenters</w:t>
      </w:r>
      <w:r w:rsidRPr="00716CDF">
        <w:t xml:space="preserve"> </w:t>
      </w:r>
      <w:r>
        <w:t>also</w:t>
      </w:r>
      <w:r w:rsidRPr="00716CDF">
        <w:t xml:space="preserve"> articulate concerns regarding limiting distributed energy resource aggregations to a single node.</w:t>
      </w:r>
      <w:r>
        <w:rPr>
          <w:rStyle w:val="FootnoteReference"/>
        </w:rPr>
        <w:footnoteReference w:id="479"/>
      </w:r>
      <w:r>
        <w:t xml:space="preserve">  Advanced Energy Economy and </w:t>
      </w:r>
      <w:r w:rsidRPr="00A8195E">
        <w:t xml:space="preserve">Advanced Energy Management </w:t>
      </w:r>
      <w:r>
        <w:t xml:space="preserve">contend that </w:t>
      </w:r>
      <w:r w:rsidRPr="00A8195E">
        <w:t xml:space="preserve">aggregation </w:t>
      </w:r>
      <w:r w:rsidR="005C7D72">
        <w:t>limited to</w:t>
      </w:r>
      <w:r w:rsidRPr="00A8195E">
        <w:t xml:space="preserve"> the nodal level</w:t>
      </w:r>
      <w:r>
        <w:t xml:space="preserve"> will not meet the “geographically broad as technically feasible”</w:t>
      </w:r>
      <w:r w:rsidRPr="00A8195E">
        <w:t xml:space="preserve"> standard</w:t>
      </w:r>
      <w:r>
        <w:t xml:space="preserve">, and </w:t>
      </w:r>
      <w:r w:rsidRPr="00A8195E">
        <w:t xml:space="preserve">Advanced Energy Management asks the Commission to clarify that </w:t>
      </w:r>
      <w:r>
        <w:t>it does not</w:t>
      </w:r>
      <w:r w:rsidRPr="00A8195E">
        <w:t>.</w:t>
      </w:r>
      <w:r w:rsidRPr="001C7A7D">
        <w:rPr>
          <w:rStyle w:val="FootnoteReference"/>
        </w:rPr>
        <w:footnoteReference w:id="480"/>
      </w:r>
      <w:r w:rsidRPr="00E6767B">
        <w:t xml:space="preserve"> </w:t>
      </w:r>
      <w:r>
        <w:t xml:space="preserve"> </w:t>
      </w:r>
      <w:r w:rsidRPr="00811DF2">
        <w:t>Advanced</w:t>
      </w:r>
      <w:r w:rsidRPr="004656B5">
        <w:t xml:space="preserve"> Energy Economy </w:t>
      </w:r>
      <w:r>
        <w:t xml:space="preserve">and CAISO further caution against the economic effects of </w:t>
      </w:r>
      <w:r w:rsidRPr="004656B5">
        <w:t>single-node aggregation</w:t>
      </w:r>
      <w:r>
        <w:t xml:space="preserve">, stating that </w:t>
      </w:r>
      <w:r w:rsidR="00740D12">
        <w:t>it</w:t>
      </w:r>
      <w:r w:rsidRPr="004656B5">
        <w:t xml:space="preserve"> would erode the economics of aggregating </w:t>
      </w:r>
      <w:r>
        <w:t>distributed energy resource</w:t>
      </w:r>
      <w:r w:rsidRPr="004656B5">
        <w:t>s</w:t>
      </w:r>
      <w:r>
        <w:t xml:space="preserve"> and</w:t>
      </w:r>
      <w:r w:rsidRPr="004656B5">
        <w:t xml:space="preserve"> create a barrier to their wholesale market participation.</w:t>
      </w:r>
      <w:r w:rsidRPr="00367C29">
        <w:rPr>
          <w:rStyle w:val="FootnoteReference"/>
        </w:rPr>
        <w:footnoteReference w:id="481"/>
      </w:r>
      <w:r w:rsidRPr="004656B5">
        <w:t xml:space="preserve"> </w:t>
      </w:r>
    </w:p>
    <w:p w:rsidR="00341AEA" w:rsidP="00341AEA" w:rsidRDefault="00341AEA" w14:paraId="31E364A3" w14:textId="75BE0FDB">
      <w:pPr>
        <w:pStyle w:val="FERCparanumber"/>
      </w:pPr>
      <w:r>
        <w:t>S</w:t>
      </w:r>
      <w:r w:rsidRPr="00811DF2">
        <w:t>everal</w:t>
      </w:r>
      <w:r>
        <w:t xml:space="preserve"> commenters </w:t>
      </w:r>
      <w:r w:rsidR="009B7DA4">
        <w:t>state</w:t>
      </w:r>
      <w:r>
        <w:t xml:space="preserve"> that</w:t>
      </w:r>
      <w:r w:rsidR="005E51DC">
        <w:t>,</w:t>
      </w:r>
      <w:r>
        <w:t xml:space="preserve"> at the technical conference</w:t>
      </w:r>
      <w:r w:rsidR="005E51DC">
        <w:t>,</w:t>
      </w:r>
      <w:r>
        <w:t xml:space="preserve"> CAISO and PJM described workable approaches to </w:t>
      </w:r>
      <w:r w:rsidRPr="004656B5">
        <w:t xml:space="preserve">mitigate any reliability concerns and </w:t>
      </w:r>
      <w:r>
        <w:t>to achieve proper price formation for multi-node aggregations of distributed energy resources.</w:t>
      </w:r>
      <w:r w:rsidRPr="00367C29">
        <w:rPr>
          <w:rStyle w:val="FootnoteReference"/>
        </w:rPr>
        <w:footnoteReference w:id="482"/>
      </w:r>
      <w:r>
        <w:t xml:space="preserve">  Other commenters point to approaches </w:t>
      </w:r>
      <w:r w:rsidR="00CB57F1">
        <w:t xml:space="preserve">used </w:t>
      </w:r>
      <w:r>
        <w:t>elsewhere, such as multi-node aggregations of demand response resources in other regions.</w:t>
      </w:r>
      <w:r w:rsidRPr="00367C29">
        <w:rPr>
          <w:rStyle w:val="FootnoteReference"/>
        </w:rPr>
        <w:footnoteReference w:id="483"/>
      </w:r>
      <w:r>
        <w:t xml:space="preserve">  Organization of MISO States </w:t>
      </w:r>
      <w:r w:rsidR="009B7DA4">
        <w:t xml:space="preserve">comments </w:t>
      </w:r>
      <w:r>
        <w:t>that</w:t>
      </w:r>
      <w:r w:rsidR="009B7DA4">
        <w:t>,</w:t>
      </w:r>
      <w:r>
        <w:t xml:space="preserve"> in MISO, multi-node aggregation is allowed for purposes of capacity accreditation, but only for a limited set of resource types.</w:t>
      </w:r>
      <w:r w:rsidRPr="00367C29">
        <w:rPr>
          <w:rStyle w:val="FootnoteReference"/>
        </w:rPr>
        <w:footnoteReference w:id="484"/>
      </w:r>
      <w:r>
        <w:t xml:space="preserve">  </w:t>
      </w:r>
    </w:p>
    <w:p w:rsidR="00341AEA" w:rsidP="00341AEA" w:rsidRDefault="00341AEA" w14:paraId="5DCB5F66" w14:textId="7B0C0C7A">
      <w:pPr>
        <w:pStyle w:val="FERCparanumber"/>
      </w:pPr>
      <w:r>
        <w:t xml:space="preserve">Other </w:t>
      </w:r>
      <w:r w:rsidRPr="00016B05">
        <w:t>commenters</w:t>
      </w:r>
      <w:r>
        <w:t xml:space="preserve"> further express support for the feasibility of dispatching and settling distributed energy resource aggregations across multiple nodes.  For instance, </w:t>
      </w:r>
      <w:r w:rsidRPr="00B84E4A">
        <w:t>PJM explains that it already dispatches demand response resources across varying levels of geographic areas, including across different pricing nodes</w:t>
      </w:r>
      <w:r>
        <w:t xml:space="preserve">, which could be used </w:t>
      </w:r>
      <w:r w:rsidRPr="00B84E4A">
        <w:t>as a foundation for developing similar rules to dispatch distributed energy resources injecting past the applicable retail meter.</w:t>
      </w:r>
      <w:r w:rsidRPr="001C7A7D">
        <w:rPr>
          <w:rStyle w:val="FootnoteReference"/>
        </w:rPr>
        <w:footnoteReference w:id="485"/>
      </w:r>
      <w:r>
        <w:t xml:space="preserve">  </w:t>
      </w:r>
      <w:r w:rsidRPr="00B84E4A">
        <w:t xml:space="preserve">Xcel Energy Services </w:t>
      </w:r>
      <w:r w:rsidR="005E51DC">
        <w:t>states that it</w:t>
      </w:r>
      <w:r w:rsidRPr="00B84E4A">
        <w:t xml:space="preserve"> is not concerned with </w:t>
      </w:r>
      <w:r w:rsidR="005C7D72">
        <w:t xml:space="preserve">aggregations across </w:t>
      </w:r>
      <w:r w:rsidRPr="00B84E4A">
        <w:t xml:space="preserve">multiple nodes if the region has accurate topology models, volumetric weightings, and billing/settlement metering at each location </w:t>
      </w:r>
      <w:r>
        <w:t>(</w:t>
      </w:r>
      <w:r w:rsidRPr="00B84E4A">
        <w:t>and penalties are assessed at the individual resource level to disincentivize gaming, manipulation</w:t>
      </w:r>
      <w:r w:rsidR="0040736B">
        <w:t>,</w:t>
      </w:r>
      <w:r w:rsidRPr="00B84E4A">
        <w:t xml:space="preserve"> and price formation errors</w:t>
      </w:r>
      <w:r>
        <w:t>)</w:t>
      </w:r>
      <w:r w:rsidRPr="00B84E4A">
        <w:t>.</w:t>
      </w:r>
      <w:r w:rsidRPr="001C7A7D">
        <w:rPr>
          <w:rStyle w:val="FootnoteReference"/>
        </w:rPr>
        <w:footnoteReference w:id="486"/>
      </w:r>
      <w:r w:rsidRPr="00B84E4A">
        <w:t xml:space="preserve"> </w:t>
      </w:r>
      <w:r>
        <w:t xml:space="preserve"> </w:t>
      </w:r>
      <w:r w:rsidRPr="00B84E4A">
        <w:t xml:space="preserve">Avangrid contends that provisions that would allow “settlement-only” generation treatment for aggregated distributed energy resources would allow aggregation of these resources on a broader load zone basis for </w:t>
      </w:r>
      <w:r w:rsidRPr="00062211">
        <w:t>energy market settlement.</w:t>
      </w:r>
      <w:r w:rsidRPr="00062211">
        <w:rPr>
          <w:rStyle w:val="FootnoteReference"/>
        </w:rPr>
        <w:footnoteReference w:id="487"/>
      </w:r>
    </w:p>
    <w:p w:rsidR="00341AEA" w:rsidP="00341AEA" w:rsidRDefault="002207F5" w14:paraId="5E17B2DB" w14:textId="61D2AD79">
      <w:pPr>
        <w:pStyle w:val="FERCparanumber"/>
      </w:pPr>
      <w:r>
        <w:t xml:space="preserve">Some commenters address the relationship between the minimum and maximum size requirement for distributed energy resource aggregations and the locational requirements for them.  </w:t>
      </w:r>
      <w:r w:rsidR="00341AEA">
        <w:t xml:space="preserve">Eversource and other commenters state that </w:t>
      </w:r>
      <w:r w:rsidRPr="00811DF2" w:rsidR="00341AEA">
        <w:t>limiting</w:t>
      </w:r>
      <w:r w:rsidRPr="00335E44" w:rsidR="00341AEA">
        <w:t xml:space="preserve"> the maximum size of a </w:t>
      </w:r>
      <w:r w:rsidR="00341AEA">
        <w:t xml:space="preserve">distributed energy resource </w:t>
      </w:r>
      <w:r w:rsidR="00753BD8">
        <w:t>aggregation</w:t>
      </w:r>
      <w:r w:rsidR="00341AEA">
        <w:t xml:space="preserve"> can also mitigate any negative operational impacts</w:t>
      </w:r>
      <w:r w:rsidR="00653D95">
        <w:t xml:space="preserve"> of geographically broad aggregations</w:t>
      </w:r>
      <w:r w:rsidR="00341AEA">
        <w:t>.</w:t>
      </w:r>
      <w:r w:rsidRPr="00367C29" w:rsidR="00341AEA">
        <w:rPr>
          <w:rStyle w:val="FootnoteReference"/>
        </w:rPr>
        <w:footnoteReference w:id="488"/>
      </w:r>
      <w:r w:rsidR="00341AEA">
        <w:t xml:space="preserve">  </w:t>
      </w:r>
      <w:r w:rsidR="004220E9">
        <w:t>Tesla</w:t>
      </w:r>
      <w:r w:rsidR="00B26AC3">
        <w:t>/</w:t>
      </w:r>
      <w:r w:rsidR="004220E9">
        <w:t>Solar City state that a minimum size requirement</w:t>
      </w:r>
      <w:r w:rsidRPr="00716CDF" w:rsidR="004220E9">
        <w:t xml:space="preserve"> </w:t>
      </w:r>
      <w:r w:rsidR="004220E9">
        <w:t xml:space="preserve">of 100 kW would </w:t>
      </w:r>
      <w:r w:rsidRPr="00716CDF" w:rsidR="004220E9">
        <w:t>allow the reasonable development of aggregations within any locational requirement established for distributed energy resource aggregations.</w:t>
      </w:r>
      <w:r w:rsidRPr="001C7A7D" w:rsidR="004220E9">
        <w:rPr>
          <w:rStyle w:val="FootnoteReference"/>
        </w:rPr>
        <w:footnoteReference w:id="489"/>
      </w:r>
      <w:r w:rsidR="004220E9">
        <w:t xml:space="preserve">  In their comments in response to the </w:t>
      </w:r>
      <w:r w:rsidRPr="00D76D26" w:rsidR="004220E9">
        <w:t>Notice Inviting Post-Technical Conference Comments</w:t>
      </w:r>
      <w:r w:rsidR="004220E9">
        <w:t>,</w:t>
      </w:r>
      <w:r w:rsidRPr="00D76D26" w:rsidR="004220E9">
        <w:t xml:space="preserve"> </w:t>
      </w:r>
      <w:r w:rsidR="004220E9">
        <w:t xml:space="preserve">multiple commenters agree that reducing </w:t>
      </w:r>
      <w:r w:rsidRPr="00D410D3" w:rsidR="004220E9">
        <w:t>the minimum size requirement</w:t>
      </w:r>
      <w:r w:rsidRPr="00D410D3" w:rsidR="00DB08A7">
        <w:t xml:space="preserve"> for distributed energy resource aggregations</w:t>
      </w:r>
      <w:r w:rsidRPr="00D410D3" w:rsidR="00191842">
        <w:t xml:space="preserve"> to</w:t>
      </w:r>
      <w:r w:rsidRPr="00D410D3" w:rsidR="004220E9">
        <w:t xml:space="preserve"> </w:t>
      </w:r>
      <w:r w:rsidRPr="00D410D3" w:rsidR="00191842">
        <w:t>100 kW</w:t>
      </w:r>
      <w:r w:rsidR="00191842">
        <w:t xml:space="preserve"> may</w:t>
      </w:r>
      <w:r w:rsidR="004220E9">
        <w:t xml:space="preserve"> alleviate concerns about </w:t>
      </w:r>
      <w:r w:rsidRPr="00573151" w:rsidR="004220E9">
        <w:t>requiring aggregations to be located at a single node.</w:t>
      </w:r>
      <w:r w:rsidRPr="00573151" w:rsidR="004220E9">
        <w:rPr>
          <w:rStyle w:val="FootnoteReference"/>
        </w:rPr>
        <w:footnoteReference w:id="490"/>
      </w:r>
      <w:r w:rsidRPr="00573151" w:rsidR="004220E9">
        <w:t xml:space="preserve">  Organization of MISO States observes that lowering the </w:t>
      </w:r>
      <w:r w:rsidRPr="001B3552" w:rsidR="002E3283">
        <w:t>minimum size requirement for distributed energy resource aggregations</w:t>
      </w:r>
      <w:r w:rsidRPr="00573151" w:rsidR="004220E9">
        <w:t xml:space="preserve"> would decrease</w:t>
      </w:r>
      <w:r w:rsidR="004220E9">
        <w:t xml:space="preserve"> the need for broad aggregation across Local Balancing Authorities and that this could also reduce the size of resources, which inherently lowers any related reliability risk to the system.</w:t>
      </w:r>
      <w:r w:rsidRPr="00367C29" w:rsidR="004220E9">
        <w:rPr>
          <w:rStyle w:val="FootnoteReference"/>
        </w:rPr>
        <w:footnoteReference w:id="491"/>
      </w:r>
      <w:r w:rsidR="004220E9">
        <w:t xml:space="preserve"> </w:t>
      </w:r>
      <w:r w:rsidDel="00A63541" w:rsidR="004220E9">
        <w:rPr>
          <w:rStyle w:val="CommentReference"/>
          <w:rFonts w:ascii="Arial" w:hAnsi="Arial" w:cs="Arial"/>
        </w:rPr>
        <w:t xml:space="preserve"> </w:t>
      </w:r>
      <w:r w:rsidRPr="004656B5" w:rsidR="004220E9">
        <w:t xml:space="preserve">Lorenzo Kristov states </w:t>
      </w:r>
      <w:r w:rsidR="004220E9">
        <w:t>that</w:t>
      </w:r>
      <w:r w:rsidRPr="004656B5" w:rsidR="004220E9">
        <w:t xml:space="preserve"> single-node distributed energy resource aggregations that meet the minimum size threshold would be useful resources for the wholesale market, so the question is whether the additional complexity of multi-node distributed energy resource aggregations has commensurate benefits.</w:t>
      </w:r>
      <w:r w:rsidRPr="00367C29" w:rsidR="004220E9">
        <w:rPr>
          <w:rStyle w:val="FootnoteReference"/>
        </w:rPr>
        <w:footnoteReference w:id="492"/>
      </w:r>
      <w:r w:rsidR="004220E9">
        <w:t xml:space="preserve">  </w:t>
      </w:r>
      <w:r w:rsidRPr="00F91087" w:rsidR="004220E9">
        <w:rPr>
          <w:szCs w:val="26"/>
        </w:rPr>
        <w:t>S</w:t>
      </w:r>
      <w:r w:rsidR="004220E9">
        <w:rPr>
          <w:szCs w:val="26"/>
        </w:rPr>
        <w:t>EIA</w:t>
      </w:r>
      <w:r w:rsidR="004220E9">
        <w:t xml:space="preserve"> states that it supports a 100 kW minimize size limit, but does not support limiting aggregations to single pricing nodes.</w:t>
      </w:r>
      <w:r w:rsidRPr="00367C29" w:rsidR="004220E9">
        <w:rPr>
          <w:rStyle w:val="FootnoteReference"/>
        </w:rPr>
        <w:footnoteReference w:id="493"/>
      </w:r>
      <w:r w:rsidR="00341AEA">
        <w:t xml:space="preserve">  </w:t>
      </w:r>
      <w:r w:rsidR="001C6857">
        <w:t xml:space="preserve">  </w:t>
      </w:r>
    </w:p>
    <w:p w:rsidR="00740D12" w:rsidP="00740D12" w:rsidRDefault="00740D12" w14:paraId="3726C67A" w14:textId="571C8217">
      <w:pPr>
        <w:pStyle w:val="FERCparanumber"/>
      </w:pPr>
      <w:r>
        <w:t>Other</w:t>
      </w:r>
      <w:r w:rsidRPr="00716CDF">
        <w:t xml:space="preserve"> </w:t>
      </w:r>
      <w:r w:rsidRPr="00EC719D">
        <w:t>commenters</w:t>
      </w:r>
      <w:r>
        <w:t>, however,</w:t>
      </w:r>
      <w:r w:rsidRPr="00716CDF">
        <w:t xml:space="preserve"> recommend that the Commission restrict aggregation </w:t>
      </w:r>
      <w:r>
        <w:t xml:space="preserve">to </w:t>
      </w:r>
      <w:r w:rsidRPr="00716CDF">
        <w:t>one pricing node or interconnection point.</w:t>
      </w:r>
      <w:r>
        <w:rPr>
          <w:rStyle w:val="FootnoteReference"/>
        </w:rPr>
        <w:footnoteReference w:id="494"/>
      </w:r>
      <w:r w:rsidRPr="00716CDF">
        <w:t xml:space="preserve">  </w:t>
      </w:r>
      <w:r>
        <w:t xml:space="preserve">Some </w:t>
      </w:r>
      <w:r w:rsidRPr="00EC719D">
        <w:t>commenters</w:t>
      </w:r>
      <w:r>
        <w:t xml:space="preserve"> are concerned that a geographically broad locational requirement could have potential reliability impacts on the distribution system </w:t>
      </w:r>
      <w:r w:rsidR="00BB6052">
        <w:t>or</w:t>
      </w:r>
      <w:r>
        <w:t xml:space="preserve"> the bulk electric system.</w:t>
      </w:r>
      <w:r>
        <w:rPr>
          <w:rStyle w:val="FootnoteReference"/>
        </w:rPr>
        <w:footnoteReference w:id="495"/>
      </w:r>
      <w:r>
        <w:t xml:space="preserve">  For instance, several </w:t>
      </w:r>
      <w:r w:rsidRPr="00EC719D">
        <w:t>RTOs</w:t>
      </w:r>
      <w:r w:rsidRPr="00716CDF">
        <w:t>/ISO</w:t>
      </w:r>
      <w:r w:rsidRPr="00EC719D">
        <w:t>s</w:t>
      </w:r>
      <w:r w:rsidR="00EF2B9C">
        <w:t>, including those that support multi-node aggregations,</w:t>
      </w:r>
      <w:r w:rsidRPr="00716CDF">
        <w:t xml:space="preserve"> express concerns</w:t>
      </w:r>
      <w:r>
        <w:t xml:space="preserve"> related to managing the aggravation of transmission constraints and resulting pricing and operational implications in real time if </w:t>
      </w:r>
      <w:r w:rsidRPr="00716CDF">
        <w:t xml:space="preserve">aggregated resources </w:t>
      </w:r>
      <w:r w:rsidR="001A6BD8">
        <w:t xml:space="preserve">were to </w:t>
      </w:r>
      <w:r w:rsidRPr="00716CDF">
        <w:t>span both sides of a constraint.</w:t>
      </w:r>
      <w:r w:rsidRPr="001C7A7D">
        <w:rPr>
          <w:rStyle w:val="FootnoteReference"/>
        </w:rPr>
        <w:footnoteReference w:id="496"/>
      </w:r>
      <w:r w:rsidRPr="00716CDF">
        <w:t xml:space="preserve">  </w:t>
      </w:r>
      <w:r w:rsidRPr="007756B2" w:rsidR="00C36920">
        <w:t xml:space="preserve">PJM Market Monitor states that the potential addition of more </w:t>
      </w:r>
      <w:r w:rsidR="00C36920">
        <w:t>distributed energy resource</w:t>
      </w:r>
      <w:r w:rsidRPr="007756B2" w:rsidR="00C36920">
        <w:t>s means they should be aggregated at a single node to allow operators to have visibility and control.</w:t>
      </w:r>
      <w:r w:rsidRPr="00D457DD" w:rsidR="00C36920">
        <w:rPr>
          <w:rStyle w:val="FootnoteReference"/>
        </w:rPr>
        <w:footnoteReference w:id="497"/>
      </w:r>
      <w:r w:rsidR="00C36920">
        <w:t xml:space="preserve"> </w:t>
      </w:r>
      <w:r>
        <w:t xml:space="preserve"> PJM Market </w:t>
      </w:r>
      <w:r w:rsidRPr="00811DF2">
        <w:t>Monitor</w:t>
      </w:r>
      <w:r>
        <w:t xml:space="preserve"> asserts that it is impossible to ensure that dispatch of a multi-node aggregation of distributed energy resources does not exacerbate a transmission constraint in a nodal system.</w:t>
      </w:r>
      <w:r w:rsidRPr="00367C29">
        <w:rPr>
          <w:rStyle w:val="FootnoteReference"/>
        </w:rPr>
        <w:footnoteReference w:id="498"/>
      </w:r>
      <w:r>
        <w:t xml:space="preserve">  </w:t>
      </w:r>
    </w:p>
    <w:p w:rsidR="00740D12" w:rsidP="00740D12" w:rsidRDefault="00740D12" w14:paraId="65991A46" w14:textId="2D5073ED">
      <w:pPr>
        <w:pStyle w:val="FERCparanumber"/>
      </w:pPr>
      <w:r w:rsidRPr="00716CDF">
        <w:t xml:space="preserve">NYISO </w:t>
      </w:r>
      <w:r w:rsidRPr="00EC719D">
        <w:t>Indicated</w:t>
      </w:r>
      <w:r w:rsidRPr="00716CDF">
        <w:t xml:space="preserve"> Transmission Owners argue that aggregations spanning more than one transmission zone could present both administrative and operational difficulties for the RTO/ISO and the distribution utility and </w:t>
      </w:r>
      <w:r>
        <w:t>that aggregations should be limited to a single transmission node unless price separation does not exist</w:t>
      </w:r>
      <w:r w:rsidRPr="00716CDF">
        <w:t>.</w:t>
      </w:r>
      <w:r w:rsidRPr="001C7A7D">
        <w:rPr>
          <w:rStyle w:val="FootnoteReference"/>
        </w:rPr>
        <w:footnoteReference w:id="499"/>
      </w:r>
      <w:r>
        <w:t xml:space="preserve">  </w:t>
      </w:r>
      <w:r w:rsidRPr="004656B5">
        <w:t xml:space="preserve">EPSA </w:t>
      </w:r>
      <w:r>
        <w:t xml:space="preserve">and the PJM Market Monitor </w:t>
      </w:r>
      <w:r w:rsidRPr="004656B5">
        <w:t xml:space="preserve">argue that because all the RTOs/ISOs rely on </w:t>
      </w:r>
      <w:r>
        <w:t xml:space="preserve">nodal </w:t>
      </w:r>
      <w:r w:rsidRPr="004656B5">
        <w:t>security constrained economic dispatch</w:t>
      </w:r>
      <w:r>
        <w:t>,</w:t>
      </w:r>
      <w:r w:rsidRPr="004656B5">
        <w:t xml:space="preserve"> it is appropriate for a generic rule</w:t>
      </w:r>
      <w:r>
        <w:t xml:space="preserve"> to</w:t>
      </w:r>
      <w:r w:rsidRPr="004656B5">
        <w:t xml:space="preserve"> limit aggregations to a single node</w:t>
      </w:r>
      <w:r>
        <w:t xml:space="preserve"> to </w:t>
      </w:r>
      <w:r w:rsidRPr="004656B5">
        <w:t>ensure that the markets continue to be efficient and competitive.</w:t>
      </w:r>
      <w:r w:rsidRPr="00D33558">
        <w:rPr>
          <w:rStyle w:val="FootnoteReference"/>
        </w:rPr>
        <w:footnoteReference w:id="500"/>
      </w:r>
      <w:r>
        <w:t xml:space="preserve">  EPRI states that </w:t>
      </w:r>
      <w:r w:rsidRPr="000B150F">
        <w:t xml:space="preserve">aggregations at single nodes would generally be the most beneficial for the </w:t>
      </w:r>
      <w:r>
        <w:t>distributed energy resource</w:t>
      </w:r>
      <w:r w:rsidRPr="000B150F">
        <w:t xml:space="preserve">s financially, </w:t>
      </w:r>
      <w:r w:rsidR="009B7DA4">
        <w:t xml:space="preserve">for </w:t>
      </w:r>
      <w:r w:rsidRPr="000B150F">
        <w:t>the RTOs</w:t>
      </w:r>
      <w:r>
        <w:t>/ISOs</w:t>
      </w:r>
      <w:r w:rsidRPr="000B150F">
        <w:t xml:space="preserve"> </w:t>
      </w:r>
      <w:r w:rsidR="001A6BD8">
        <w:t xml:space="preserve">with respect to </w:t>
      </w:r>
      <w:r w:rsidRPr="000B150F">
        <w:t>reliability, and for consumers economically.</w:t>
      </w:r>
      <w:r w:rsidRPr="00367C29">
        <w:rPr>
          <w:rStyle w:val="FootnoteReference"/>
        </w:rPr>
        <w:footnoteReference w:id="501"/>
      </w:r>
      <w:r>
        <w:t xml:space="preserve">  </w:t>
      </w:r>
      <w:bookmarkStart w:name="_Hlk34767651" w:id="83"/>
      <w:r w:rsidRPr="004656B5">
        <w:t xml:space="preserve">NYISO states that single-node aggregation allows NYISO to telemeter </w:t>
      </w:r>
      <w:r w:rsidR="009B7DA4">
        <w:t>only</w:t>
      </w:r>
      <w:r w:rsidRPr="004656B5">
        <w:t xml:space="preserve"> the aggregation</w:t>
      </w:r>
      <w:r w:rsidR="00C57F1E">
        <w:t xml:space="preserve"> rather than each individual resource within the aggregation</w:t>
      </w:r>
      <w:r w:rsidRPr="004656B5">
        <w:t xml:space="preserve">, </w:t>
      </w:r>
      <w:r w:rsidR="00C57F1E">
        <w:t xml:space="preserve">reducing the cost of participation and </w:t>
      </w:r>
      <w:r w:rsidRPr="004656B5">
        <w:t>better allowing smaller resources to participate in the NYISO markets</w:t>
      </w:r>
      <w:r>
        <w:t>.</w:t>
      </w:r>
      <w:r w:rsidRPr="00367C29">
        <w:rPr>
          <w:rStyle w:val="FootnoteReference"/>
        </w:rPr>
        <w:footnoteReference w:id="502"/>
      </w:r>
      <w:r>
        <w:t xml:space="preserve">  </w:t>
      </w:r>
    </w:p>
    <w:bookmarkEnd w:id="83"/>
    <w:p w:rsidRPr="00FA5179" w:rsidR="00740D12" w:rsidP="00740D12" w:rsidRDefault="00740D12" w14:paraId="3B712804" w14:textId="6A55DBE9">
      <w:pPr>
        <w:pStyle w:val="FERCparanumber"/>
      </w:pPr>
      <w:r>
        <w:t xml:space="preserve">Commenters also </w:t>
      </w:r>
      <w:r w:rsidRPr="00811DF2">
        <w:t>address</w:t>
      </w:r>
      <w:r>
        <w:t xml:space="preserve"> t</w:t>
      </w:r>
      <w:r w:rsidRPr="00204A1C">
        <w:t>he dynamic nature of manag</w:t>
      </w:r>
      <w:r>
        <w:t>ing multi-node aggregations of distributed energy resources</w:t>
      </w:r>
      <w:r w:rsidR="0091076F">
        <w:t>—</w:t>
      </w:r>
      <w:r>
        <w:t>such</w:t>
      </w:r>
      <w:r w:rsidR="0091076F">
        <w:t xml:space="preserve"> </w:t>
      </w:r>
      <w:r>
        <w:t>as the challenges that come from frequent changes in congestion patterns and system topology</w:t>
      </w:r>
      <w:r w:rsidRPr="00204A1C">
        <w:t>.</w:t>
      </w:r>
      <w:r>
        <w:rPr>
          <w:rStyle w:val="FootnoteReference"/>
        </w:rPr>
        <w:footnoteReference w:id="503"/>
      </w:r>
      <w:r w:rsidRPr="00204A1C">
        <w:t xml:space="preserve">  </w:t>
      </w:r>
      <w:r w:rsidRPr="00B84E4A">
        <w:t xml:space="preserve">Several </w:t>
      </w:r>
      <w:r w:rsidRPr="00EC719D">
        <w:t>commenters</w:t>
      </w:r>
      <w:r w:rsidRPr="00B84E4A">
        <w:t xml:space="preserve"> express concerns that a geographically broad locational requirement for </w:t>
      </w:r>
      <w:r>
        <w:t>distributed energy resource</w:t>
      </w:r>
      <w:r w:rsidRPr="00B84E4A">
        <w:t xml:space="preserve"> aggregations could disrupt nodal pricing methods and result in different treatment of resources located at a single node (i.e., </w:t>
      </w:r>
      <w:r>
        <w:t>among</w:t>
      </w:r>
      <w:r w:rsidRPr="00B84E4A">
        <w:t xml:space="preserve"> multi-node </w:t>
      </w:r>
      <w:r>
        <w:t>distributed energy resource</w:t>
      </w:r>
      <w:r w:rsidRPr="00B84E4A">
        <w:t xml:space="preserve"> aggregations and generators).</w:t>
      </w:r>
      <w:r w:rsidRPr="00367C29">
        <w:rPr>
          <w:rStyle w:val="FootnoteReference"/>
        </w:rPr>
        <w:footnoteReference w:id="504"/>
      </w:r>
      <w:r w:rsidRPr="00B84E4A">
        <w:t xml:space="preserve">  </w:t>
      </w:r>
      <w:r>
        <w:t>Calpine states that it may be possible to revisit procedures for multi-node aggregation of distributed energy resources as the system topology changes</w:t>
      </w:r>
      <w:r w:rsidR="007145F8">
        <w:t xml:space="preserve"> due to congestion</w:t>
      </w:r>
      <w:r>
        <w:t xml:space="preserve">, </w:t>
      </w:r>
      <w:r w:rsidR="00FD239B">
        <w:t xml:space="preserve">but that rules associated with locational requirements may </w:t>
      </w:r>
      <w:r w:rsidRPr="004656B5">
        <w:t>not provide the flexibility necessary for the RTOs/ISOs to manage dynamic grid conditions in real time</w:t>
      </w:r>
      <w:r>
        <w:t>.</w:t>
      </w:r>
      <w:r w:rsidRPr="00367C29">
        <w:rPr>
          <w:rStyle w:val="FootnoteReference"/>
        </w:rPr>
        <w:footnoteReference w:id="505"/>
      </w:r>
      <w:r>
        <w:t xml:space="preserve"> </w:t>
      </w:r>
    </w:p>
    <w:p w:rsidR="00341AEA" w:rsidP="00341AEA" w:rsidRDefault="00341AEA" w14:paraId="4E355D7D" w14:textId="493D350A">
      <w:pPr>
        <w:pStyle w:val="FERCparanumber"/>
      </w:pPr>
      <w:r>
        <w:t>W</w:t>
      </w:r>
      <w:r w:rsidRPr="00716CDF">
        <w:t xml:space="preserve">ith respect to </w:t>
      </w:r>
      <w:r>
        <w:t xml:space="preserve">whether </w:t>
      </w:r>
      <w:r w:rsidRPr="00716CDF">
        <w:t>the</w:t>
      </w:r>
      <w:r>
        <w:t xml:space="preserve"> Commission should require the RTOs/ISOs to adopt consistent</w:t>
      </w:r>
      <w:r w:rsidRPr="00716CDF">
        <w:t xml:space="preserve"> locational requirements for distributed energy resource aggregations</w:t>
      </w:r>
      <w:r>
        <w:t>, commenters provide varied recommendations</w:t>
      </w:r>
      <w:r w:rsidRPr="00716CDF">
        <w:t>.  Tesla/SolarCity recommend that the Commission establish consistent locational requirements across the RTOs/ISOs</w:t>
      </w:r>
      <w:r w:rsidR="005A6F71">
        <w:t>, similar to CAISO’s D</w:t>
      </w:r>
      <w:r w:rsidR="00C72434">
        <w:t xml:space="preserve">istributed </w:t>
      </w:r>
      <w:r w:rsidR="005A6F71">
        <w:t>E</w:t>
      </w:r>
      <w:r w:rsidR="00C72434">
        <w:t xml:space="preserve">nergy </w:t>
      </w:r>
      <w:r w:rsidR="005A6F71">
        <w:t>R</w:t>
      </w:r>
      <w:r w:rsidR="00C72434">
        <w:t xml:space="preserve">esource </w:t>
      </w:r>
      <w:r w:rsidR="005A6F71">
        <w:t>P</w:t>
      </w:r>
      <w:r w:rsidR="00C72434">
        <w:t>rovider</w:t>
      </w:r>
      <w:r w:rsidR="005A6F71">
        <w:t xml:space="preserve"> framework</w:t>
      </w:r>
      <w:r w:rsidRPr="00716CDF">
        <w:t>.</w:t>
      </w:r>
      <w:r w:rsidRPr="001C7A7D">
        <w:rPr>
          <w:rStyle w:val="FootnoteReference"/>
        </w:rPr>
        <w:footnoteReference w:id="506"/>
      </w:r>
      <w:r>
        <w:t xml:space="preserve">  </w:t>
      </w:r>
      <w:r w:rsidRPr="00716CDF">
        <w:t>Mensah supports locational requirements by distribution utility zones or defined sub-zone</w:t>
      </w:r>
      <w:r>
        <w:t>s, while noting locational requirements may vary across RTOs/ISOs.</w:t>
      </w:r>
      <w:r w:rsidRPr="001C7A7D" w:rsidR="001A6BD8">
        <w:rPr>
          <w:rStyle w:val="FootnoteReference"/>
        </w:rPr>
        <w:footnoteReference w:id="507"/>
      </w:r>
      <w:r>
        <w:t xml:space="preserve">  Mensah asserts </w:t>
      </w:r>
      <w:r w:rsidR="001A6BD8">
        <w:t>that</w:t>
      </w:r>
      <w:r>
        <w:t xml:space="preserve"> </w:t>
      </w:r>
      <w:r w:rsidRPr="00716CDF">
        <w:t xml:space="preserve">locational requirements </w:t>
      </w:r>
      <w:r>
        <w:t>should be consistent for all wholesale market services within an individual RTO/ISO in order to avoid unnecessary complications</w:t>
      </w:r>
      <w:r w:rsidRPr="00716CDF">
        <w:t>.</w:t>
      </w:r>
    </w:p>
    <w:p w:rsidRPr="007C1690" w:rsidR="00341AEA" w:rsidP="00341AEA" w:rsidRDefault="00341AEA" w14:paraId="70506DC2" w14:textId="6DB1E533">
      <w:pPr>
        <w:pStyle w:val="FERCparanumber"/>
      </w:pPr>
      <w:r w:rsidRPr="00716CDF">
        <w:t xml:space="preserve"> </w:t>
      </w:r>
      <w:r>
        <w:t xml:space="preserve">Other </w:t>
      </w:r>
      <w:r w:rsidRPr="00811DF2">
        <w:t>commenters</w:t>
      </w:r>
      <w:r>
        <w:t xml:space="preserve"> suggest that the RTOs/ISOs should have flexibility to determine the locational requirements appropriate for their region.  </w:t>
      </w:r>
      <w:r w:rsidRPr="00062211">
        <w:rPr>
          <w:szCs w:val="26"/>
        </w:rPr>
        <w:t xml:space="preserve">Noting CAISO’s approach to distributed energy resource aggregation within “sub-zones,” ISO-NE’s approach to self-scheduling distributed energy resources, and </w:t>
      </w:r>
      <w:r w:rsidR="001A6BD8">
        <w:rPr>
          <w:szCs w:val="26"/>
        </w:rPr>
        <w:t xml:space="preserve">the </w:t>
      </w:r>
      <w:r w:rsidRPr="00062211">
        <w:rPr>
          <w:szCs w:val="26"/>
        </w:rPr>
        <w:t>PJM</w:t>
      </w:r>
      <w:r w:rsidR="001A6BD8">
        <w:rPr>
          <w:szCs w:val="26"/>
        </w:rPr>
        <w:t xml:space="preserve"> Market Monitor’s</w:t>
      </w:r>
      <w:r w:rsidRPr="00062211">
        <w:rPr>
          <w:szCs w:val="26"/>
        </w:rPr>
        <w:t xml:space="preserve"> desire for nodal aggregations, MISO argues </w:t>
      </w:r>
      <w:r w:rsidR="001A6BD8">
        <w:rPr>
          <w:szCs w:val="26"/>
        </w:rPr>
        <w:t>that</w:t>
      </w:r>
      <w:r w:rsidRPr="00062211">
        <w:rPr>
          <w:szCs w:val="26"/>
        </w:rPr>
        <w:t xml:space="preserve"> the Commission should allow each RTO/ISO to establish tailored approaches based on </w:t>
      </w:r>
      <w:r w:rsidR="0064421B">
        <w:rPr>
          <w:szCs w:val="26"/>
        </w:rPr>
        <w:t>its</w:t>
      </w:r>
      <w:r w:rsidRPr="00062211" w:rsidR="0064421B">
        <w:rPr>
          <w:szCs w:val="26"/>
        </w:rPr>
        <w:t xml:space="preserve"> </w:t>
      </w:r>
      <w:r w:rsidRPr="00062211">
        <w:rPr>
          <w:szCs w:val="26"/>
        </w:rPr>
        <w:t>regional needs.</w:t>
      </w:r>
      <w:r w:rsidRPr="00367C29">
        <w:rPr>
          <w:rStyle w:val="FootnoteReference"/>
        </w:rPr>
        <w:footnoteReference w:id="508"/>
      </w:r>
      <w:r w:rsidRPr="00062211">
        <w:rPr>
          <w:szCs w:val="26"/>
        </w:rPr>
        <w:t xml:space="preserve">  Similarly, Calpine</w:t>
      </w:r>
      <w:r>
        <w:rPr>
          <w:szCs w:val="26"/>
        </w:rPr>
        <w:t xml:space="preserve"> and SoCal Edison</w:t>
      </w:r>
      <w:r w:rsidRPr="00062211">
        <w:rPr>
          <w:szCs w:val="26"/>
        </w:rPr>
        <w:t xml:space="preserve"> </w:t>
      </w:r>
      <w:r>
        <w:t xml:space="preserve">assert that </w:t>
      </w:r>
      <w:r w:rsidR="001A6BD8">
        <w:t>the Commission</w:t>
      </w:r>
      <w:r w:rsidRPr="004656B5">
        <w:t xml:space="preserve"> </w:t>
      </w:r>
      <w:r>
        <w:t>should</w:t>
      </w:r>
      <w:r w:rsidRPr="004656B5">
        <w:t xml:space="preserve"> allow regional variations.</w:t>
      </w:r>
      <w:r w:rsidRPr="00367C29">
        <w:rPr>
          <w:rStyle w:val="FootnoteReference"/>
        </w:rPr>
        <w:footnoteReference w:id="509"/>
      </w:r>
      <w:r>
        <w:t xml:space="preserve">  PJM asserts that the Commission should require RTOs/ISOs to adopt measures necessary to ensure control of congestion, but should allow flexibility </w:t>
      </w:r>
      <w:r w:rsidR="001A6BD8">
        <w:t>to</w:t>
      </w:r>
      <w:r>
        <w:t xml:space="preserve"> tailor those measures for individual systems.</w:t>
      </w:r>
      <w:r w:rsidRPr="00367C29">
        <w:rPr>
          <w:rStyle w:val="FootnoteReference"/>
        </w:rPr>
        <w:footnoteReference w:id="510"/>
      </w:r>
    </w:p>
    <w:p w:rsidRPr="0089010C" w:rsidR="00341AEA" w:rsidP="00341AEA" w:rsidRDefault="00341AEA" w14:paraId="588F9426" w14:textId="45CBE813">
      <w:pPr>
        <w:pStyle w:val="FERCparanumber"/>
      </w:pPr>
      <w:r>
        <w:t xml:space="preserve">Other </w:t>
      </w:r>
      <w:r w:rsidRPr="00EC719D">
        <w:t>commenters</w:t>
      </w:r>
      <w:r>
        <w:t xml:space="preserve">, including AES Companies and MISO Transmission Owners, argue for regional flexibility but recommend </w:t>
      </w:r>
      <w:r w:rsidR="000F27C3">
        <w:t xml:space="preserve">that </w:t>
      </w:r>
      <w:r>
        <w:t xml:space="preserve">other entities besides the RTOs/ISOs, such as affected </w:t>
      </w:r>
      <w:r w:rsidR="001A6BD8">
        <w:t>b</w:t>
      </w:r>
      <w:r>
        <w:t xml:space="preserve">alancing </w:t>
      </w:r>
      <w:r w:rsidR="001A6BD8">
        <w:t>a</w:t>
      </w:r>
      <w:r>
        <w:t>uthorities, distribution utilities, states, and non-regulated distribution cooperatives, determine the locational requirements</w:t>
      </w:r>
      <w:r w:rsidRPr="00716CDF">
        <w:t>.</w:t>
      </w:r>
      <w:r w:rsidRPr="001C7A7D">
        <w:rPr>
          <w:rStyle w:val="FootnoteReference"/>
        </w:rPr>
        <w:footnoteReference w:id="511"/>
      </w:r>
      <w:r w:rsidRPr="00716CDF">
        <w:t xml:space="preserve">  </w:t>
      </w:r>
    </w:p>
    <w:p w:rsidR="00F023EB" w:rsidP="00F023EB" w:rsidRDefault="00341AEA" w14:paraId="1EBFB6F6" w14:textId="376F0AD9">
      <w:pPr>
        <w:pStyle w:val="FERCparanumber"/>
      </w:pPr>
      <w:r w:rsidRPr="00062211">
        <w:t xml:space="preserve">Several of the commenters that support the Commission adopting rules for multi-node aggregations suggest that the RTOs/ISOs could be </w:t>
      </w:r>
      <w:r>
        <w:t>permitted</w:t>
      </w:r>
      <w:r w:rsidRPr="00062211">
        <w:t xml:space="preserve"> to present evidence</w:t>
      </w:r>
      <w:r w:rsidRPr="004656B5">
        <w:t xml:space="preserve"> in their compliance filings demonstrating that limiting aggregations </w:t>
      </w:r>
      <w:r>
        <w:t xml:space="preserve">is </w:t>
      </w:r>
      <w:r w:rsidRPr="004656B5">
        <w:t>necessary for reliability reasons.</w:t>
      </w:r>
      <w:r w:rsidRPr="00367C29">
        <w:rPr>
          <w:rStyle w:val="FootnoteReference"/>
        </w:rPr>
        <w:footnoteReference w:id="512"/>
      </w:r>
      <w:r>
        <w:t xml:space="preserve">  </w:t>
      </w:r>
      <w:r w:rsidRPr="004656B5">
        <w:t xml:space="preserve">Direct Energy </w:t>
      </w:r>
      <w:r>
        <w:t xml:space="preserve">and NRG argue that </w:t>
      </w:r>
      <w:r w:rsidRPr="004656B5">
        <w:t xml:space="preserve">any limits or boundaries on aggregations </w:t>
      </w:r>
      <w:r>
        <w:t xml:space="preserve">of distributed energy resources </w:t>
      </w:r>
      <w:r w:rsidRPr="004656B5">
        <w:t xml:space="preserve">must be supported by a </w:t>
      </w:r>
      <w:r>
        <w:t>transparent, comprehensive, and</w:t>
      </w:r>
      <w:r w:rsidRPr="004656B5">
        <w:t xml:space="preserve"> data-driven </w:t>
      </w:r>
      <w:r>
        <w:t xml:space="preserve">regional </w:t>
      </w:r>
      <w:r w:rsidRPr="004656B5">
        <w:t xml:space="preserve">analysis, and that </w:t>
      </w:r>
      <w:r w:rsidR="0064421B">
        <w:t>a</w:t>
      </w:r>
      <w:r w:rsidRPr="004656B5">
        <w:t xml:space="preserve"> </w:t>
      </w:r>
      <w:r>
        <w:t>distributed energy resource</w:t>
      </w:r>
      <w:r w:rsidR="0064421B">
        <w:t>’s</w:t>
      </w:r>
      <w:r w:rsidRPr="004656B5">
        <w:t xml:space="preserve"> participation should </w:t>
      </w:r>
      <w:r w:rsidR="00C36920">
        <w:t xml:space="preserve">only </w:t>
      </w:r>
      <w:r w:rsidRPr="004656B5">
        <w:t xml:space="preserve">be </w:t>
      </w:r>
      <w:r w:rsidR="00C36920">
        <w:t>precluded</w:t>
      </w:r>
      <w:r w:rsidRPr="004656B5">
        <w:t xml:space="preserve"> if its participation would undermine reliability.</w:t>
      </w:r>
      <w:r w:rsidRPr="007D495D">
        <w:rPr>
          <w:rStyle w:val="FootnoteReference"/>
        </w:rPr>
        <w:footnoteReference w:id="513"/>
      </w:r>
    </w:p>
    <w:p w:rsidR="008D1463" w:rsidP="008D1463" w:rsidRDefault="008D1463" w14:paraId="6E68AFA0" w14:textId="77777777">
      <w:pPr>
        <w:pStyle w:val="Heading4"/>
      </w:pPr>
      <w:bookmarkStart w:name="_bmk49" w:id="84"/>
      <w:r>
        <w:t>C</w:t>
      </w:r>
      <w:bookmarkEnd w:id="84"/>
      <w:r>
        <w:t>ommission Determination</w:t>
      </w:r>
    </w:p>
    <w:p w:rsidR="003C749A" w:rsidP="002020D2" w:rsidRDefault="00650CD9" w14:paraId="107C82E8" w14:textId="70BA89EA">
      <w:pPr>
        <w:pStyle w:val="FERCparanumber"/>
      </w:pPr>
      <w:r>
        <w:t>We</w:t>
      </w:r>
      <w:r w:rsidRPr="00A54C89" w:rsidR="003C749A">
        <w:t xml:space="preserve"> adopt the NOPR proposal and add </w:t>
      </w:r>
      <w:r w:rsidR="00F16837">
        <w:t>§</w:t>
      </w:r>
      <w:r w:rsidRPr="00A54C89" w:rsidR="003C749A">
        <w:t xml:space="preserve"> 35.</w:t>
      </w:r>
      <w:r w:rsidR="003C749A">
        <w:t>2</w:t>
      </w:r>
      <w:r w:rsidRPr="00494DBC" w:rsidR="003C749A">
        <w:t>8(g)(1</w:t>
      </w:r>
      <w:r w:rsidR="00CD5DB1">
        <w:t>2</w:t>
      </w:r>
      <w:r w:rsidRPr="00494DBC" w:rsidR="003C749A">
        <w:t>)(ii)(</w:t>
      </w:r>
      <w:r w:rsidR="003C749A">
        <w:t>b</w:t>
      </w:r>
      <w:r w:rsidRPr="00494DBC" w:rsidR="003C749A">
        <w:t>)</w:t>
      </w:r>
      <w:r w:rsidRPr="00A54C89" w:rsidR="003C749A">
        <w:t xml:space="preserve"> to the Commission’s regulations</w:t>
      </w:r>
      <w:r w:rsidR="00C24C46">
        <w:t xml:space="preserve"> to </w:t>
      </w:r>
      <w:r w:rsidRPr="008229CB" w:rsidR="00C24C46">
        <w:t xml:space="preserve">require each RTO/ISO to revise its tariff to establish locational requirements for </w:t>
      </w:r>
      <w:r w:rsidR="00C24C46">
        <w:t>distributed energy resource</w:t>
      </w:r>
      <w:r w:rsidRPr="008229CB" w:rsidR="00C24C46">
        <w:t xml:space="preserve">s to participate in a </w:t>
      </w:r>
      <w:r w:rsidR="00C24C46">
        <w:t>distributed energy resource</w:t>
      </w:r>
      <w:r w:rsidRPr="008229CB" w:rsidR="00C24C46">
        <w:t xml:space="preserve"> aggregation</w:t>
      </w:r>
      <w:r w:rsidR="00C24C46">
        <w:t xml:space="preserve"> </w:t>
      </w:r>
      <w:r w:rsidRPr="00B238C8" w:rsidR="00C24C46">
        <w:t>that are as geographically broad as technically feasible</w:t>
      </w:r>
      <w:r w:rsidR="00C24C46">
        <w:t>.</w:t>
      </w:r>
      <w:r w:rsidRPr="00B238C8" w:rsidR="003C749A">
        <w:t xml:space="preserve"> </w:t>
      </w:r>
      <w:r w:rsidR="00C24C46">
        <w:t xml:space="preserve"> However, g</w:t>
      </w:r>
      <w:r w:rsidRPr="00B238C8" w:rsidR="00C24C46">
        <w:t xml:space="preserve">iven the variety of approaches </w:t>
      </w:r>
      <w:r w:rsidR="00C24C46">
        <w:t xml:space="preserve">to locational requirements </w:t>
      </w:r>
      <w:r w:rsidRPr="00B238C8" w:rsidR="00C24C46">
        <w:t xml:space="preserve">proposed by </w:t>
      </w:r>
      <w:r w:rsidR="00C24C46">
        <w:t>commenters, we</w:t>
      </w:r>
      <w:r w:rsidRPr="00B238C8" w:rsidR="003C749A">
        <w:t xml:space="preserve"> </w:t>
      </w:r>
      <w:r w:rsidR="00025144">
        <w:t>will provide</w:t>
      </w:r>
      <w:r w:rsidRPr="00B238C8" w:rsidR="003C749A">
        <w:t xml:space="preserve"> each RTO/ISO </w:t>
      </w:r>
      <w:r w:rsidR="00025144">
        <w:t>with</w:t>
      </w:r>
      <w:r w:rsidRPr="00B238C8" w:rsidR="003C749A">
        <w:t xml:space="preserve"> flexibility to determine the locational requirements for its region</w:t>
      </w:r>
      <w:r w:rsidR="003C2AAF">
        <w:t xml:space="preserve">, </w:t>
      </w:r>
      <w:r w:rsidR="006B0A70">
        <w:t>as</w:t>
      </w:r>
      <w:r w:rsidR="003C2AAF">
        <w:t xml:space="preserve"> long as it </w:t>
      </w:r>
      <w:r w:rsidR="00102397">
        <w:t>demonstrates</w:t>
      </w:r>
      <w:r w:rsidR="003C2AAF">
        <w:t xml:space="preserve"> that those requirements</w:t>
      </w:r>
      <w:r w:rsidRPr="00B238C8" w:rsidR="003C749A">
        <w:t xml:space="preserve"> are as geographically broad as technically feasible.</w:t>
      </w:r>
      <w:r w:rsidRPr="00601B6A" w:rsidR="00601B6A">
        <w:t xml:space="preserve">  </w:t>
      </w:r>
      <w:r w:rsidRPr="00601B6A" w:rsidR="00565FFD">
        <w:t>To the extent that an RTO</w:t>
      </w:r>
      <w:r w:rsidR="00565FFD">
        <w:t>/ISO</w:t>
      </w:r>
      <w:r w:rsidRPr="00601B6A" w:rsidR="00565FFD">
        <w:t xml:space="preserve"> </w:t>
      </w:r>
      <w:r w:rsidR="006B2AB1">
        <w:t>seeks</w:t>
      </w:r>
      <w:r w:rsidRPr="00601B6A" w:rsidR="00565FFD">
        <w:t xml:space="preserve"> to continue its currently</w:t>
      </w:r>
      <w:r w:rsidR="00565FFD">
        <w:t xml:space="preserve"> </w:t>
      </w:r>
      <w:r w:rsidRPr="00601B6A" w:rsidR="00565FFD">
        <w:t xml:space="preserve">effective locational requirements for </w:t>
      </w:r>
      <w:r w:rsidR="00565FFD">
        <w:t>distributed energy resources</w:t>
      </w:r>
      <w:r w:rsidRPr="00601B6A" w:rsidR="00565FFD">
        <w:t xml:space="preserve">, it </w:t>
      </w:r>
      <w:r w:rsidR="006B2AB1">
        <w:t>must</w:t>
      </w:r>
      <w:r w:rsidRPr="00601B6A" w:rsidR="00565FFD">
        <w:t xml:space="preserve"> demonstrate </w:t>
      </w:r>
      <w:r w:rsidR="00721DD6">
        <w:t>on compliance</w:t>
      </w:r>
      <w:r w:rsidRPr="00601B6A" w:rsidR="00565FFD">
        <w:t xml:space="preserve"> that its approach meets this requirement.</w:t>
      </w:r>
      <w:r w:rsidR="00C603F5">
        <w:t xml:space="preserve">  </w:t>
      </w:r>
      <w:r w:rsidRPr="00C603F5" w:rsidR="005F4458">
        <w:t>To comply with this rule, each RTO/ISO must provide a detailed, technical explanation</w:t>
      </w:r>
      <w:r w:rsidR="005F4458">
        <w:t xml:space="preserve"> for the geographical scope of its proposed locational requirements.</w:t>
      </w:r>
      <w:r w:rsidR="002020D2">
        <w:t xml:space="preserve">  </w:t>
      </w:r>
      <w:r w:rsidRPr="002020D2" w:rsidR="002020D2">
        <w:rPr>
          <w:szCs w:val="26"/>
        </w:rPr>
        <w:t>This explanation could include, for example, a discussion of the RTO/ISO’s system topology and regional congestion patterns, or any other</w:t>
      </w:r>
      <w:r w:rsidRPr="001B3552" w:rsidR="002020D2">
        <w:rPr>
          <w:szCs w:val="26"/>
        </w:rPr>
        <w:t xml:space="preserve"> factors that necessitate its proposed locational requirements.</w:t>
      </w:r>
    </w:p>
    <w:p w:rsidRPr="004B3235" w:rsidR="004B3235" w:rsidP="004B3235" w:rsidRDefault="00C24C46" w14:paraId="3445B9E3" w14:textId="6EFD2357">
      <w:pPr>
        <w:pStyle w:val="FERCparanumber"/>
      </w:pPr>
      <w:r>
        <w:t>We</w:t>
      </w:r>
      <w:r w:rsidRPr="00B238C8" w:rsidR="003C749A">
        <w:t xml:space="preserve"> recognize the arguments for both multi-node and single-node aggregations</w:t>
      </w:r>
      <w:r w:rsidR="003C749A">
        <w:t xml:space="preserve">.  </w:t>
      </w:r>
      <w:r w:rsidR="002D76A1">
        <w:t>There are several</w:t>
      </w:r>
      <w:r w:rsidRPr="007D3B41" w:rsidR="003C749A">
        <w:t xml:space="preserve"> benefits of multi-node aggregation</w:t>
      </w:r>
      <w:r w:rsidR="002D76A1">
        <w:t>s, such as</w:t>
      </w:r>
      <w:r w:rsidRPr="007D3B41" w:rsidR="003C749A">
        <w:t xml:space="preserve"> improv</w:t>
      </w:r>
      <w:r w:rsidR="002D76A1">
        <w:t>ed</w:t>
      </w:r>
      <w:r w:rsidRPr="007D3B41" w:rsidR="003C749A">
        <w:t xml:space="preserve"> market entry and competiti</w:t>
      </w:r>
      <w:r w:rsidR="002F31BA">
        <w:t>on</w:t>
      </w:r>
      <w:r w:rsidRPr="007D3B41" w:rsidR="003C749A">
        <w:t xml:space="preserve">, </w:t>
      </w:r>
      <w:r w:rsidR="00832367">
        <w:t>lower chance of underperformance,</w:t>
      </w:r>
      <w:r w:rsidRPr="007D3B41" w:rsidR="003C749A">
        <w:t xml:space="preserve"> </w:t>
      </w:r>
      <w:r w:rsidR="002D76A1">
        <w:t xml:space="preserve">and </w:t>
      </w:r>
      <w:r w:rsidR="00704490">
        <w:t xml:space="preserve">improved services that aggregations </w:t>
      </w:r>
      <w:r w:rsidR="00850237">
        <w:t>can</w:t>
      </w:r>
      <w:r w:rsidR="00704490">
        <w:t xml:space="preserve"> provide</w:t>
      </w:r>
      <w:r w:rsidR="00850237">
        <w:t>.  H</w:t>
      </w:r>
      <w:bookmarkStart w:name="_Hlk34767837" w:id="85"/>
      <w:bookmarkStart w:name="_Hlk34767588" w:id="86"/>
      <w:r w:rsidRPr="00C57F1E" w:rsidR="00826A0B">
        <w:t>owever,</w:t>
      </w:r>
      <w:r w:rsidRPr="00C57F1E" w:rsidR="003C749A">
        <w:t xml:space="preserve"> single-node aggregation</w:t>
      </w:r>
      <w:r w:rsidR="00F95D6E">
        <w:t>s</w:t>
      </w:r>
      <w:r w:rsidRPr="00C57F1E" w:rsidR="003C749A">
        <w:t xml:space="preserve"> </w:t>
      </w:r>
      <w:r w:rsidRPr="00C57F1E">
        <w:t xml:space="preserve">may </w:t>
      </w:r>
      <w:r w:rsidRPr="00C57F1E" w:rsidR="0071066C">
        <w:t xml:space="preserve">reduce the cost of </w:t>
      </w:r>
      <w:r w:rsidRPr="00C57F1E" w:rsidR="00C57F1E">
        <w:t>participation</w:t>
      </w:r>
      <w:r w:rsidRPr="00C57F1E" w:rsidR="0071066C">
        <w:t xml:space="preserve"> </w:t>
      </w:r>
      <w:r w:rsidRPr="00C57F1E" w:rsidR="003C749A">
        <w:t>for</w:t>
      </w:r>
      <w:r w:rsidRPr="007D3B41" w:rsidR="003C749A">
        <w:t xml:space="preserve"> smaller resources </w:t>
      </w:r>
      <w:r w:rsidR="00C57F1E">
        <w:t xml:space="preserve">by telemetering the aggregation rather than each individual resource </w:t>
      </w:r>
      <w:bookmarkEnd w:id="85"/>
      <w:r w:rsidRPr="007D3B41" w:rsidR="003C749A">
        <w:t xml:space="preserve">and allows </w:t>
      </w:r>
      <w:r w:rsidRPr="00C603F5" w:rsidR="003C749A">
        <w:t xml:space="preserve">RTOs/ISOs to better </w:t>
      </w:r>
      <w:r w:rsidR="00C71214">
        <w:t>manage</w:t>
      </w:r>
      <w:r w:rsidRPr="00C603F5" w:rsidR="003C749A">
        <w:t xml:space="preserve"> intra-zonal price congestion.</w:t>
      </w:r>
      <w:bookmarkEnd w:id="86"/>
      <w:r w:rsidRPr="00C603F5" w:rsidR="003C749A">
        <w:t xml:space="preserve"> </w:t>
      </w:r>
      <w:r w:rsidRPr="00C603F5" w:rsidR="004B3235">
        <w:t xml:space="preserve"> Additionally, as discussed above, the reduction of the minimum size</w:t>
      </w:r>
      <w:r w:rsidRPr="004B3235" w:rsidR="004B3235">
        <w:t xml:space="preserve"> requirement for distributed energy resource aggregations will help alleviate commenters’ concerns about requiring aggregations to locate only at a single node.</w:t>
      </w:r>
      <w:r w:rsidRPr="004B3235" w:rsidR="004B3235">
        <w:rPr>
          <w:b/>
          <w:vertAlign w:val="superscript"/>
        </w:rPr>
        <w:footnoteReference w:id="514"/>
      </w:r>
      <w:r w:rsidRPr="004B3235" w:rsidR="004B3235">
        <w:t xml:space="preserve">  </w:t>
      </w:r>
    </w:p>
    <w:p w:rsidR="003C749A" w:rsidP="00AF354A" w:rsidRDefault="003C749A" w14:paraId="2DA3C100" w14:textId="7DD2C691">
      <w:pPr>
        <w:pStyle w:val="FERCparanumber"/>
      </w:pPr>
      <w:r>
        <w:t xml:space="preserve"> We are persuaded by </w:t>
      </w:r>
      <w:r w:rsidR="00850237">
        <w:t xml:space="preserve">comments </w:t>
      </w:r>
      <w:r w:rsidR="0042400A">
        <w:t>that identify</w:t>
      </w:r>
      <w:r>
        <w:t xml:space="preserve"> the </w:t>
      </w:r>
      <w:r w:rsidR="0042400A">
        <w:t>various</w:t>
      </w:r>
      <w:r>
        <w:t xml:space="preserve"> benefits of multi-node distributed energy resource aggregations</w:t>
      </w:r>
      <w:r w:rsidR="004E7FD1">
        <w:t>.</w:t>
      </w:r>
      <w:r w:rsidR="00826A0B">
        <w:t xml:space="preserve">  </w:t>
      </w:r>
      <w:r w:rsidR="00B73393">
        <w:t>I</w:t>
      </w:r>
      <w:r w:rsidR="00D32141">
        <w:t>n particular</w:t>
      </w:r>
      <w:r w:rsidR="00B73393">
        <w:t>, we are</w:t>
      </w:r>
      <w:r w:rsidR="004E7FD1">
        <w:t xml:space="preserve"> persuaded by</w:t>
      </w:r>
      <w:r w:rsidR="00D32141">
        <w:t xml:space="preserve"> CAISO’s arguments that multi-node aggregations </w:t>
      </w:r>
      <w:r w:rsidR="005D6B45">
        <w:t>allow</w:t>
      </w:r>
      <w:r w:rsidR="00D32141">
        <w:t xml:space="preserve"> </w:t>
      </w:r>
      <w:r w:rsidR="00141945">
        <w:t xml:space="preserve">for </w:t>
      </w:r>
      <w:r w:rsidR="00D32141">
        <w:t>greater market participation</w:t>
      </w:r>
      <w:r w:rsidR="00141945">
        <w:t xml:space="preserve"> by reducing transaction costs</w:t>
      </w:r>
      <w:r w:rsidR="00224EA5">
        <w:t xml:space="preserve"> </w:t>
      </w:r>
      <w:r w:rsidR="00C63E25">
        <w:t>and</w:t>
      </w:r>
      <w:r w:rsidR="00197488">
        <w:t xml:space="preserve"> assembling </w:t>
      </w:r>
      <w:r w:rsidR="004D0A79">
        <w:t>appropriately sized resources</w:t>
      </w:r>
      <w:r w:rsidR="006B2D87">
        <w:t xml:space="preserve"> optimized</w:t>
      </w:r>
      <w:r w:rsidR="00674EAD">
        <w:t xml:space="preserve"> for the </w:t>
      </w:r>
      <w:r w:rsidR="008D3E00">
        <w:t>wholesale electricity markets</w:t>
      </w:r>
      <w:r w:rsidR="004E7FD1">
        <w:t xml:space="preserve">, and by PJM’s </w:t>
      </w:r>
      <w:r w:rsidR="00D83917">
        <w:t xml:space="preserve">assertion that </w:t>
      </w:r>
      <w:r w:rsidRPr="00B84E4A" w:rsidR="00D83917">
        <w:t>it already dispatches demand response resources across different pricing nodes</w:t>
      </w:r>
      <w:r w:rsidR="008D3E00">
        <w:t>.</w:t>
      </w:r>
      <w:r w:rsidR="00AA5EEF">
        <w:rPr>
          <w:rStyle w:val="FootnoteReference"/>
        </w:rPr>
        <w:footnoteReference w:id="515"/>
      </w:r>
      <w:r w:rsidR="00C63E25">
        <w:t xml:space="preserve"> </w:t>
      </w:r>
      <w:r w:rsidR="00141945">
        <w:t xml:space="preserve"> </w:t>
      </w:r>
      <w:r w:rsidR="005D6B45">
        <w:t>W</w:t>
      </w:r>
      <w:r>
        <w:t>e believe that the challenges of managing a multi-node aggregation—especially around a transmission constraint—can be overcome through coordination between RTOs/ISOs, aggregators, and distribution system operators.  However</w:t>
      </w:r>
      <w:r w:rsidRPr="00B238C8">
        <w:t>,</w:t>
      </w:r>
      <w:r>
        <w:t xml:space="preserve"> we also recognize </w:t>
      </w:r>
      <w:r w:rsidR="00366C9D">
        <w:t xml:space="preserve">that </w:t>
      </w:r>
      <w:r w:rsidR="000303C6">
        <w:t>existing</w:t>
      </w:r>
      <w:r>
        <w:t xml:space="preserve"> differences</w:t>
      </w:r>
      <w:r w:rsidR="00366C9D">
        <w:t>—both operational and administrative—</w:t>
      </w:r>
      <w:r>
        <w:t>among RTOs/ISOs</w:t>
      </w:r>
      <w:r w:rsidR="00366C9D">
        <w:t xml:space="preserve"> </w:t>
      </w:r>
      <w:r w:rsidR="00A439FC">
        <w:t>make</w:t>
      </w:r>
      <w:r w:rsidR="00C33F44">
        <w:t xml:space="preserve"> such</w:t>
      </w:r>
      <w:r w:rsidR="00A439FC">
        <w:t xml:space="preserve"> a </w:t>
      </w:r>
      <w:r w:rsidR="00823B29">
        <w:t>uniform requirement challenging</w:t>
      </w:r>
      <w:r>
        <w:t xml:space="preserve">.  </w:t>
      </w:r>
      <w:r w:rsidR="002623D2">
        <w:t xml:space="preserve">Those differences are relevant here because </w:t>
      </w:r>
      <w:r w:rsidR="00022399">
        <w:t>some</w:t>
      </w:r>
      <w:r w:rsidR="000F0113">
        <w:t xml:space="preserve"> RTO</w:t>
      </w:r>
      <w:r w:rsidR="00022399">
        <w:t>s</w:t>
      </w:r>
      <w:r w:rsidR="000F0113">
        <w:t>/ISO</w:t>
      </w:r>
      <w:r w:rsidR="00022399">
        <w:t>s</w:t>
      </w:r>
      <w:r w:rsidR="000F0113">
        <w:t xml:space="preserve"> already aggregate resources in a different manner, </w:t>
      </w:r>
      <w:r w:rsidR="005933C0">
        <w:t xml:space="preserve">dynamic changes in </w:t>
      </w:r>
      <w:r w:rsidR="00022399">
        <w:t xml:space="preserve">system topology and congestion patterns </w:t>
      </w:r>
      <w:r w:rsidR="005933C0">
        <w:t>vary</w:t>
      </w:r>
      <w:r w:rsidR="00022399">
        <w:t xml:space="preserve"> across </w:t>
      </w:r>
      <w:r w:rsidR="005933C0">
        <w:t>each RTO/ISO</w:t>
      </w:r>
      <w:r w:rsidR="00022399">
        <w:t xml:space="preserve">, and each </w:t>
      </w:r>
      <w:r w:rsidR="005933C0">
        <w:t xml:space="preserve">RTO/ISO may </w:t>
      </w:r>
      <w:r w:rsidR="002C1D2D">
        <w:t xml:space="preserve">have different solutions </w:t>
      </w:r>
      <w:r w:rsidR="003E418C">
        <w:t xml:space="preserve">addressing </w:t>
      </w:r>
      <w:r w:rsidR="002C1D2D">
        <w:t>reliability impacts on their respective systems</w:t>
      </w:r>
      <w:r w:rsidR="000F732A">
        <w:t xml:space="preserve">.  </w:t>
      </w:r>
      <w:r w:rsidR="008E4E28">
        <w:t>Accordingly</w:t>
      </w:r>
      <w:r w:rsidR="00071643">
        <w:t xml:space="preserve">, </w:t>
      </w:r>
      <w:r w:rsidR="009552E8">
        <w:t xml:space="preserve">while each RTO/ISO must </w:t>
      </w:r>
      <w:r w:rsidRPr="00C603F5" w:rsidR="009552E8">
        <w:t>provide a detailed, technical explanation</w:t>
      </w:r>
      <w:r w:rsidR="009552E8">
        <w:t xml:space="preserve"> for the geographical scope of its proposed locational requirements, this </w:t>
      </w:r>
      <w:r w:rsidRPr="00D51270" w:rsidR="00D51270">
        <w:t>final rule</w:t>
      </w:r>
      <w:r w:rsidRPr="00B238C8">
        <w:t xml:space="preserve"> </w:t>
      </w:r>
      <w:r w:rsidR="009552E8">
        <w:t xml:space="preserve">provides RTOs/ISOs with </w:t>
      </w:r>
      <w:r w:rsidRPr="00B238C8" w:rsidR="009552E8">
        <w:t xml:space="preserve">a certain degree of flexibility </w:t>
      </w:r>
      <w:r w:rsidR="009552E8">
        <w:t>as to the technical aspects of a locational requirement that is as geographically broad as possible.</w:t>
      </w:r>
    </w:p>
    <w:p w:rsidRPr="00E73BEF" w:rsidR="00F023EB" w:rsidP="001B093B" w:rsidRDefault="001B093B" w14:paraId="62F1D948" w14:textId="566EEFC5">
      <w:pPr>
        <w:pStyle w:val="FERCparanumber"/>
      </w:pPr>
      <w:r w:rsidRPr="001B093B">
        <w:t>As to arguments regarding the relative merits of single node and multi-node aggregations, we find that providing RTOs/ISOs with the flexibility to establish their own locational requirements on compliance that are as geographically broad as technically feasible will allow such arguments to be considered in the stakeholder process and in each RTO/ISO-specific compliance proceeding.</w:t>
      </w:r>
      <w:r>
        <w:t xml:space="preserve"> </w:t>
      </w:r>
      <w:r w:rsidRPr="001B093B">
        <w:t xml:space="preserve"> </w:t>
      </w:r>
      <w:r w:rsidR="00C24C46">
        <w:t>We</w:t>
      </w:r>
      <w:r w:rsidRPr="00C43939" w:rsidR="003C749A">
        <w:t xml:space="preserve"> </w:t>
      </w:r>
      <w:r w:rsidR="003C749A">
        <w:t>also</w:t>
      </w:r>
      <w:r w:rsidRPr="00C43939" w:rsidR="003C749A">
        <w:t xml:space="preserve"> </w:t>
      </w:r>
      <w:r w:rsidR="003D6A32">
        <w:t>are not persuaded by</w:t>
      </w:r>
      <w:r w:rsidRPr="00C43939" w:rsidR="003C749A">
        <w:t xml:space="preserve"> Mensah’s and Tesla/SolarCity’s argument</w:t>
      </w:r>
      <w:r w:rsidR="00C24C46">
        <w:t>s</w:t>
      </w:r>
      <w:r w:rsidRPr="00C43939" w:rsidR="003C749A">
        <w:t xml:space="preserve"> for consistent locational requirements</w:t>
      </w:r>
      <w:r w:rsidR="0029516A">
        <w:t xml:space="preserve"> either</w:t>
      </w:r>
      <w:r w:rsidRPr="00716CDF" w:rsidR="0029516A">
        <w:t xml:space="preserve"> across the RTOs/ISOs</w:t>
      </w:r>
      <w:r w:rsidR="0029516A">
        <w:t xml:space="preserve"> or</w:t>
      </w:r>
      <w:r w:rsidRPr="00716CDF" w:rsidR="0029516A">
        <w:t xml:space="preserve"> </w:t>
      </w:r>
      <w:r w:rsidR="0029516A">
        <w:t>for all wholesale market services within an individual RTO/ISO</w:t>
      </w:r>
      <w:r w:rsidRPr="00C43939" w:rsidR="003C749A">
        <w:t xml:space="preserve">.  </w:t>
      </w:r>
      <w:r w:rsidR="00C24C46">
        <w:t>We</w:t>
      </w:r>
      <w:r w:rsidRPr="00C43939" w:rsidR="003C749A">
        <w:t xml:space="preserve"> find </w:t>
      </w:r>
      <w:r w:rsidR="00C24C46">
        <w:t xml:space="preserve">that </w:t>
      </w:r>
      <w:r w:rsidRPr="00C43939" w:rsidR="003C749A">
        <w:t xml:space="preserve">there is no need to standardize the </w:t>
      </w:r>
      <w:r w:rsidR="0029516A">
        <w:t xml:space="preserve">locational </w:t>
      </w:r>
      <w:r w:rsidRPr="00C43939" w:rsidR="003C749A">
        <w:t>requirements</w:t>
      </w:r>
      <w:r w:rsidR="00650CD9">
        <w:t xml:space="preserve"> </w:t>
      </w:r>
      <w:r w:rsidR="00C07457">
        <w:t>and</w:t>
      </w:r>
      <w:r w:rsidR="0029516A">
        <w:t xml:space="preserve"> </w:t>
      </w:r>
      <w:r w:rsidR="00EB79B9">
        <w:t xml:space="preserve">therefore </w:t>
      </w:r>
      <w:r w:rsidR="00C07457">
        <w:t xml:space="preserve">instead </w:t>
      </w:r>
      <w:r w:rsidR="005831B2">
        <w:t xml:space="preserve">provide </w:t>
      </w:r>
      <w:r w:rsidR="00D70265">
        <w:t>the</w:t>
      </w:r>
      <w:r w:rsidDel="00C07457" w:rsidR="00DE1064">
        <w:t xml:space="preserve"> </w:t>
      </w:r>
      <w:r w:rsidR="00DE1064">
        <w:t xml:space="preserve">RTOs/ISOs the flexibility </w:t>
      </w:r>
      <w:r w:rsidR="0029516A">
        <w:t xml:space="preserve">to develop more </w:t>
      </w:r>
      <w:r w:rsidRPr="001B093B" w:rsidR="0029516A">
        <w:rPr>
          <w:szCs w:val="26"/>
        </w:rPr>
        <w:t>tailored approaches based on their regional needs</w:t>
      </w:r>
      <w:r w:rsidRPr="00C43939" w:rsidR="003C749A">
        <w:t xml:space="preserve">.  </w:t>
      </w:r>
      <w:r w:rsidR="003C749A">
        <w:t xml:space="preserve">In addition, </w:t>
      </w:r>
      <w:r w:rsidR="00C24C46">
        <w:t>we</w:t>
      </w:r>
      <w:r w:rsidRPr="00C43939" w:rsidR="003C749A">
        <w:t xml:space="preserve"> </w:t>
      </w:r>
      <w:r w:rsidR="003D6A32">
        <w:t>are not persuaded by</w:t>
      </w:r>
      <w:r w:rsidRPr="00C43939" w:rsidR="003C749A">
        <w:t xml:space="preserve"> AES Companies</w:t>
      </w:r>
      <w:r w:rsidR="00C24C46">
        <w:t>’</w:t>
      </w:r>
      <w:r w:rsidRPr="00C43939" w:rsidR="003C749A">
        <w:t xml:space="preserve"> and MISO Transmission Owners</w:t>
      </w:r>
      <w:r w:rsidR="003C749A">
        <w:t>’</w:t>
      </w:r>
      <w:r w:rsidRPr="00C43939" w:rsidR="003C749A">
        <w:t xml:space="preserve"> argument</w:t>
      </w:r>
      <w:r w:rsidR="00C24C46">
        <w:t>s</w:t>
      </w:r>
      <w:r w:rsidRPr="00C43939" w:rsidR="003C749A">
        <w:t xml:space="preserve"> that entities other than the RTO/ISO </w:t>
      </w:r>
      <w:r w:rsidR="00DE1064">
        <w:t>should</w:t>
      </w:r>
      <w:r w:rsidRPr="00C43939" w:rsidR="003C749A">
        <w:t xml:space="preserve"> determine the locational requirements of distributed energy resources.</w:t>
      </w:r>
      <w:r w:rsidR="00805B1C">
        <w:t xml:space="preserve">  </w:t>
      </w:r>
      <w:r w:rsidR="00867574">
        <w:t xml:space="preserve">We find that </w:t>
      </w:r>
      <w:r w:rsidR="00805B1C">
        <w:t xml:space="preserve">RTOs/ISOs </w:t>
      </w:r>
      <w:r w:rsidR="00867574">
        <w:t xml:space="preserve">have the primary responsibility of </w:t>
      </w:r>
      <w:r w:rsidR="00721AF7">
        <w:t>administering</w:t>
      </w:r>
      <w:r w:rsidR="0083618C">
        <w:t xml:space="preserve"> the regional markets and </w:t>
      </w:r>
      <w:r w:rsidR="00294BC9">
        <w:t>reliably</w:t>
      </w:r>
      <w:r w:rsidR="0083618C">
        <w:t xml:space="preserve"> operating the system</w:t>
      </w:r>
      <w:r w:rsidR="00867574">
        <w:t xml:space="preserve">, and are therefore </w:t>
      </w:r>
      <w:r w:rsidR="00805B1C">
        <w:t xml:space="preserve">in the best position to </w:t>
      </w:r>
      <w:r w:rsidR="003210FE">
        <w:t>propose on compliance the appropriate locational requirements</w:t>
      </w:r>
      <w:r w:rsidR="00012498">
        <w:t xml:space="preserve">, </w:t>
      </w:r>
      <w:r w:rsidR="008E4E28">
        <w:t>as long as they demonstrate that those requirements</w:t>
      </w:r>
      <w:r w:rsidRPr="003210FE" w:rsidR="00012498">
        <w:t xml:space="preserve"> are as geographically broad as technically feasible</w:t>
      </w:r>
      <w:r w:rsidR="00012498">
        <w:t>,</w:t>
      </w:r>
      <w:r w:rsidRPr="003210FE" w:rsidR="003210FE">
        <w:t xml:space="preserve"> </w:t>
      </w:r>
      <w:r w:rsidR="003210FE">
        <w:t xml:space="preserve">to enable </w:t>
      </w:r>
      <w:r w:rsidRPr="003210FE" w:rsidR="003210FE">
        <w:t xml:space="preserve">distributed energy resources to participate in a distributed energy resource aggregation </w:t>
      </w:r>
      <w:r w:rsidR="00012498">
        <w:t xml:space="preserve">for </w:t>
      </w:r>
      <w:r w:rsidR="00E57E2D">
        <w:t>their regions</w:t>
      </w:r>
      <w:r w:rsidR="00805B1C">
        <w:t>.</w:t>
      </w:r>
    </w:p>
    <w:p w:rsidR="00E73BEF" w:rsidP="00E73BEF" w:rsidRDefault="00E73BEF" w14:paraId="51C47E26" w14:textId="5670AB69">
      <w:pPr>
        <w:pStyle w:val="Heading2"/>
      </w:pPr>
      <w:bookmarkStart w:name="_bmk50" w:id="87"/>
      <w:r>
        <w:t>D</w:t>
      </w:r>
      <w:bookmarkEnd w:id="87"/>
      <w:r>
        <w:t>istribution Factors and Bidding Parameters</w:t>
      </w:r>
    </w:p>
    <w:p w:rsidR="008D1463" w:rsidP="008D1463" w:rsidRDefault="008D1463" w14:paraId="56E05CC4" w14:textId="77777777">
      <w:pPr>
        <w:pStyle w:val="Heading4"/>
      </w:pPr>
      <w:bookmarkStart w:name="_bmk51" w:id="88"/>
      <w:r>
        <w:t>N</w:t>
      </w:r>
      <w:bookmarkEnd w:id="88"/>
      <w:r>
        <w:t>OPR Proposal</w:t>
      </w:r>
    </w:p>
    <w:p w:rsidR="008D1463" w:rsidP="003C749A" w:rsidRDefault="003C749A" w14:paraId="7853B2AD" w14:textId="7B4E1FA9">
      <w:pPr>
        <w:pStyle w:val="FERCparanumber"/>
      </w:pPr>
      <w:r>
        <w:t>In the NOPR, the Commission proposed to require each RTO/ISO to revise its tariff to include the requirement that distributed energy resource aggregators (1)</w:t>
      </w:r>
      <w:r w:rsidR="000A052A">
        <w:t> </w:t>
      </w:r>
      <w:r>
        <w:t>provide default distribution factors</w:t>
      </w:r>
      <w:r w:rsidRPr="000D5DA4" w:rsidR="000D5DA4">
        <w:rPr>
          <w:b/>
          <w:vertAlign w:val="superscript"/>
        </w:rPr>
        <w:footnoteReference w:id="516"/>
      </w:r>
      <w:r>
        <w:t xml:space="preserve"> when they register their distributed energy resource aggregation</w:t>
      </w:r>
      <w:r w:rsidR="00D83BB6">
        <w:t>;</w:t>
      </w:r>
      <w:r>
        <w:t xml:space="preserve"> and (2) update those distribution factors if necessary when they submit offers to sell or bids to buy into the </w:t>
      </w:r>
      <w:r w:rsidR="004839E0">
        <w:t>RTO/ISO</w:t>
      </w:r>
      <w:r>
        <w:t xml:space="preserve"> markets.</w:t>
      </w:r>
      <w:r w:rsidRPr="00367C29">
        <w:rPr>
          <w:rStyle w:val="FootnoteReference"/>
        </w:rPr>
        <w:footnoteReference w:id="517"/>
      </w:r>
      <w:r>
        <w:t xml:space="preserve">  The Commission also proposed to require each RTO/ISO to revise the bidding parameters for each participation model in its tariff to allow distributed energy resource aggregators to update their distribution factors when participating in </w:t>
      </w:r>
      <w:r w:rsidR="004839E0">
        <w:t>RTO/ISO</w:t>
      </w:r>
      <w:r>
        <w:t xml:space="preserve"> markets.  The Commission sought comment on this proposal as well as comment on alternative approaches that may provide the RTOs/ISOs with the information from geographically or electrically disperse</w:t>
      </w:r>
      <w:r w:rsidR="00D9048C">
        <w:t>d</w:t>
      </w:r>
      <w:r>
        <w:t xml:space="preserve"> resources in a distributed energy resource aggregation necessary to reliably operate their systems.  The Commission also sought comment on whether bidding parameters in addition to those already incorporated into existing participation models may be necessary to adequately characterize the physical or operational characteristics of distributed energy resource aggregations.    </w:t>
      </w:r>
    </w:p>
    <w:p w:rsidRPr="00ED6F47" w:rsidR="000D761F" w:rsidP="003C749A" w:rsidRDefault="00A665F5" w14:paraId="37C2098D" w14:textId="03110238">
      <w:pPr>
        <w:pStyle w:val="FERCparanumber"/>
      </w:pPr>
      <w:r>
        <w:t xml:space="preserve">After the </w:t>
      </w:r>
      <w:r w:rsidR="00843131">
        <w:t>April 2018</w:t>
      </w:r>
      <w:r>
        <w:t xml:space="preserve"> technical conference, </w:t>
      </w:r>
      <w:r w:rsidR="000D761F">
        <w:t>the Commission</w:t>
      </w:r>
      <w:r w:rsidRPr="000D761F" w:rsidR="000D761F">
        <w:t xml:space="preserve"> s</w:t>
      </w:r>
      <w:r w:rsidR="000D761F">
        <w:t>ought</w:t>
      </w:r>
      <w:r w:rsidRPr="000D761F" w:rsidR="000D761F">
        <w:t xml:space="preserve"> additional information about bidding parameters or other potential mechanisms needed to represent the physical and operational characteristics of </w:t>
      </w:r>
      <w:r w:rsidR="000D761F">
        <w:t>distributed energy resource</w:t>
      </w:r>
      <w:r w:rsidRPr="000D761F" w:rsidR="000D761F">
        <w:t xml:space="preserve"> aggregations in RTO/ISO markets.</w:t>
      </w:r>
      <w:r>
        <w:rPr>
          <w:rStyle w:val="FootnoteReference"/>
        </w:rPr>
        <w:footnoteReference w:id="518"/>
      </w:r>
      <w:r w:rsidRPr="000D761F" w:rsidR="000D761F">
        <w:t xml:space="preserve">  </w:t>
      </w:r>
    </w:p>
    <w:p w:rsidR="008D1463" w:rsidP="008D1463" w:rsidRDefault="008D1463" w14:paraId="3DFA9122" w14:textId="77777777">
      <w:pPr>
        <w:pStyle w:val="Heading4"/>
      </w:pPr>
      <w:bookmarkStart w:name="_bmk52" w:id="89"/>
      <w:r>
        <w:t>C</w:t>
      </w:r>
      <w:bookmarkEnd w:id="89"/>
      <w:r>
        <w:t>omments</w:t>
      </w:r>
    </w:p>
    <w:p w:rsidRPr="00716CDF" w:rsidR="003C749A" w:rsidP="003C749A" w:rsidRDefault="003C749A" w14:paraId="0EE95F36" w14:textId="4E2B81DB">
      <w:pPr>
        <w:pStyle w:val="FERCparanumber"/>
      </w:pPr>
      <w:r w:rsidRPr="00716CDF">
        <w:t xml:space="preserve">A number of commenters support the Commission’s </w:t>
      </w:r>
      <w:r>
        <w:t>proposed requirement</w:t>
      </w:r>
      <w:r w:rsidRPr="00716CDF">
        <w:t xml:space="preserve"> </w:t>
      </w:r>
      <w:r w:rsidR="004839E0">
        <w:t xml:space="preserve">for </w:t>
      </w:r>
      <w:r w:rsidRPr="00716CDF">
        <w:t xml:space="preserve">distributed energy resource aggregators </w:t>
      </w:r>
      <w:r w:rsidR="004839E0">
        <w:t xml:space="preserve">to </w:t>
      </w:r>
      <w:r w:rsidRPr="00716CDF">
        <w:t xml:space="preserve">provide default distribution factors to the RTO/ISO when </w:t>
      </w:r>
      <w:r w:rsidR="004839E0">
        <w:t xml:space="preserve">registering </w:t>
      </w:r>
      <w:r w:rsidRPr="00716CDF">
        <w:t xml:space="preserve">distributed energy resource aggregations and </w:t>
      </w:r>
      <w:r w:rsidR="004839E0">
        <w:t>to</w:t>
      </w:r>
      <w:r w:rsidRPr="00716CDF">
        <w:t xml:space="preserve"> update those d</w:t>
      </w:r>
      <w:r>
        <w:t>istribution factors as necessary</w:t>
      </w:r>
      <w:r w:rsidRPr="00716CDF">
        <w:t>.</w:t>
      </w:r>
      <w:r w:rsidRPr="00DC118A">
        <w:rPr>
          <w:rStyle w:val="FootnoteReference"/>
        </w:rPr>
        <w:footnoteReference w:id="519"/>
      </w:r>
      <w:r w:rsidRPr="00716CDF">
        <w:t xml:space="preserve">  Tesla/SolarCity states that this method strikes the proper balance between providing flexibility and market access to distributed energy resource aggregators while providing sufficient information to RTOs/ISOs about the locations of the individual distributed energy resources </w:t>
      </w:r>
      <w:r>
        <w:t>and how dispatching them will affect</w:t>
      </w:r>
      <w:r w:rsidRPr="00716CDF" w:rsidDel="001D50AD">
        <w:t xml:space="preserve"> </w:t>
      </w:r>
      <w:r w:rsidRPr="00716CDF">
        <w:t>the system.</w:t>
      </w:r>
      <w:r w:rsidRPr="00DC118A">
        <w:rPr>
          <w:rStyle w:val="FootnoteReference"/>
        </w:rPr>
        <w:footnoteReference w:id="520"/>
      </w:r>
      <w:r w:rsidRPr="00716CDF">
        <w:t xml:space="preserve"> </w:t>
      </w:r>
      <w:r>
        <w:t xml:space="preserve"> </w:t>
      </w:r>
      <w:r w:rsidRPr="00716CDF">
        <w:t xml:space="preserve">DER/Storage Developers </w:t>
      </w:r>
      <w:r>
        <w:t>assert</w:t>
      </w:r>
      <w:r w:rsidRPr="00716CDF">
        <w:t xml:space="preserve"> that distribution factors </w:t>
      </w:r>
      <w:r w:rsidR="00D9048C">
        <w:t xml:space="preserve">would </w:t>
      </w:r>
      <w:r w:rsidRPr="00716CDF">
        <w:t xml:space="preserve">provide the RTO/ISO with sufficient information to maintain reliability </w:t>
      </w:r>
      <w:r>
        <w:t>without</w:t>
      </w:r>
      <w:r w:rsidRPr="00716CDF">
        <w:t xml:space="preserve"> requiring unnecessary information about individual distribut</w:t>
      </w:r>
      <w:r w:rsidR="004839E0">
        <w:t>ed energy</w:t>
      </w:r>
      <w:r w:rsidRPr="00716CDF">
        <w:t xml:space="preserve"> resources.</w:t>
      </w:r>
      <w:r w:rsidRPr="00DC118A">
        <w:rPr>
          <w:rStyle w:val="FootnoteReference"/>
        </w:rPr>
        <w:footnoteReference w:id="521"/>
      </w:r>
    </w:p>
    <w:p w:rsidRPr="00716CDF" w:rsidR="003C749A" w:rsidP="00066327" w:rsidRDefault="003C749A" w14:paraId="6AE7CBD3" w14:textId="18F65ECC">
      <w:pPr>
        <w:pStyle w:val="FERCparanumber"/>
      </w:pPr>
      <w:r w:rsidRPr="00716CDF">
        <w:t xml:space="preserve">CAISO generally supports the Commission’s proposal and </w:t>
      </w:r>
      <w:r>
        <w:t>notes that it</w:t>
      </w:r>
      <w:r w:rsidR="00764CFF">
        <w:t xml:space="preserve">s </w:t>
      </w:r>
      <w:r w:rsidR="00076A3A">
        <w:t>D</w:t>
      </w:r>
      <w:r w:rsidR="00764CFF">
        <w:t xml:space="preserve">istributed </w:t>
      </w:r>
      <w:r w:rsidR="00076A3A">
        <w:t>E</w:t>
      </w:r>
      <w:r w:rsidR="00764CFF">
        <w:t xml:space="preserve">nergy </w:t>
      </w:r>
      <w:r w:rsidR="00076A3A">
        <w:t>R</w:t>
      </w:r>
      <w:r w:rsidR="00764CFF">
        <w:t xml:space="preserve">esource </w:t>
      </w:r>
      <w:r w:rsidR="00076A3A">
        <w:t>P</w:t>
      </w:r>
      <w:r w:rsidR="00764CFF">
        <w:t xml:space="preserve">rovider </w:t>
      </w:r>
      <w:r w:rsidR="00076A3A">
        <w:t xml:space="preserve">model </w:t>
      </w:r>
      <w:r w:rsidR="00764CFF">
        <w:t>rules</w:t>
      </w:r>
      <w:r w:rsidRPr="00716CDF">
        <w:t xml:space="preserve"> require an aggregat</w:t>
      </w:r>
      <w:r w:rsidR="0063202F">
        <w:t>or</w:t>
      </w:r>
      <w:r w:rsidRPr="00716CDF">
        <w:t xml:space="preserve"> to submit generation distribution factors with its bid</w:t>
      </w:r>
      <w:r>
        <w:t>.</w:t>
      </w:r>
      <w:r w:rsidRPr="00111941" w:rsidR="00D9048C">
        <w:rPr>
          <w:rStyle w:val="FootnoteReference"/>
        </w:rPr>
        <w:footnoteReference w:id="522"/>
      </w:r>
      <w:r>
        <w:t xml:space="preserve">  CAISO</w:t>
      </w:r>
      <w:r w:rsidRPr="00716CDF">
        <w:t xml:space="preserve"> </w:t>
      </w:r>
      <w:r>
        <w:t>states that multi-node aggregations require distribution factors to model the impact of the resource on the transmission system and that allowing resources to update distribution factors in the bid submission process mitigates the potential for inaccuracies.  If an aggregat</w:t>
      </w:r>
      <w:r w:rsidR="002C6625">
        <w:t>or</w:t>
      </w:r>
      <w:r>
        <w:t xml:space="preserve"> does not submit distribution factors with its bid</w:t>
      </w:r>
      <w:r w:rsidRPr="00716CDF">
        <w:t xml:space="preserve">, CAISO </w:t>
      </w:r>
      <w:r>
        <w:t>states that it</w:t>
      </w:r>
      <w:r w:rsidRPr="00716CDF">
        <w:t xml:space="preserve"> use</w:t>
      </w:r>
      <w:r w:rsidR="00D9048C">
        <w:t>s</w:t>
      </w:r>
      <w:r w:rsidRPr="00716CDF">
        <w:t xml:space="preserve"> the aggregation’s default generation distribution factors registered in CAISO’s Master File</w:t>
      </w:r>
      <w:r>
        <w:t xml:space="preserve"> for</w:t>
      </w:r>
      <w:r w:rsidRPr="00716CDF">
        <w:t xml:space="preserve"> a reasonable expectation of how the resource will perform across applicable pricing nodes.</w:t>
      </w:r>
      <w:r w:rsidRPr="00DC118A">
        <w:rPr>
          <w:rStyle w:val="FootnoteReference"/>
        </w:rPr>
        <w:footnoteReference w:id="523"/>
      </w:r>
      <w:r>
        <w:t xml:space="preserve">  CAISO notes that </w:t>
      </w:r>
      <w:r w:rsidR="00706BF4">
        <w:t xml:space="preserve">using </w:t>
      </w:r>
      <w:r>
        <w:t xml:space="preserve">distribution factors to schedule load </w:t>
      </w:r>
      <w:r w:rsidR="00706BF4">
        <w:t xml:space="preserve">is an acceptable and feasible practice </w:t>
      </w:r>
      <w:r>
        <w:t>despite inherent inaccuracies.</w:t>
      </w:r>
      <w:r w:rsidRPr="00367C29">
        <w:rPr>
          <w:rStyle w:val="FootnoteReference"/>
        </w:rPr>
        <w:footnoteReference w:id="524"/>
      </w:r>
      <w:r>
        <w:t xml:space="preserve">  </w:t>
      </w:r>
      <w:r w:rsidR="00696937">
        <w:t>Microgrid Resources Coalition notes that CAISO’s Distributed Energy Resource Provider model</w:t>
      </w:r>
      <w:r w:rsidRPr="00696937" w:rsidR="00696937">
        <w:t xml:space="preserve"> permit</w:t>
      </w:r>
      <w:r w:rsidR="00696937">
        <w:t>s</w:t>
      </w:r>
      <w:r w:rsidRPr="00696937" w:rsidR="00696937">
        <w:t xml:space="preserve"> participation in aggregations of separately metered resources independent of the various attributes of the other loads and resources behind the meter</w:t>
      </w:r>
      <w:r w:rsidR="00696937">
        <w:t xml:space="preserve"> and that t</w:t>
      </w:r>
      <w:r w:rsidRPr="00696937" w:rsidR="00696937">
        <w:t xml:space="preserve">he critical feature of this arrangement is the ability to define the limits of participation so that the aggregator and </w:t>
      </w:r>
      <w:r w:rsidR="00696937">
        <w:t xml:space="preserve">the </w:t>
      </w:r>
      <w:r w:rsidRPr="00696937" w:rsidR="00696937">
        <w:t>system operator can dispatch the aggregation within those limits.</w:t>
      </w:r>
      <w:r w:rsidR="00696937">
        <w:rPr>
          <w:rStyle w:val="FootnoteReference"/>
        </w:rPr>
        <w:footnoteReference w:id="525"/>
      </w:r>
      <w:r w:rsidRPr="00696937" w:rsidR="00696937">
        <w:t xml:space="preserve"> </w:t>
      </w:r>
      <w:r w:rsidR="00696937">
        <w:t xml:space="preserve"> </w:t>
      </w:r>
      <w:r w:rsidR="006E2034">
        <w:t>Lorenzo Kristov also notes</w:t>
      </w:r>
      <w:r w:rsidRPr="006E2034" w:rsidR="006E2034">
        <w:t xml:space="preserve"> that</w:t>
      </w:r>
      <w:r w:rsidR="006E2034">
        <w:t xml:space="preserve"> </w:t>
      </w:r>
      <w:r w:rsidRPr="006E2034" w:rsidR="006E2034">
        <w:t xml:space="preserve">the CAISO </w:t>
      </w:r>
      <w:r w:rsidR="006E2034">
        <w:t>Distributed Energy Resource</w:t>
      </w:r>
      <w:r w:rsidRPr="006E2034" w:rsidR="006E2034">
        <w:t xml:space="preserve"> </w:t>
      </w:r>
      <w:r w:rsidR="006E2034">
        <w:t>P</w:t>
      </w:r>
      <w:r w:rsidRPr="006E2034" w:rsidR="006E2034">
        <w:t xml:space="preserve">rovider structure enables multi-node </w:t>
      </w:r>
      <w:r w:rsidR="006E2034">
        <w:t>aggregations</w:t>
      </w:r>
      <w:r w:rsidRPr="006E2034" w:rsidR="006E2034">
        <w:t xml:space="preserve"> using both default and biddable</w:t>
      </w:r>
      <w:r w:rsidR="006E2034">
        <w:t xml:space="preserve"> </w:t>
      </w:r>
      <w:r w:rsidRPr="006E2034" w:rsidR="006E2034">
        <w:t>distribution factors</w:t>
      </w:r>
      <w:r w:rsidR="006E2034">
        <w:t>.</w:t>
      </w:r>
      <w:r w:rsidR="006E2034">
        <w:rPr>
          <w:rStyle w:val="FootnoteReference"/>
        </w:rPr>
        <w:footnoteReference w:id="526"/>
      </w:r>
      <w:r w:rsidR="006E2034">
        <w:t xml:space="preserve">  Lorenzo Kristov states, however, that </w:t>
      </w:r>
      <w:r w:rsidRPr="006E2034" w:rsidR="006E2034">
        <w:t>these provisions have not yet been practically tested by a non</w:t>
      </w:r>
      <w:r w:rsidR="00696937">
        <w:t>-</w:t>
      </w:r>
      <w:r w:rsidR="006E2034">
        <w:t>demand</w:t>
      </w:r>
      <w:r w:rsidR="00696937">
        <w:t>-</w:t>
      </w:r>
      <w:r w:rsidR="006E2034">
        <w:t>response</w:t>
      </w:r>
      <w:r w:rsidR="000D761F">
        <w:t xml:space="preserve"> resource.</w:t>
      </w:r>
      <w:r w:rsidR="00C90206">
        <w:t xml:space="preserve">  </w:t>
      </w:r>
      <w:r w:rsidR="000D1F75">
        <w:t>Conversely,</w:t>
      </w:r>
      <w:r>
        <w:t xml:space="preserve"> </w:t>
      </w:r>
      <w:r w:rsidRPr="00716CDF">
        <w:t xml:space="preserve">NYISO states </w:t>
      </w:r>
      <w:r w:rsidR="004839E0">
        <w:t xml:space="preserve">that </w:t>
      </w:r>
      <w:r>
        <w:t>it does not need</w:t>
      </w:r>
      <w:r w:rsidRPr="00716CDF">
        <w:t xml:space="preserve"> distribution factors to dispatch distributed energy resource aggregations</w:t>
      </w:r>
      <w:r w:rsidRPr="00716CDF" w:rsidDel="008662A7">
        <w:t xml:space="preserve"> </w:t>
      </w:r>
      <w:r>
        <w:t xml:space="preserve">accurately </w:t>
      </w:r>
      <w:r w:rsidRPr="00716CDF">
        <w:t>because it intends to limit distributed energy resource aggregations to resources at a single transmission node.</w:t>
      </w:r>
      <w:r w:rsidRPr="00DC118A">
        <w:rPr>
          <w:rStyle w:val="FootnoteReference"/>
        </w:rPr>
        <w:footnoteReference w:id="527"/>
      </w:r>
      <w:r w:rsidRPr="00716CDF">
        <w:t xml:space="preserve">  </w:t>
      </w:r>
    </w:p>
    <w:p w:rsidRPr="00716CDF" w:rsidR="003C749A" w:rsidP="003C749A" w:rsidRDefault="00066327" w14:paraId="59835A55" w14:textId="21DD4A91">
      <w:pPr>
        <w:pStyle w:val="FERCparanumber"/>
      </w:pPr>
      <w:r>
        <w:t>Other</w:t>
      </w:r>
      <w:r w:rsidRPr="00716CDF" w:rsidR="003C749A">
        <w:t xml:space="preserve"> RTOs</w:t>
      </w:r>
      <w:r w:rsidR="00A84F76">
        <w:t>/</w:t>
      </w:r>
      <w:r w:rsidRPr="00716CDF" w:rsidR="003C749A">
        <w:t>ISOs assert that implementing the Commission’s proposal may be technically difficult.  SPP states that</w:t>
      </w:r>
      <w:r w:rsidR="003C749A">
        <w:t xml:space="preserve"> </w:t>
      </w:r>
      <w:r w:rsidRPr="00716CDF" w:rsidR="003C749A">
        <w:t xml:space="preserve">implementing </w:t>
      </w:r>
      <w:r w:rsidR="00CD70FB">
        <w:t>distribution</w:t>
      </w:r>
      <w:r w:rsidRPr="00716CDF" w:rsidR="00CD70FB">
        <w:t xml:space="preserve"> </w:t>
      </w:r>
      <w:r w:rsidRPr="00716CDF" w:rsidR="003C749A">
        <w:t>factors in the software is not trivial.</w:t>
      </w:r>
      <w:r w:rsidRPr="00DC118A" w:rsidR="003C749A">
        <w:rPr>
          <w:rStyle w:val="FootnoteReference"/>
        </w:rPr>
        <w:footnoteReference w:id="528"/>
      </w:r>
      <w:r w:rsidRPr="00716CDF" w:rsidR="003C749A">
        <w:t xml:space="preserve">  MISO states</w:t>
      </w:r>
      <w:r w:rsidR="00A84F76">
        <w:t xml:space="preserve"> that</w:t>
      </w:r>
      <w:r w:rsidRPr="00716CDF" w:rsidR="003C749A">
        <w:t xml:space="preserve"> </w:t>
      </w:r>
      <w:r w:rsidR="003C749A">
        <w:t>it currently updates the distribution factor</w:t>
      </w:r>
      <w:r>
        <w:t>s</w:t>
      </w:r>
      <w:r w:rsidR="003C749A">
        <w:t xml:space="preserve"> daily and </w:t>
      </w:r>
      <w:r w:rsidRPr="00716CDF" w:rsidR="003C749A">
        <w:t xml:space="preserve">that </w:t>
      </w:r>
      <w:r w:rsidR="003C749A">
        <w:t xml:space="preserve">updating more frequently </w:t>
      </w:r>
      <w:r w:rsidRPr="00716CDF" w:rsidR="003C749A">
        <w:t>may result in a significantly large amount of data exchange and processing in the market system.</w:t>
      </w:r>
      <w:r w:rsidRPr="00DC118A" w:rsidR="003C749A">
        <w:rPr>
          <w:rStyle w:val="FootnoteReference"/>
        </w:rPr>
        <w:footnoteReference w:id="529"/>
      </w:r>
      <w:r w:rsidRPr="00716CDF" w:rsidR="003C749A">
        <w:t xml:space="preserve"> </w:t>
      </w:r>
      <w:r w:rsidR="003C749A">
        <w:t xml:space="preserve"> </w:t>
      </w:r>
    </w:p>
    <w:p w:rsidR="003C749A" w:rsidP="003C749A" w:rsidRDefault="003C749A" w14:paraId="1F2D5250" w14:textId="45258E24">
      <w:pPr>
        <w:pStyle w:val="FERCparanumber"/>
      </w:pPr>
      <w:r>
        <w:t>Several RTOs</w:t>
      </w:r>
      <w:r w:rsidR="00A84F76">
        <w:t>/ISOs</w:t>
      </w:r>
      <w:r>
        <w:t xml:space="preserve"> also describe the limitations of distribution factor requirements.  </w:t>
      </w:r>
      <w:r w:rsidRPr="00716CDF">
        <w:t xml:space="preserve">SPP notes that distribution factors provide the </w:t>
      </w:r>
      <w:r w:rsidR="00A84F76">
        <w:t>r</w:t>
      </w:r>
      <w:r w:rsidRPr="00716CDF">
        <w:t xml:space="preserve">eliability </w:t>
      </w:r>
      <w:r w:rsidR="00A84F76">
        <w:t>c</w:t>
      </w:r>
      <w:r w:rsidRPr="00716CDF">
        <w:t>oordinator with the distribution of the resource</w:t>
      </w:r>
      <w:r w:rsidR="00F2639A">
        <w:t>s in the aggregation,</w:t>
      </w:r>
      <w:r w:rsidRPr="00716CDF">
        <w:t xml:space="preserve"> but </w:t>
      </w:r>
      <w:r w:rsidR="00F2639A">
        <w:t xml:space="preserve">those factors </w:t>
      </w:r>
      <w:r w:rsidRPr="00716CDF">
        <w:t xml:space="preserve">do not </w:t>
      </w:r>
      <w:r w:rsidR="00F2639A">
        <w:t xml:space="preserve">guarantee </w:t>
      </w:r>
      <w:r w:rsidRPr="00716CDF">
        <w:t>that the resources in the aggregat</w:t>
      </w:r>
      <w:r w:rsidR="00F2639A">
        <w:t>ion</w:t>
      </w:r>
      <w:r w:rsidRPr="00716CDF">
        <w:t xml:space="preserve"> will move pro-rata</w:t>
      </w:r>
      <w:r w:rsidR="0000789F">
        <w:t>.</w:t>
      </w:r>
      <w:r w:rsidRPr="00716CDF">
        <w:t xml:space="preserve">  SPP asserts that the uncertainty in the aggregate response may cause a reliability issue by introducing uncertainty </w:t>
      </w:r>
      <w:r w:rsidR="007021AE">
        <w:t>in</w:t>
      </w:r>
      <w:r>
        <w:t xml:space="preserve"> its </w:t>
      </w:r>
      <w:r w:rsidRPr="00716CDF">
        <w:t xml:space="preserve">effective dispatch to resolve constraints.  SPP adds that </w:t>
      </w:r>
      <w:r w:rsidR="007021AE">
        <w:t xml:space="preserve">the </w:t>
      </w:r>
      <w:r w:rsidRPr="00716CDF">
        <w:t>economics and pricing of the aggregate</w:t>
      </w:r>
      <w:r>
        <w:t xml:space="preserve"> </w:t>
      </w:r>
      <w:r w:rsidRPr="00716CDF">
        <w:t>may not reflect the actual response on the sub-aggregate level.</w:t>
      </w:r>
      <w:r w:rsidRPr="00A31D6B">
        <w:rPr>
          <w:rStyle w:val="FootnoteReference"/>
        </w:rPr>
        <w:footnoteReference w:id="530"/>
      </w:r>
      <w:r w:rsidRPr="00716CDF">
        <w:t xml:space="preserve">  </w:t>
      </w:r>
      <w:r>
        <w:t xml:space="preserve">Similarly, </w:t>
      </w:r>
      <w:r w:rsidRPr="00716CDF">
        <w:t>ISO-NE also argues that</w:t>
      </w:r>
      <w:r>
        <w:t xml:space="preserve"> distribution factors may vary based on the actual level of dispatch of the aggregate</w:t>
      </w:r>
      <w:r w:rsidR="003C2E03">
        <w:t>, for example</w:t>
      </w:r>
      <w:r>
        <w:t>,</w:t>
      </w:r>
      <w:r w:rsidRPr="00716CDF">
        <w:t xml:space="preserve"> </w:t>
      </w:r>
      <w:r>
        <w:t xml:space="preserve">there could be a large difference between </w:t>
      </w:r>
      <w:r w:rsidRPr="00716CDF">
        <w:t xml:space="preserve">distribution factors based upon the maximum MW output </w:t>
      </w:r>
      <w:r>
        <w:t>and the minimum MW output of an aggregation</w:t>
      </w:r>
      <w:r w:rsidRPr="00716CDF">
        <w:t>.</w:t>
      </w:r>
      <w:r w:rsidR="00A84F76">
        <w:rPr>
          <w:rStyle w:val="FootnoteReference"/>
        </w:rPr>
        <w:footnoteReference w:id="531"/>
      </w:r>
      <w:r w:rsidRPr="00716CDF">
        <w:t xml:space="preserve">  </w:t>
      </w:r>
      <w:r w:rsidRPr="00716CDF" w:rsidR="001A5A3E">
        <w:t xml:space="preserve">Pacific Gas &amp; Electric </w:t>
      </w:r>
      <w:r w:rsidR="001A5A3E">
        <w:t>suggests</w:t>
      </w:r>
      <w:r w:rsidRPr="00716CDF" w:rsidR="001A5A3E">
        <w:t xml:space="preserve"> that, because the distribution factors will impact settlements and congestion, distributed energy resource aggregations should use an outage management-like system to report if real-time distribution factors differ from those that are used for the market award.</w:t>
      </w:r>
      <w:r w:rsidRPr="004B6F1D" w:rsidR="001A5A3E">
        <w:rPr>
          <w:rStyle w:val="FootnoteReference"/>
        </w:rPr>
        <w:footnoteReference w:id="532"/>
      </w:r>
      <w:r w:rsidR="001A5A3E">
        <w:t xml:space="preserve">  </w:t>
      </w:r>
    </w:p>
    <w:p w:rsidRPr="00716CDF" w:rsidR="003C749A" w:rsidP="003C749A" w:rsidRDefault="003C749A" w14:paraId="28BB7BF7" w14:textId="53A66549">
      <w:pPr>
        <w:pStyle w:val="FERCparanumber"/>
      </w:pPr>
      <w:r>
        <w:t xml:space="preserve">Some commenters </w:t>
      </w:r>
      <w:r w:rsidR="00CC379E">
        <w:t>assert</w:t>
      </w:r>
      <w:r>
        <w:t xml:space="preserve"> that the Commission should not impose the distribution factor requirements in all regions.  </w:t>
      </w:r>
      <w:r w:rsidRPr="00716CDF">
        <w:t xml:space="preserve">NYISO Indicated Transmission Owners </w:t>
      </w:r>
      <w:r>
        <w:t>state</w:t>
      </w:r>
      <w:r w:rsidRPr="00716CDF">
        <w:t xml:space="preserve"> that</w:t>
      </w:r>
      <w:r>
        <w:t xml:space="preserve"> </w:t>
      </w:r>
      <w:r w:rsidRPr="00716CDF">
        <w:t>the application of distribution factors may not be the optimal approach for dispatching resources within an aggregation</w:t>
      </w:r>
      <w:r>
        <w:t xml:space="preserve"> in all systems</w:t>
      </w:r>
      <w:r w:rsidRPr="00716CDF">
        <w:t>, especially if it leads to dispatching resources on either side of a single constraint.</w:t>
      </w:r>
      <w:r w:rsidRPr="00AC20F1" w:rsidR="00547F0F">
        <w:rPr>
          <w:rStyle w:val="FootnoteReference"/>
          <w:bCs/>
        </w:rPr>
        <w:footnoteReference w:id="533"/>
      </w:r>
      <w:r w:rsidRPr="00716CDF">
        <w:t xml:space="preserve">  NYISO Indicated Transmission Owners argue that the Commission should require RTOs/ISOs to develop solutions that are </w:t>
      </w:r>
      <w:r>
        <w:t xml:space="preserve">regionally </w:t>
      </w:r>
      <w:r w:rsidRPr="00716CDF">
        <w:t xml:space="preserve">appropriate and that promote efficient dispatch of resources with effective resolution of constraints </w:t>
      </w:r>
      <w:r w:rsidR="00547F0F">
        <w:t>o</w:t>
      </w:r>
      <w:r w:rsidRPr="00716CDF">
        <w:t>n both the transmission and distribution systems.</w:t>
      </w:r>
    </w:p>
    <w:p w:rsidR="001A5A3E" w:rsidP="001A5A3E" w:rsidRDefault="003966D1" w14:paraId="3BB11602" w14:textId="1D2043FE">
      <w:pPr>
        <w:pStyle w:val="FERCparanumber"/>
      </w:pPr>
      <w:r>
        <w:t xml:space="preserve">Similarly, ISO-NE </w:t>
      </w:r>
      <w:r w:rsidRPr="00716CDF">
        <w:t>asks the Commission to allow each RTO/ISO to develop an approach that works well in light of each region’s particular network configuration, infrastructure</w:t>
      </w:r>
      <w:r>
        <w:t>,</w:t>
      </w:r>
      <w:r w:rsidRPr="00716CDF">
        <w:t xml:space="preserve"> and existing operational processes.</w:t>
      </w:r>
      <w:r w:rsidRPr="00C50F0F">
        <w:rPr>
          <w:rStyle w:val="FootnoteReference"/>
        </w:rPr>
        <w:footnoteReference w:id="534"/>
      </w:r>
      <w:r w:rsidRPr="00716CDF">
        <w:t xml:space="preserve">  ISO-NE explains that, rather than providing distribution factors, an aggregator could</w:t>
      </w:r>
      <w:r>
        <w:t>, for example,</w:t>
      </w:r>
      <w:r w:rsidRPr="00716CDF">
        <w:t xml:space="preserve"> report the expected MW capability at each node</w:t>
      </w:r>
      <w:r>
        <w:t>,</w:t>
      </w:r>
      <w:r w:rsidRPr="00716CDF">
        <w:t xml:space="preserve"> or that size limits for being dispatchable in the markets could be lowered, reducing the need to aggregate across multiple nodes to participate.</w:t>
      </w:r>
      <w:r w:rsidRPr="00C50F0F">
        <w:rPr>
          <w:rStyle w:val="FootnoteReference"/>
        </w:rPr>
        <w:footnoteReference w:id="535"/>
      </w:r>
      <w:r w:rsidRPr="00716CDF">
        <w:t xml:space="preserve">  </w:t>
      </w:r>
      <w:r w:rsidRPr="00716CDF" w:rsidR="003C749A">
        <w:t>ISO-NE states that, for a mesh network such as most of New England, using distribution factors as the basis for dispatch is problematic.</w:t>
      </w:r>
      <w:r w:rsidRPr="004B6F1D" w:rsidR="00547F0F">
        <w:rPr>
          <w:rStyle w:val="FootnoteReference"/>
        </w:rPr>
        <w:footnoteReference w:id="536"/>
      </w:r>
      <w:r w:rsidR="004F55AE">
        <w:t xml:space="preserve"> </w:t>
      </w:r>
      <w:r w:rsidRPr="00716CDF" w:rsidR="003C749A">
        <w:t xml:space="preserve"> ISO-NE explains that a participant would be unable to predict the changing power flows to multiple connected nodes without possessing the same detailed knowledge of grid configuration used by ISO-NE and the distribution utilities in real-time operations.  As a result, ISO-NE contends that any stated distribution factors could bear little relation to </w:t>
      </w:r>
      <w:r w:rsidR="00160D3C">
        <w:t>real-</w:t>
      </w:r>
      <w:r w:rsidRPr="00382B10" w:rsidR="00160D3C">
        <w:t>time</w:t>
      </w:r>
      <w:r w:rsidRPr="00382B10" w:rsidR="007D0CE2">
        <w:t xml:space="preserve"> operations</w:t>
      </w:r>
      <w:r w:rsidRPr="00382B10" w:rsidR="003C749A">
        <w:t>.</w:t>
      </w:r>
      <w:r w:rsidRPr="00716CDF" w:rsidR="003C749A">
        <w:t xml:space="preserve"> </w:t>
      </w:r>
      <w:r w:rsidR="001A5A3E">
        <w:t xml:space="preserve"> </w:t>
      </w:r>
    </w:p>
    <w:p w:rsidR="003C749A" w:rsidP="003F2DB9" w:rsidRDefault="003C749A" w14:paraId="4438E304" w14:textId="4D39A096">
      <w:pPr>
        <w:pStyle w:val="FERCparanumber"/>
      </w:pPr>
      <w:r w:rsidRPr="00716CDF">
        <w:rPr>
          <w:szCs w:val="26"/>
        </w:rPr>
        <w:t>ISO-NE contends that, in scenarios where the distribution system is not radial to the transmission system, a single resource located in the distribution network may have sensitivities to multiple nodes in the transmission system.</w:t>
      </w:r>
      <w:r w:rsidR="00547F0F">
        <w:rPr>
          <w:rStyle w:val="FootnoteReference"/>
          <w:szCs w:val="26"/>
        </w:rPr>
        <w:footnoteReference w:id="537"/>
      </w:r>
      <w:r w:rsidRPr="00716CDF">
        <w:rPr>
          <w:szCs w:val="26"/>
        </w:rPr>
        <w:t xml:space="preserve">  ISO-NE argues that it is not reasonable for an aggregator to try to submit distribution factors for each node as they would </w:t>
      </w:r>
      <w:r>
        <w:rPr>
          <w:szCs w:val="26"/>
        </w:rPr>
        <w:t xml:space="preserve">not </w:t>
      </w:r>
      <w:r w:rsidRPr="00716CDF">
        <w:rPr>
          <w:szCs w:val="26"/>
        </w:rPr>
        <w:t xml:space="preserve">have visibility to these sensitivities.  ISO-NE notes that it has addressed this problem with Asset-Related Demand by only supporting aggregations of </w:t>
      </w:r>
      <w:r w:rsidR="00547F0F">
        <w:rPr>
          <w:szCs w:val="26"/>
        </w:rPr>
        <w:t>Asset-Related Demand</w:t>
      </w:r>
      <w:r w:rsidRPr="00716CDF">
        <w:rPr>
          <w:szCs w:val="26"/>
        </w:rPr>
        <w:t xml:space="preserve"> that have similar sensitivities to each node, so that an aggregated node can be modeled to reflect the impacts to the system of the A</w:t>
      </w:r>
      <w:r w:rsidR="00547F0F">
        <w:rPr>
          <w:szCs w:val="26"/>
        </w:rPr>
        <w:t>sset-Related Demand</w:t>
      </w:r>
      <w:r w:rsidRPr="00716CDF">
        <w:rPr>
          <w:szCs w:val="26"/>
        </w:rPr>
        <w:t xml:space="preserve"> for which the </w:t>
      </w:r>
      <w:r w:rsidR="00547F0F">
        <w:rPr>
          <w:szCs w:val="26"/>
        </w:rPr>
        <w:t>Asset-Related Demand</w:t>
      </w:r>
      <w:r w:rsidRPr="00716CDF">
        <w:rPr>
          <w:szCs w:val="26"/>
        </w:rPr>
        <w:t xml:space="preserve"> has a 100</w:t>
      </w:r>
      <w:r w:rsidR="00AE5E4E">
        <w:rPr>
          <w:szCs w:val="26"/>
        </w:rPr>
        <w:t>%</w:t>
      </w:r>
      <w:r w:rsidRPr="00716CDF">
        <w:rPr>
          <w:szCs w:val="26"/>
        </w:rPr>
        <w:t xml:space="preserve"> distribution factor</w:t>
      </w:r>
      <w:r w:rsidR="003966D1">
        <w:rPr>
          <w:szCs w:val="26"/>
        </w:rPr>
        <w:t xml:space="preserve">.  </w:t>
      </w:r>
      <w:r w:rsidRPr="00716CDF">
        <w:rPr>
          <w:szCs w:val="26"/>
        </w:rPr>
        <w:t>ISO-NE states that this approach may or may not be appropriate for distributed energy resource aggregations and would require further evaluation and coordination with the distribution utilities.</w:t>
      </w:r>
      <w:r w:rsidRPr="004B6F1D">
        <w:rPr>
          <w:rStyle w:val="FootnoteReference"/>
        </w:rPr>
        <w:footnoteReference w:id="538"/>
      </w:r>
    </w:p>
    <w:p w:rsidR="002E7634" w:rsidP="00AC4B55" w:rsidRDefault="003C749A" w14:paraId="2B998771" w14:textId="32D01CAA">
      <w:pPr>
        <w:pStyle w:val="FERCparanumber"/>
      </w:pPr>
      <w:r>
        <w:t xml:space="preserve">In response to the Commission’s request for comment on whether bidding parameters in addition to those already incorporated into existing participation models may be necessary to adequately characterize the physical or operational characteristics of distributed energy resource aggregations, some commenters argue that RTOs/ISOs should be allowed to require additional bidding parameters for </w:t>
      </w:r>
      <w:r w:rsidRPr="00716CDF">
        <w:t>distributed energy resource aggregations</w:t>
      </w:r>
      <w:r>
        <w:t xml:space="preserve"> </w:t>
      </w:r>
      <w:r w:rsidRPr="00716CDF">
        <w:t>to reliably operate the bulk power system and accurately reflect resources in the wholesale markets.</w:t>
      </w:r>
      <w:r w:rsidRPr="005E613C">
        <w:rPr>
          <w:rStyle w:val="FootnoteReference"/>
        </w:rPr>
        <w:footnoteReference w:id="539"/>
      </w:r>
      <w:r w:rsidRPr="00716CDF">
        <w:t xml:space="preserve"> </w:t>
      </w:r>
      <w:r w:rsidR="00547F0F">
        <w:t xml:space="preserve"> </w:t>
      </w:r>
      <w:r w:rsidR="003966D1">
        <w:t xml:space="preserve">Stem suggests that bidding parameters </w:t>
      </w:r>
      <w:r w:rsidRPr="00641833" w:rsidR="003966D1">
        <w:t xml:space="preserve">in </w:t>
      </w:r>
      <w:r w:rsidR="003966D1">
        <w:t xml:space="preserve">current </w:t>
      </w:r>
      <w:r w:rsidRPr="00641833" w:rsidR="003966D1">
        <w:t xml:space="preserve">RTO/ISO rules </w:t>
      </w:r>
      <w:r w:rsidR="003966D1">
        <w:t xml:space="preserve">assume </w:t>
      </w:r>
      <w:r w:rsidRPr="00641833" w:rsidR="003966D1">
        <w:t>that a resource’s physical attributes</w:t>
      </w:r>
      <w:r w:rsidR="00903502">
        <w:t>, such as ramp rate or maximum charge limit,</w:t>
      </w:r>
      <w:r w:rsidRPr="00641833" w:rsidR="003966D1">
        <w:t xml:space="preserve"> are fixed values and that the resource is dispatchable </w:t>
      </w:r>
      <w:r w:rsidR="000F144B">
        <w:t>to</w:t>
      </w:r>
      <w:r w:rsidR="00903502">
        <w:t xml:space="preserve"> those levels </w:t>
      </w:r>
      <w:r w:rsidRPr="00641833" w:rsidR="003966D1">
        <w:t>at all times</w:t>
      </w:r>
      <w:r w:rsidR="003966D1">
        <w:t>, which will need to change</w:t>
      </w:r>
      <w:r w:rsidRPr="00641833" w:rsidR="003966D1">
        <w:t>.</w:t>
      </w:r>
      <w:r w:rsidRPr="00550B44" w:rsidR="003966D1">
        <w:rPr>
          <w:rStyle w:val="FootnoteReference"/>
        </w:rPr>
        <w:footnoteReference w:id="540"/>
      </w:r>
      <w:r w:rsidRPr="00641833" w:rsidR="003966D1">
        <w:t xml:space="preserve">  </w:t>
      </w:r>
      <w:r w:rsidRPr="00641833" w:rsidR="0079032D">
        <w:t xml:space="preserve">Stem </w:t>
      </w:r>
      <w:r w:rsidR="0079032D">
        <w:t xml:space="preserve">argues that </w:t>
      </w:r>
      <w:r w:rsidRPr="00641833" w:rsidR="0079032D">
        <w:t xml:space="preserve">behind-the-meter resources </w:t>
      </w:r>
      <w:r w:rsidR="0079032D">
        <w:t xml:space="preserve">should be able </w:t>
      </w:r>
      <w:r w:rsidRPr="00641833" w:rsidR="0079032D">
        <w:t xml:space="preserve">to elect to be out of the market </w:t>
      </w:r>
      <w:r w:rsidR="0079032D">
        <w:t xml:space="preserve">at certain times, </w:t>
      </w:r>
      <w:r w:rsidRPr="00641833" w:rsidR="0079032D">
        <w:t>as long as the</w:t>
      </w:r>
      <w:r w:rsidR="0079032D">
        <w:t>ir existing</w:t>
      </w:r>
      <w:r w:rsidRPr="00641833" w:rsidR="0079032D">
        <w:t xml:space="preserve"> service obligations are met.</w:t>
      </w:r>
      <w:r w:rsidRPr="00550B44" w:rsidR="0079032D">
        <w:rPr>
          <w:rStyle w:val="FootnoteReference"/>
        </w:rPr>
        <w:footnoteReference w:id="541"/>
      </w:r>
      <w:r w:rsidRPr="00641833" w:rsidR="0079032D">
        <w:t xml:space="preserve"> </w:t>
      </w:r>
      <w:r w:rsidR="0079032D">
        <w:t xml:space="preserve"> </w:t>
      </w:r>
      <w:r>
        <w:t>PJM Market Monitor asserts that</w:t>
      </w:r>
      <w:r w:rsidR="00843131">
        <w:t>,</w:t>
      </w:r>
      <w:r>
        <w:t xml:space="preserve"> as long as distributed energy resources are priced and dispatched locationally, the existing offer parameters should address the characteristics of the resources.</w:t>
      </w:r>
      <w:r w:rsidRPr="00367C29">
        <w:rPr>
          <w:rStyle w:val="FootnoteReference"/>
        </w:rPr>
        <w:footnoteReference w:id="542"/>
      </w:r>
      <w:r>
        <w:t xml:space="preserve"> </w:t>
      </w:r>
      <w:r w:rsidRPr="00716CDF">
        <w:t xml:space="preserve"> Dominion argues that distributed energy resource aggregators should be allowed to communicate </w:t>
      </w:r>
      <w:r w:rsidR="00503F40">
        <w:t>distributed energy resource aggregations’</w:t>
      </w:r>
      <w:r w:rsidRPr="00716CDF" w:rsidR="001A5A3E">
        <w:t xml:space="preserve"> operating limitations </w:t>
      </w:r>
      <w:r w:rsidRPr="00716CDF">
        <w:t>to the RTO/ISO and control their dispatch to the same extent as other resources.</w:t>
      </w:r>
      <w:r w:rsidRPr="005E613C">
        <w:rPr>
          <w:rStyle w:val="FootnoteReference"/>
        </w:rPr>
        <w:footnoteReference w:id="543"/>
      </w:r>
      <w:r w:rsidRPr="00716CDF">
        <w:t xml:space="preserve">  Dominion adds that certain distributed energy resources, such as solar generators, should also </w:t>
      </w:r>
      <w:r w:rsidR="002B4497">
        <w:t xml:space="preserve">have the option to only </w:t>
      </w:r>
      <w:r w:rsidR="007E4DA7">
        <w:t xml:space="preserve">be curtailed </w:t>
      </w:r>
      <w:r w:rsidR="002B4497">
        <w:t>for</w:t>
      </w:r>
      <w:r w:rsidRPr="00716CDF">
        <w:t xml:space="preserve"> reliability concerns.</w:t>
      </w:r>
      <w:r w:rsidR="002E7634">
        <w:t xml:space="preserve"> </w:t>
      </w:r>
    </w:p>
    <w:p w:rsidR="00EE495D" w:rsidP="00AC4B55" w:rsidRDefault="00EE495D" w14:paraId="7D2E5B7F" w14:textId="699A507D">
      <w:pPr>
        <w:pStyle w:val="FERCparanumber"/>
      </w:pPr>
      <w:r w:rsidRPr="00641833">
        <w:t>NYISO Indicated Transmission Owners assert that distributed energy resource aggregations participating in capacity markets should bid a capacity value that reflects the aggregation’s value in satisfying the peak period resource adequacy requirements.</w:t>
      </w:r>
      <w:r w:rsidRPr="00550B44">
        <w:rPr>
          <w:rStyle w:val="FootnoteReference"/>
        </w:rPr>
        <w:footnoteReference w:id="544"/>
      </w:r>
      <w:r w:rsidRPr="00641833">
        <w:t xml:space="preserve">  NYISO Indicated Transmission Owners state that the capacity value for distributed energy resource aggregations</w:t>
      </w:r>
      <w:r w:rsidRPr="00641833">
        <w:rPr>
          <w:b/>
        </w:rPr>
        <w:t xml:space="preserve"> </w:t>
      </w:r>
      <w:r w:rsidRPr="00641833">
        <w:t xml:space="preserve">should take into account </w:t>
      </w:r>
      <w:r>
        <w:t xml:space="preserve">various </w:t>
      </w:r>
      <w:r w:rsidRPr="00641833">
        <w:t>factors</w:t>
      </w:r>
      <w:r>
        <w:t>, such as</w:t>
      </w:r>
      <w:r w:rsidRPr="00641833">
        <w:t xml:space="preserve"> variability of the aggregation</w:t>
      </w:r>
      <w:r>
        <w:t>,</w:t>
      </w:r>
      <w:r w:rsidRPr="00641833">
        <w:t xml:space="preserve"> extent to which the distributed energy resource aggregation</w:t>
      </w:r>
      <w:r w:rsidRPr="00641833">
        <w:rPr>
          <w:b/>
        </w:rPr>
        <w:t xml:space="preserve"> </w:t>
      </w:r>
      <w:r w:rsidRPr="00641833">
        <w:t>is energy limited, and composition of technologies that comprise the aggregation</w:t>
      </w:r>
      <w:r>
        <w:t>, but underscores that solutions should be addressed during implementation in each RTO’s/ISO’s stakeholder process to ensure regional variations are accommodated</w:t>
      </w:r>
      <w:r w:rsidRPr="00641833">
        <w:t>.</w:t>
      </w:r>
      <w:r w:rsidRPr="00550B44">
        <w:rPr>
          <w:rStyle w:val="FootnoteReference"/>
        </w:rPr>
        <w:footnoteReference w:id="545"/>
      </w:r>
      <w:r w:rsidRPr="00641833">
        <w:t xml:space="preserve">  </w:t>
      </w:r>
    </w:p>
    <w:p w:rsidRPr="00716CDF" w:rsidR="003C749A" w:rsidP="003C749A" w:rsidRDefault="003C749A" w14:paraId="3DEE62A8" w14:textId="52F81215">
      <w:pPr>
        <w:pStyle w:val="FERCparanumber"/>
      </w:pPr>
      <w:r w:rsidRPr="00716CDF">
        <w:t>MISO states that it needs more time to further investigate and better understand the potential need for additional bidding parameters for distributed energy resource aggregations.</w:t>
      </w:r>
      <w:r w:rsidR="00547F0F">
        <w:rPr>
          <w:rStyle w:val="FootnoteReference"/>
        </w:rPr>
        <w:footnoteReference w:id="546"/>
      </w:r>
      <w:r w:rsidRPr="00716CDF">
        <w:t xml:space="preserve">  MISO asserts that such parameters will likely be needed to the extent a distributed energy resource may involve an aggregation of e</w:t>
      </w:r>
      <w:r w:rsidR="003966D1">
        <w:t>lectric</w:t>
      </w:r>
      <w:r w:rsidRPr="00716CDF">
        <w:t xml:space="preserve"> storage resources and if the RTO</w:t>
      </w:r>
      <w:r w:rsidR="000716FC">
        <w:t>/ISO</w:t>
      </w:r>
      <w:r w:rsidRPr="00716CDF">
        <w:t xml:space="preserve"> is expected to manage their state of charge.  MISO explains that</w:t>
      </w:r>
      <w:r>
        <w:t>, as</w:t>
      </w:r>
      <w:r w:rsidRPr="00716CDF">
        <w:t xml:space="preserve"> an example</w:t>
      </w:r>
      <w:r>
        <w:t>,</w:t>
      </w:r>
      <w:r w:rsidRPr="00716CDF">
        <w:t xml:space="preserve"> distributed energy resource aggregations might </w:t>
      </w:r>
      <w:r>
        <w:t>need to provide</w:t>
      </w:r>
      <w:r w:rsidRPr="00716CDF">
        <w:t xml:space="preserve"> information describing sub-aggregation</w:t>
      </w:r>
      <w:r>
        <w:t>s</w:t>
      </w:r>
      <w:r w:rsidRPr="00716CDF">
        <w:t xml:space="preserve"> </w:t>
      </w:r>
      <w:r>
        <w:t xml:space="preserve">for </w:t>
      </w:r>
      <w:r w:rsidRPr="00716CDF">
        <w:t xml:space="preserve">MISO </w:t>
      </w:r>
      <w:r>
        <w:t>to</w:t>
      </w:r>
      <w:r w:rsidRPr="00716CDF">
        <w:t xml:space="preserve"> address security constraints associated with separate distribution networks or separate nodes </w:t>
      </w:r>
      <w:r>
        <w:t>within a</w:t>
      </w:r>
      <w:r w:rsidRPr="00716CDF">
        <w:t xml:space="preserve"> distribution network.</w:t>
      </w:r>
      <w:r w:rsidRPr="005E613C">
        <w:rPr>
          <w:rStyle w:val="FootnoteReference"/>
        </w:rPr>
        <w:footnoteReference w:id="547"/>
      </w:r>
    </w:p>
    <w:p w:rsidRPr="00716CDF" w:rsidR="003C749A" w:rsidP="003C749A" w:rsidRDefault="003C749A" w14:paraId="7D4BA643" w14:textId="60D675F9">
      <w:pPr>
        <w:pStyle w:val="FERCparanumber"/>
      </w:pPr>
      <w:r w:rsidRPr="00716CDF">
        <w:t xml:space="preserve">Advanced Microgrid Solutions </w:t>
      </w:r>
      <w:r>
        <w:t>asserts</w:t>
      </w:r>
      <w:r w:rsidRPr="00716CDF">
        <w:t xml:space="preserve"> that </w:t>
      </w:r>
      <w:r w:rsidR="001A0D6B">
        <w:t xml:space="preserve">RTOs/ISOs must have separate rules </w:t>
      </w:r>
      <w:r w:rsidRPr="00716CDF">
        <w:t>regarding attributes, bidding parameters</w:t>
      </w:r>
      <w:r w:rsidR="000716FC">
        <w:t>,</w:t>
      </w:r>
      <w:r w:rsidRPr="00716CDF">
        <w:t xml:space="preserve"> and dispatch </w:t>
      </w:r>
      <w:r w:rsidR="001A0D6B">
        <w:t xml:space="preserve">in order </w:t>
      </w:r>
      <w:r w:rsidRPr="00716CDF">
        <w:t>to recognize the multiple uses for behind-the-meter e</w:t>
      </w:r>
      <w:r w:rsidR="003966D1">
        <w:t>lectric</w:t>
      </w:r>
      <w:r w:rsidRPr="00716CDF">
        <w:t xml:space="preserve"> storage resources.</w:t>
      </w:r>
      <w:r w:rsidRPr="005E613C">
        <w:rPr>
          <w:rStyle w:val="FootnoteReference"/>
        </w:rPr>
        <w:footnoteReference w:id="548"/>
      </w:r>
      <w:r w:rsidRPr="00716CDF">
        <w:t xml:space="preserve">  Advanced Microgrid Solutions </w:t>
      </w:r>
      <w:r w:rsidR="00DE3B54">
        <w:t xml:space="preserve">further </w:t>
      </w:r>
      <w:r>
        <w:t>explains</w:t>
      </w:r>
      <w:r w:rsidRPr="00716CDF">
        <w:t xml:space="preserve"> that </w:t>
      </w:r>
      <w:r w:rsidR="00DE3B54">
        <w:t>some requirements relevant to a single-site resource are irrelevant for an aggregation.</w:t>
      </w:r>
      <w:r w:rsidR="006E3B58">
        <w:rPr>
          <w:rStyle w:val="FootnoteReference"/>
        </w:rPr>
        <w:footnoteReference w:id="549"/>
      </w:r>
      <w:r w:rsidR="00DE3B54">
        <w:t xml:space="preserve">  For instance, Advanced Microgrid Solutions states that </w:t>
      </w:r>
      <w:r w:rsidRPr="00716CDF">
        <w:t>an aggregation of behind-the-meter resources does not have a</w:t>
      </w:r>
      <w:r w:rsidR="00DE3B54">
        <w:t>n</w:t>
      </w:r>
      <w:r w:rsidRPr="00716CDF">
        <w:t xml:space="preserve"> equivalent to a state of charge </w:t>
      </w:r>
      <w:r w:rsidR="00DE3B54">
        <w:t xml:space="preserve">for a single-site distributed energy resource </w:t>
      </w:r>
      <w:r w:rsidRPr="00716CDF">
        <w:t>to be used as a bid</w:t>
      </w:r>
      <w:r w:rsidR="001A3658">
        <w:t>ding</w:t>
      </w:r>
      <w:r w:rsidRPr="00716CDF">
        <w:t xml:space="preserve"> parameter</w:t>
      </w:r>
      <w:r w:rsidR="00547F0F">
        <w:t xml:space="preserve"> </w:t>
      </w:r>
      <w:r w:rsidR="00DE3B54">
        <w:t>for a fleet of aggregated distributed energy resources</w:t>
      </w:r>
      <w:r w:rsidR="00547F0F">
        <w:t xml:space="preserve"> and</w:t>
      </w:r>
      <w:r w:rsidR="001A3658">
        <w:t>,</w:t>
      </w:r>
      <w:r w:rsidRPr="00716CDF">
        <w:t xml:space="preserve"> instead, the aggregator must bid based on calculated availability and should be penalized if the fleet does not perform as bid.</w:t>
      </w:r>
      <w:r>
        <w:t xml:space="preserve">  Furthermore, </w:t>
      </w:r>
      <w:r w:rsidR="00547F0F">
        <w:t>M</w:t>
      </w:r>
      <w:r w:rsidRPr="00A50DBE">
        <w:t xml:space="preserve">icrogrid </w:t>
      </w:r>
      <w:r w:rsidR="00547F0F">
        <w:t>Resources Coalition</w:t>
      </w:r>
      <w:r w:rsidRPr="00A50DBE">
        <w:t xml:space="preserve"> assert</w:t>
      </w:r>
      <w:r w:rsidR="00547F0F">
        <w:t>s</w:t>
      </w:r>
      <w:r w:rsidRPr="00A50DBE">
        <w:t xml:space="preserve"> that microgrids can also provide wholesale services with suitable metering and controls but that their participation is frequently restricted.</w:t>
      </w:r>
      <w:r w:rsidRPr="00367C29" w:rsidR="00547F0F">
        <w:rPr>
          <w:rStyle w:val="FootnoteReference"/>
        </w:rPr>
        <w:footnoteReference w:id="550"/>
      </w:r>
      <w:r w:rsidRPr="00A50DBE">
        <w:t xml:space="preserve"> </w:t>
      </w:r>
      <w:r w:rsidR="00547F0F">
        <w:t xml:space="preserve"> </w:t>
      </w:r>
      <w:r w:rsidR="001A0D6B">
        <w:t>M</w:t>
      </w:r>
      <w:r w:rsidRPr="00A50DBE" w:rsidR="001A0D6B">
        <w:t xml:space="preserve">icrogrid </w:t>
      </w:r>
      <w:r w:rsidR="001A0D6B">
        <w:t>Resources Coalition</w:t>
      </w:r>
      <w:r w:rsidRPr="00A50DBE">
        <w:t xml:space="preserve"> argue</w:t>
      </w:r>
      <w:r w:rsidR="001A0D6B">
        <w:t>s</w:t>
      </w:r>
      <w:r w:rsidR="00547F0F">
        <w:t xml:space="preserve"> that</w:t>
      </w:r>
      <w:r w:rsidRPr="00A50DBE">
        <w:t xml:space="preserve"> it is important that the resource be able to define the limits of participation within the aggregation, so </w:t>
      </w:r>
      <w:r w:rsidR="00526CA6">
        <w:t xml:space="preserve">that </w:t>
      </w:r>
      <w:r w:rsidRPr="00A50DBE">
        <w:t xml:space="preserve">it can be dispatched within its own limits, noting </w:t>
      </w:r>
      <w:r w:rsidR="00547F0F">
        <w:t xml:space="preserve">that </w:t>
      </w:r>
      <w:r w:rsidR="00090085">
        <w:t>an aggregation</w:t>
      </w:r>
      <w:r w:rsidRPr="00A50DBE">
        <w:t xml:space="preserve"> </w:t>
      </w:r>
      <w:r w:rsidR="00090085">
        <w:t>would be subject to</w:t>
      </w:r>
      <w:r w:rsidRPr="00A50DBE">
        <w:t xml:space="preserve"> penalties if </w:t>
      </w:r>
      <w:r w:rsidR="00696937">
        <w:t>it</w:t>
      </w:r>
      <w:r w:rsidRPr="00A50DBE">
        <w:t xml:space="preserve"> can</w:t>
      </w:r>
      <w:r>
        <w:t>not</w:t>
      </w:r>
      <w:r w:rsidRPr="00A50DBE">
        <w:t xml:space="preserve"> comply.</w:t>
      </w:r>
      <w:r w:rsidRPr="00A50DBE" w:rsidR="001A0D6B">
        <w:t xml:space="preserve"> </w:t>
      </w:r>
    </w:p>
    <w:p w:rsidR="003C749A" w:rsidP="003C749A" w:rsidRDefault="003C749A" w14:paraId="5A36535F" w14:textId="1E78C0BA">
      <w:pPr>
        <w:pStyle w:val="FERCparanumber"/>
      </w:pPr>
      <w:r w:rsidRPr="00716CDF">
        <w:t>EPRI states that an injection of energy from a resource on the distribution system usually result</w:t>
      </w:r>
      <w:r>
        <w:t>s</w:t>
      </w:r>
      <w:r w:rsidRPr="00716CDF">
        <w:t xml:space="preserve"> in reduced losses as compared to the same injection on the transmission bus.</w:t>
      </w:r>
      <w:r w:rsidRPr="005E613C">
        <w:rPr>
          <w:rStyle w:val="FootnoteReference"/>
        </w:rPr>
        <w:footnoteReference w:id="551"/>
      </w:r>
      <w:r w:rsidRPr="00716CDF">
        <w:t xml:space="preserve">  EPRI </w:t>
      </w:r>
      <w:r>
        <w:t>argues</w:t>
      </w:r>
      <w:r w:rsidRPr="00716CDF">
        <w:t xml:space="preserve"> that th</w:t>
      </w:r>
      <w:r>
        <w:t xml:space="preserve">is reduction </w:t>
      </w:r>
      <w:r w:rsidRPr="00716CDF">
        <w:t>of losses is one of the substantial values that distributed energy resources can provide</w:t>
      </w:r>
      <w:r>
        <w:t xml:space="preserve"> and that this value should be reflected in marginal prices at distributed energy resource locations</w:t>
      </w:r>
      <w:r w:rsidRPr="00716CDF">
        <w:t>.</w:t>
      </w:r>
      <w:r w:rsidRPr="005E613C">
        <w:rPr>
          <w:rStyle w:val="FootnoteReference"/>
        </w:rPr>
        <w:footnoteReference w:id="552"/>
      </w:r>
      <w:r w:rsidRPr="00716CDF">
        <w:t xml:space="preserve">  EPRI states that the </w:t>
      </w:r>
      <w:r w:rsidR="00547F0F">
        <w:t>RTO/</w:t>
      </w:r>
      <w:r w:rsidRPr="00716CDF">
        <w:t>ISO may not be able to calculate the value without information on the distribution system</w:t>
      </w:r>
      <w:r>
        <w:t xml:space="preserve">, so this value may need to be included as a bidding parameter, which may </w:t>
      </w:r>
      <w:r w:rsidRPr="00716CDF">
        <w:t xml:space="preserve">require verification by the distribution utility. </w:t>
      </w:r>
    </w:p>
    <w:p w:rsidRPr="00716CDF" w:rsidR="003C749A" w:rsidP="003C749A" w:rsidRDefault="003C749A" w14:paraId="7129473D" w14:textId="6C4D819A">
      <w:pPr>
        <w:pStyle w:val="FERCparanumber"/>
      </w:pPr>
      <w:r w:rsidRPr="00716CDF">
        <w:t>Several RTOs/ISOs do not believe</w:t>
      </w:r>
      <w:r w:rsidR="009821FB">
        <w:t xml:space="preserve"> that</w:t>
      </w:r>
      <w:r w:rsidRPr="00716CDF">
        <w:t xml:space="preserve"> the Commission should mandate </w:t>
      </w:r>
      <w:r>
        <w:t xml:space="preserve">additional </w:t>
      </w:r>
      <w:r w:rsidRPr="00716CDF">
        <w:t>universal bidding parameters.  SPP believes that each RTO/ISO should have the discretion to develop bidding parameters that reflect their unique needs relative to their individual software and applications.</w:t>
      </w:r>
      <w:r w:rsidRPr="005E613C">
        <w:rPr>
          <w:rStyle w:val="FootnoteReference"/>
        </w:rPr>
        <w:footnoteReference w:id="553"/>
      </w:r>
      <w:r w:rsidRPr="00716CDF">
        <w:t xml:space="preserve">  CAISO notes that its existing market participation models available to distributed energy resource aggregations provide the means to account for the physical and operational characteristics of an aggregation</w:t>
      </w:r>
      <w:r>
        <w:t xml:space="preserve"> and argues that no</w:t>
      </w:r>
      <w:r w:rsidRPr="00716CDF">
        <w:t xml:space="preserve"> universal bidding parameters need to be established.</w:t>
      </w:r>
      <w:r w:rsidRPr="005E613C">
        <w:rPr>
          <w:rStyle w:val="FootnoteReference"/>
        </w:rPr>
        <w:footnoteReference w:id="554"/>
      </w:r>
      <w:r>
        <w:t xml:space="preserve">  </w:t>
      </w:r>
    </w:p>
    <w:p w:rsidRPr="00A615D1" w:rsidR="003C749A" w:rsidP="003C749A" w:rsidRDefault="003C749A" w14:paraId="579EE64C" w14:textId="55687446">
      <w:pPr>
        <w:pStyle w:val="FERCparanumber"/>
        <w:rPr>
          <w:lang w:eastAsia="ja-JP"/>
        </w:rPr>
      </w:pPr>
      <w:r w:rsidRPr="00716CDF">
        <w:t>Duke Energy argues that any RTO/ISO bidding parameters must treat all resources comparably and not favor certain new technologies or resources over others.</w:t>
      </w:r>
      <w:r w:rsidRPr="00111941">
        <w:rPr>
          <w:rStyle w:val="FootnoteReference"/>
        </w:rPr>
        <w:footnoteReference w:id="555"/>
      </w:r>
      <w:r>
        <w:t xml:space="preserve">  </w:t>
      </w:r>
      <w:r w:rsidRPr="00716CDF">
        <w:t xml:space="preserve">NRG contends that, for aggregations, bidding parameters should </w:t>
      </w:r>
      <w:r>
        <w:t xml:space="preserve">generally </w:t>
      </w:r>
      <w:r w:rsidRPr="00716CDF">
        <w:t>match the appropriate participation model</w:t>
      </w:r>
      <w:r w:rsidR="000B061B">
        <w:t>.  For example, NRG states</w:t>
      </w:r>
      <w:r>
        <w:t xml:space="preserve"> generation bidding parameters should apply to aggregations</w:t>
      </w:r>
      <w:r w:rsidRPr="00716CDF">
        <w:t xml:space="preserve"> composed strictly of distributed generators, </w:t>
      </w:r>
      <w:r>
        <w:t xml:space="preserve">and demand response bidding parameters should apply to aggregations </w:t>
      </w:r>
      <w:r w:rsidRPr="00716CDF">
        <w:t xml:space="preserve">containing </w:t>
      </w:r>
      <w:r>
        <w:t xml:space="preserve">only </w:t>
      </w:r>
      <w:r w:rsidRPr="00716CDF">
        <w:t xml:space="preserve">load resources with no ability </w:t>
      </w:r>
      <w:r w:rsidR="009B414A">
        <w:t>to</w:t>
      </w:r>
      <w:r w:rsidRPr="00716CDF">
        <w:t xml:space="preserve"> net inject into the system</w:t>
      </w:r>
      <w:r>
        <w:t>.</w:t>
      </w:r>
      <w:r w:rsidRPr="00111941" w:rsidR="009821FB">
        <w:rPr>
          <w:rStyle w:val="FootnoteReference"/>
        </w:rPr>
        <w:footnoteReference w:id="556"/>
      </w:r>
      <w:r w:rsidRPr="00716CDF">
        <w:t xml:space="preserve"> </w:t>
      </w:r>
      <w:r>
        <w:t xml:space="preserve"> NRG notes that </w:t>
      </w:r>
      <w:r w:rsidRPr="00716CDF">
        <w:t>the bidding parameters for bi-directional resources should be general enough to encompass requirements of distributed energy resource aggregators as well as storage</w:t>
      </w:r>
      <w:r w:rsidR="009821FB">
        <w:t>-only</w:t>
      </w:r>
      <w:r w:rsidRPr="00716CDF">
        <w:t xml:space="preserve"> resources.</w:t>
      </w:r>
    </w:p>
    <w:p w:rsidRPr="00ED6F47" w:rsidR="008D1463" w:rsidP="003C749A" w:rsidRDefault="003C749A" w14:paraId="509E899C" w14:textId="24F45748">
      <w:pPr>
        <w:pStyle w:val="FERCparanumber"/>
      </w:pPr>
      <w:r>
        <w:t>EPRI states that distribution factors are the primary unique parameter, noting that they may need to be allowed to vary dynamically in order for values to be as accurate as possible.</w:t>
      </w:r>
      <w:r w:rsidRPr="00367C29">
        <w:rPr>
          <w:rStyle w:val="FootnoteReference"/>
        </w:rPr>
        <w:footnoteReference w:id="557"/>
      </w:r>
      <w:r>
        <w:t xml:space="preserve">  EPRI also suggests that the value of marginal distribution losses on the distribution system is unique and may help the RTO/ISO determine economically efficient resources.  </w:t>
      </w:r>
    </w:p>
    <w:p w:rsidR="008D1463" w:rsidP="008D1463" w:rsidRDefault="008D1463" w14:paraId="6D1211B7" w14:textId="329ECFE7">
      <w:pPr>
        <w:pStyle w:val="Heading4"/>
      </w:pPr>
      <w:bookmarkStart w:name="_bmk53" w:id="90"/>
      <w:r>
        <w:t>C</w:t>
      </w:r>
      <w:bookmarkEnd w:id="90"/>
      <w:r>
        <w:t>ommission Determination</w:t>
      </w:r>
    </w:p>
    <w:p w:rsidR="007F6E35" w:rsidP="00AF4331" w:rsidRDefault="007F6E35" w14:paraId="45A6AAE4" w14:textId="3F49C923">
      <w:pPr>
        <w:pStyle w:val="FERCparanumber"/>
      </w:pPr>
      <w:r>
        <w:t xml:space="preserve">In this </w:t>
      </w:r>
      <w:r w:rsidRPr="00D51270" w:rsidR="00D51270">
        <w:t>final rule</w:t>
      </w:r>
      <w:r>
        <w:t xml:space="preserve">, </w:t>
      </w:r>
      <w:r w:rsidRPr="00A54C89">
        <w:t xml:space="preserve">we </w:t>
      </w:r>
      <w:r w:rsidR="00894B1E">
        <w:t>adopt</w:t>
      </w:r>
      <w:r w:rsidRPr="00A54C89">
        <w:t xml:space="preserve"> the NOPR proposal</w:t>
      </w:r>
      <w:r w:rsidR="00894B1E">
        <w:t>, as modified below,</w:t>
      </w:r>
      <w:r w:rsidRPr="00A54C89">
        <w:t xml:space="preserve"> and </w:t>
      </w:r>
      <w:r w:rsidRPr="00A54C89" w:rsidR="000B0FC8">
        <w:t xml:space="preserve">add </w:t>
      </w:r>
      <w:r w:rsidR="00F16837">
        <w:t>§</w:t>
      </w:r>
      <w:r w:rsidRPr="00A54C89" w:rsidR="000B0FC8">
        <w:t>35.</w:t>
      </w:r>
      <w:r w:rsidR="000B0FC8">
        <w:t>2</w:t>
      </w:r>
      <w:r w:rsidRPr="00494DBC" w:rsidR="000B0FC8">
        <w:t>8(g)(1</w:t>
      </w:r>
      <w:r w:rsidR="00CD5DB1">
        <w:t>2</w:t>
      </w:r>
      <w:r w:rsidRPr="00494DBC" w:rsidR="000B0FC8">
        <w:t>)(ii)(</w:t>
      </w:r>
      <w:r w:rsidR="002E3EE3">
        <w:t>c</w:t>
      </w:r>
      <w:r w:rsidRPr="00494DBC" w:rsidR="000B0FC8">
        <w:t>)</w:t>
      </w:r>
      <w:r w:rsidRPr="00A54C89" w:rsidR="000B0FC8">
        <w:t xml:space="preserve"> to the Commission’s regulations</w:t>
      </w:r>
      <w:r w:rsidR="000B0FC8">
        <w:t xml:space="preserve"> to </w:t>
      </w:r>
      <w:r>
        <w:t xml:space="preserve">require each RTO/ISO to </w:t>
      </w:r>
      <w:r w:rsidRPr="002E7DF2" w:rsidR="005F2700">
        <w:t xml:space="preserve">establish market rules </w:t>
      </w:r>
      <w:r w:rsidR="005F2700">
        <w:t>that address</w:t>
      </w:r>
      <w:r w:rsidR="00C52ADF">
        <w:t xml:space="preserve"> d</w:t>
      </w:r>
      <w:r w:rsidRPr="002E7DF2" w:rsidR="005F2700">
        <w:t>istribution factors and bidding parameters for distributed energy resource aggregations</w:t>
      </w:r>
      <w:r w:rsidR="00464204">
        <w:t xml:space="preserve">.  </w:t>
      </w:r>
      <w:bookmarkStart w:name="_Hlk46216215" w:id="91"/>
      <w:r w:rsidR="00464204">
        <w:t xml:space="preserve">Specifically, we </w:t>
      </w:r>
      <w:r>
        <w:t xml:space="preserve">require each RTO/ISO </w:t>
      </w:r>
      <w:r w:rsidR="00FF398D">
        <w:t xml:space="preserve">that </w:t>
      </w:r>
      <w:r w:rsidRPr="00976A78" w:rsidR="00FF398D">
        <w:t xml:space="preserve">allows multi-node aggregations </w:t>
      </w:r>
      <w:r w:rsidRPr="00976A78">
        <w:t xml:space="preserve">to revise its tariff </w:t>
      </w:r>
      <w:r w:rsidRPr="00976A78" w:rsidR="00AF4331">
        <w:t xml:space="preserve">to (1) require </w:t>
      </w:r>
      <w:r w:rsidRPr="00976A78" w:rsidR="00665CBA">
        <w:t xml:space="preserve">that </w:t>
      </w:r>
      <w:r w:rsidRPr="00976A78" w:rsidR="00AF4331">
        <w:t>distributed energy</w:t>
      </w:r>
      <w:r w:rsidR="00AF4331">
        <w:t xml:space="preserve"> </w:t>
      </w:r>
      <w:r w:rsidRPr="00976A78" w:rsidR="00AF4331">
        <w:t xml:space="preserve">resource aggregators </w:t>
      </w:r>
      <w:r w:rsidRPr="00976A78" w:rsidR="00665CBA">
        <w:t>give to the RTO/ISO</w:t>
      </w:r>
      <w:r w:rsidRPr="00976A78" w:rsidR="00AF4331">
        <w:t xml:space="preserve"> </w:t>
      </w:r>
      <w:r w:rsidRPr="00976A78" w:rsidR="00D04314">
        <w:t>the total distributed energy resource</w:t>
      </w:r>
      <w:r w:rsidRPr="00AF4331" w:rsidR="00D04314">
        <w:t xml:space="preserve"> aggregation response that would be </w:t>
      </w:r>
      <w:r w:rsidR="00D04314">
        <w:t>provided</w:t>
      </w:r>
      <w:r w:rsidRPr="00AF4331" w:rsidR="00D04314">
        <w:t xml:space="preserve"> from each pricing node</w:t>
      </w:r>
      <w:r w:rsidRPr="00AF4331" w:rsidR="00AF4331">
        <w:t>, where applicable, when they initially register their aggregation and to update the</w:t>
      </w:r>
      <w:r w:rsidR="00FF398D">
        <w:t>se distribution factors</w:t>
      </w:r>
      <w:r w:rsidRPr="00AF4331" w:rsidR="00AF4331">
        <w:t xml:space="preserve"> if </w:t>
      </w:r>
      <w:r w:rsidR="00FF398D">
        <w:t>they change</w:t>
      </w:r>
      <w:r w:rsidRPr="00AF4331" w:rsidR="00AF4331">
        <w:t>;</w:t>
      </w:r>
      <w:r w:rsidR="00FF398D">
        <w:rPr>
          <w:rStyle w:val="FootnoteReference"/>
        </w:rPr>
        <w:footnoteReference w:id="558"/>
      </w:r>
      <w:r w:rsidRPr="00AF4331" w:rsidR="00AF4331">
        <w:t xml:space="preserve"> and (</w:t>
      </w:r>
      <w:r w:rsidR="00FF398D">
        <w:t>2</w:t>
      </w:r>
      <w:r w:rsidRPr="00AF4331" w:rsidR="00AF4331">
        <w:t xml:space="preserve">) incorporate appropriate bidding parameters into its participation models as necessary to account for the physical and operational characteristics of </w:t>
      </w:r>
      <w:r w:rsidR="00AF4331">
        <w:t>distributed energy resource</w:t>
      </w:r>
      <w:r w:rsidRPr="00AF4331" w:rsidR="00AF4331">
        <w:t xml:space="preserve"> aggregations.</w:t>
      </w:r>
      <w:r w:rsidR="0055641A">
        <w:rPr>
          <w:rStyle w:val="FootnoteReference"/>
        </w:rPr>
        <w:footnoteReference w:id="559"/>
      </w:r>
      <w:r w:rsidR="006678D6">
        <w:t xml:space="preserve">  </w:t>
      </w:r>
      <w:bookmarkEnd w:id="91"/>
    </w:p>
    <w:p w:rsidR="000D5DA4" w:rsidP="000D5DA4" w:rsidRDefault="007F6E35" w14:paraId="7716F23A" w14:textId="0BBA5CB7">
      <w:pPr>
        <w:pStyle w:val="FERCparanumber"/>
      </w:pPr>
      <w:r>
        <w:t>As the Commission explained in the NOPR, RTOs/ISOs need to know which resources in a distributed energy resource aggregation will be responding to their dispatch signals and where those resources are located.</w:t>
      </w:r>
      <w:r w:rsidRPr="00367C29">
        <w:rPr>
          <w:rStyle w:val="FootnoteReference"/>
        </w:rPr>
        <w:footnoteReference w:id="560"/>
      </w:r>
      <w:r>
        <w:t xml:space="preserve">  As </w:t>
      </w:r>
      <w:r w:rsidR="00082E79">
        <w:t xml:space="preserve">the Commission </w:t>
      </w:r>
      <w:r>
        <w:t xml:space="preserve">also explained in the NOPR, this information is particularly important if the resources in a distributed energy resource aggregation are located across multiple points of interconnection, multiple transmission or distribution lines, or multiple nodes on the grid. </w:t>
      </w:r>
    </w:p>
    <w:p w:rsidRPr="005D4968" w:rsidR="000D5DA4" w:rsidP="000D5DA4" w:rsidRDefault="000D5DA4" w14:paraId="63A4A3C6" w14:textId="41F5B7CE">
      <w:pPr>
        <w:pStyle w:val="FERCparanumber"/>
      </w:pPr>
      <w:bookmarkStart w:name="_Hlk46216261" w:id="92"/>
      <w:r w:rsidRPr="005D4968">
        <w:t xml:space="preserve">Additionally, we agree with commenters that some bidding parameters for existing participation models may not accommodate the unique features of </w:t>
      </w:r>
      <w:r w:rsidR="00F70689">
        <w:t xml:space="preserve">certain </w:t>
      </w:r>
      <w:r w:rsidRPr="005D4968">
        <w:t xml:space="preserve">distributed energy resource aggregations, and that different bidding parameters may be needed to recognize </w:t>
      </w:r>
      <w:r w:rsidR="003E58CF">
        <w:t xml:space="preserve">distributed energy </w:t>
      </w:r>
      <w:r w:rsidRPr="005D4968">
        <w:t xml:space="preserve">resources’ multiple uses.  Therefore, we further modify the NOPR proposal to require that </w:t>
      </w:r>
      <w:r w:rsidR="009C06C5">
        <w:t>each</w:t>
      </w:r>
      <w:r w:rsidRPr="005D4968">
        <w:t xml:space="preserve"> RTO/ISO incorporate appropriate bidding parameters into</w:t>
      </w:r>
      <w:r w:rsidR="00C81CF2">
        <w:t xml:space="preserve"> </w:t>
      </w:r>
      <w:r w:rsidRPr="005D4968">
        <w:t xml:space="preserve">its participation models as necessary to account for the physical and operational characteristics of distributed energy resource aggregations.  In meeting this requirement, </w:t>
      </w:r>
      <w:r w:rsidR="009C06C5">
        <w:t>each</w:t>
      </w:r>
      <w:r w:rsidRPr="005D4968">
        <w:t xml:space="preserve"> RTO/ISO must either (1) </w:t>
      </w:r>
      <w:r w:rsidRPr="005D4968" w:rsidR="00212A1A">
        <w:t xml:space="preserve">incorporate appropriate bidding parameters that account for the physical and operational characteristics of </w:t>
      </w:r>
      <w:r w:rsidR="00212A1A">
        <w:t>distributed energy resource</w:t>
      </w:r>
      <w:r w:rsidRPr="005D4968" w:rsidR="00212A1A">
        <w:t xml:space="preserve"> aggregations into its </w:t>
      </w:r>
      <w:r w:rsidR="00A37771">
        <w:t>one or more</w:t>
      </w:r>
      <w:r w:rsidRPr="005D4968" w:rsidR="00212A1A">
        <w:t xml:space="preserve"> new participation model</w:t>
      </w:r>
      <w:r w:rsidR="00C81CF2">
        <w:t>s</w:t>
      </w:r>
      <w:r w:rsidRPr="005D4968" w:rsidR="00212A1A">
        <w:t xml:space="preserve"> for such aggregations</w:t>
      </w:r>
      <w:r w:rsidR="004875EE">
        <w:t xml:space="preserve">; </w:t>
      </w:r>
      <w:r w:rsidR="00A37771">
        <w:t>and/</w:t>
      </w:r>
      <w:r w:rsidR="00F96B1E">
        <w:t xml:space="preserve">or </w:t>
      </w:r>
      <w:r w:rsidR="004875EE">
        <w:t>(2)</w:t>
      </w:r>
      <w:r w:rsidRPr="005D4968">
        <w:t xml:space="preserve"> adjust the bidding parameters of the existing participation models to account for the physical and operational characteristics of </w:t>
      </w:r>
      <w:r w:rsidR="000C01B7">
        <w:t>distributed energy resource</w:t>
      </w:r>
      <w:r w:rsidRPr="005D4968">
        <w:t xml:space="preserve"> aggregations. </w:t>
      </w:r>
    </w:p>
    <w:bookmarkEnd w:id="92"/>
    <w:p w:rsidR="007F6E35" w:rsidP="007F6E35" w:rsidRDefault="007E0DBD" w14:paraId="25F6CD43" w14:textId="6B830921">
      <w:pPr>
        <w:pStyle w:val="FERCparanumber"/>
      </w:pPr>
      <w:r>
        <w:t>We find that</w:t>
      </w:r>
      <w:r w:rsidR="00720B98">
        <w:t xml:space="preserve"> the revisions directed </w:t>
      </w:r>
      <w:r w:rsidR="00603AD6">
        <w:t xml:space="preserve">by this </w:t>
      </w:r>
      <w:r w:rsidRPr="00D51270" w:rsidR="00D51270">
        <w:t>final rule</w:t>
      </w:r>
      <w:r w:rsidR="00603AD6">
        <w:t xml:space="preserve"> will</w:t>
      </w:r>
      <w:r>
        <w:t xml:space="preserve"> </w:t>
      </w:r>
      <w:r w:rsidR="007F6E35">
        <w:rPr>
          <w:szCs w:val="26"/>
        </w:rPr>
        <w:t>provide distributed energy resource aggregat</w:t>
      </w:r>
      <w:r w:rsidR="00C870E2">
        <w:rPr>
          <w:szCs w:val="26"/>
        </w:rPr>
        <w:t>or</w:t>
      </w:r>
      <w:r w:rsidR="00720B98">
        <w:rPr>
          <w:szCs w:val="26"/>
        </w:rPr>
        <w:t>s</w:t>
      </w:r>
      <w:r w:rsidR="007F6E35">
        <w:rPr>
          <w:szCs w:val="26"/>
        </w:rPr>
        <w:t xml:space="preserve"> with the flexibility to update </w:t>
      </w:r>
      <w:r w:rsidR="00720B98">
        <w:rPr>
          <w:szCs w:val="26"/>
        </w:rPr>
        <w:t>their</w:t>
      </w:r>
      <w:r w:rsidR="007F6E35">
        <w:rPr>
          <w:szCs w:val="26"/>
        </w:rPr>
        <w:t xml:space="preserve"> distribution factors and </w:t>
      </w:r>
      <w:r w:rsidR="00E1593D">
        <w:rPr>
          <w:szCs w:val="26"/>
        </w:rPr>
        <w:t xml:space="preserve">provide </w:t>
      </w:r>
      <w:r w:rsidR="007F6E35">
        <w:rPr>
          <w:szCs w:val="26"/>
        </w:rPr>
        <w:t>RTO</w:t>
      </w:r>
      <w:r w:rsidR="00E1593D">
        <w:rPr>
          <w:szCs w:val="26"/>
        </w:rPr>
        <w:t>s</w:t>
      </w:r>
      <w:r w:rsidR="007F6E35">
        <w:rPr>
          <w:szCs w:val="26"/>
        </w:rPr>
        <w:t>/ISO</w:t>
      </w:r>
      <w:r w:rsidR="00E1593D">
        <w:rPr>
          <w:szCs w:val="26"/>
        </w:rPr>
        <w:t>s</w:t>
      </w:r>
      <w:r w:rsidR="007F6E35">
        <w:rPr>
          <w:szCs w:val="26"/>
        </w:rPr>
        <w:t xml:space="preserve"> with </w:t>
      </w:r>
      <w:r w:rsidR="001148FF">
        <w:rPr>
          <w:szCs w:val="26"/>
        </w:rPr>
        <w:t xml:space="preserve">the </w:t>
      </w:r>
      <w:r w:rsidR="007F6E35">
        <w:rPr>
          <w:szCs w:val="26"/>
        </w:rPr>
        <w:t>information needed to model</w:t>
      </w:r>
      <w:r w:rsidDel="00C870E2" w:rsidR="007F6E35">
        <w:rPr>
          <w:szCs w:val="26"/>
        </w:rPr>
        <w:t xml:space="preserve"> </w:t>
      </w:r>
      <w:r w:rsidR="007F6E35">
        <w:rPr>
          <w:szCs w:val="26"/>
        </w:rPr>
        <w:t xml:space="preserve">aggregations accurately enough to </w:t>
      </w:r>
      <w:r w:rsidR="00A15D96">
        <w:rPr>
          <w:szCs w:val="26"/>
        </w:rPr>
        <w:t xml:space="preserve">issue feasible dispatch instructions and </w:t>
      </w:r>
      <w:r w:rsidR="007F6E35">
        <w:rPr>
          <w:szCs w:val="26"/>
        </w:rPr>
        <w:t xml:space="preserve">maintain reliability.  </w:t>
      </w:r>
      <w:r w:rsidR="007F6E35">
        <w:t xml:space="preserve">  </w:t>
      </w:r>
    </w:p>
    <w:p w:rsidRPr="008D1463" w:rsidR="008D1463" w:rsidP="007F6E35" w:rsidRDefault="007F6E35" w14:paraId="3B6CC578" w14:textId="5B316A47">
      <w:pPr>
        <w:pStyle w:val="FERCparanumber"/>
      </w:pPr>
      <w:r>
        <w:t xml:space="preserve">However, several commenters </w:t>
      </w:r>
      <w:r w:rsidR="005C252F">
        <w:t>contend</w:t>
      </w:r>
      <w:r>
        <w:t xml:space="preserve"> that </w:t>
      </w:r>
      <w:r w:rsidR="003C0309">
        <w:t>requiring the RTOs/ISOs to</w:t>
      </w:r>
      <w:r w:rsidR="00E53B66">
        <w:t xml:space="preserve"> </w:t>
      </w:r>
      <w:r w:rsidR="009B2FD8">
        <w:t>account for distribution factors and other bidding parameters</w:t>
      </w:r>
      <w:r w:rsidR="00BD5331">
        <w:t xml:space="preserve"> as described in the NOPR</w:t>
      </w:r>
      <w:r>
        <w:t xml:space="preserve"> may be technically difficult to implement, or of little benefit considering the</w:t>
      </w:r>
      <w:r w:rsidR="00CC61A4">
        <w:t xml:space="preserve"> RTO</w:t>
      </w:r>
      <w:r w:rsidR="00720B98">
        <w:t>’s</w:t>
      </w:r>
      <w:r w:rsidR="00CC61A4">
        <w:t>/ISO’s</w:t>
      </w:r>
      <w:r>
        <w:t xml:space="preserve"> network configuration</w:t>
      </w:r>
      <w:r w:rsidR="00E53B66">
        <w:t xml:space="preserve">.  </w:t>
      </w:r>
      <w:r w:rsidR="00832A2D">
        <w:t>In light of this concern</w:t>
      </w:r>
      <w:r w:rsidR="00E53B66">
        <w:t xml:space="preserve">, </w:t>
      </w:r>
      <w:r>
        <w:t>we find that</w:t>
      </w:r>
      <w:r w:rsidR="00495783">
        <w:t>,</w:t>
      </w:r>
      <w:r>
        <w:t xml:space="preserve"> </w:t>
      </w:r>
      <w:r w:rsidR="00E53B66">
        <w:t>in meeting this requirement</w:t>
      </w:r>
      <w:r w:rsidR="00BD5331">
        <w:t>,</w:t>
      </w:r>
      <w:r>
        <w:t xml:space="preserve"> each RTO/ISO </w:t>
      </w:r>
      <w:r w:rsidR="00460A21">
        <w:t xml:space="preserve">may </w:t>
      </w:r>
      <w:r>
        <w:t xml:space="preserve">revise its tariff </w:t>
      </w:r>
      <w:r w:rsidRPr="00C603F5" w:rsidR="00832A2D">
        <w:rPr>
          <w:bCs/>
        </w:rPr>
        <w:t xml:space="preserve">to manage the locational attributes of </w:t>
      </w:r>
      <w:r w:rsidRPr="00C603F5" w:rsidR="00B42766">
        <w:rPr>
          <w:bCs/>
        </w:rPr>
        <w:t>distributed energy resource</w:t>
      </w:r>
      <w:r w:rsidRPr="00C603F5" w:rsidR="00832A2D">
        <w:rPr>
          <w:bCs/>
        </w:rPr>
        <w:t xml:space="preserve"> aggregations</w:t>
      </w:r>
      <w:r w:rsidRPr="00832A2D" w:rsidR="00832A2D">
        <w:t xml:space="preserve"> </w:t>
      </w:r>
      <w:r w:rsidR="009B2FD8">
        <w:t xml:space="preserve">in a manner that </w:t>
      </w:r>
      <w:r>
        <w:t>reflect</w:t>
      </w:r>
      <w:r w:rsidR="009B2FD8">
        <w:t>s</w:t>
      </w:r>
      <w:r>
        <w:t xml:space="preserve"> </w:t>
      </w:r>
      <w:r w:rsidR="00610742">
        <w:t>the RTO’s/ISO’s</w:t>
      </w:r>
      <w:r>
        <w:t xml:space="preserve"> unique network configuration, infrastructure, and existing operational processes</w:t>
      </w:r>
      <w:r w:rsidR="00E53B66">
        <w:t xml:space="preserve">.  </w:t>
      </w:r>
      <w:r w:rsidR="00C870E2">
        <w:t>We</w:t>
      </w:r>
      <w:r>
        <w:t xml:space="preserve"> will evaluate</w:t>
      </w:r>
      <w:r w:rsidR="009B2FD8">
        <w:t>, upon compliance,</w:t>
      </w:r>
      <w:r>
        <w:t xml:space="preserve"> </w:t>
      </w:r>
      <w:r w:rsidR="00BD5331">
        <w:t xml:space="preserve">the RTO’s/ISO’s </w:t>
      </w:r>
      <w:r w:rsidR="00F86831">
        <w:t>proposal</w:t>
      </w:r>
      <w:r w:rsidR="00BD5331">
        <w:t xml:space="preserve"> to ensure that it will </w:t>
      </w:r>
      <w:r>
        <w:t xml:space="preserve">provide the RTO/ISO with </w:t>
      </w:r>
      <w:r w:rsidR="00F07267">
        <w:t xml:space="preserve">sufficient </w:t>
      </w:r>
      <w:r>
        <w:t xml:space="preserve">information from resources in a </w:t>
      </w:r>
      <w:r w:rsidR="00F86831">
        <w:t xml:space="preserve">multi-node </w:t>
      </w:r>
      <w:r>
        <w:t xml:space="preserve">distributed energy resource aggregation </w:t>
      </w:r>
      <w:r w:rsidR="00BD5331">
        <w:t xml:space="preserve">that is </w:t>
      </w:r>
      <w:r>
        <w:t xml:space="preserve">necessary to reliably operate </w:t>
      </w:r>
      <w:r w:rsidR="00E1593D">
        <w:t xml:space="preserve">its </w:t>
      </w:r>
      <w:r>
        <w:t>systems</w:t>
      </w:r>
      <w:r w:rsidR="00847485">
        <w:t xml:space="preserve"> </w:t>
      </w:r>
      <w:r w:rsidRPr="00847485" w:rsidR="00847485">
        <w:t xml:space="preserve">without imposing </w:t>
      </w:r>
      <w:r w:rsidRPr="009B19A6" w:rsidR="00847485">
        <w:t xml:space="preserve">undue burden </w:t>
      </w:r>
      <w:r w:rsidR="00D63B70">
        <w:t>on</w:t>
      </w:r>
      <w:r w:rsidRPr="009B19A6" w:rsidR="00847485">
        <w:t xml:space="preserve"> individual distributed energy resources or utility distribution companies</w:t>
      </w:r>
      <w:r w:rsidRPr="009B19A6">
        <w:t>.</w:t>
      </w:r>
      <w:r w:rsidRPr="009B19A6">
        <w:rPr>
          <w:rStyle w:val="FootnoteReference"/>
        </w:rPr>
        <w:footnoteReference w:id="561"/>
      </w:r>
      <w:r w:rsidRPr="009B19A6">
        <w:t xml:space="preserve"> </w:t>
      </w:r>
      <w:r w:rsidRPr="009B19A6" w:rsidR="00FA31AE">
        <w:t xml:space="preserve"> </w:t>
      </w:r>
      <w:r w:rsidRPr="00976A78" w:rsidR="00FA31AE">
        <w:t xml:space="preserve">RTOs/ISOs that allow </w:t>
      </w:r>
      <w:r w:rsidRPr="00976A78" w:rsidR="007D0CE2">
        <w:t>multi</w:t>
      </w:r>
      <w:r w:rsidRPr="00976A78" w:rsidR="00FA31AE">
        <w:t xml:space="preserve">-node aggregations </w:t>
      </w:r>
      <w:r w:rsidRPr="00976A78" w:rsidR="007D0CE2">
        <w:t xml:space="preserve">must, at </w:t>
      </w:r>
      <w:r w:rsidRPr="00976A78" w:rsidR="00D2739F">
        <w:t xml:space="preserve">a </w:t>
      </w:r>
      <w:r w:rsidRPr="00976A78" w:rsidR="007D0CE2">
        <w:t>minimum, pro</w:t>
      </w:r>
      <w:r w:rsidRPr="00976A78" w:rsidR="009B19A6">
        <w:t>pose</w:t>
      </w:r>
      <w:r w:rsidRPr="00976A78" w:rsidR="007D0CE2">
        <w:t xml:space="preserve"> clear</w:t>
      </w:r>
      <w:r w:rsidRPr="009B19A6" w:rsidR="007D0CE2">
        <w:t xml:space="preserve"> protocols explaining how a distributed energy resource aggregation can provide the required </w:t>
      </w:r>
      <w:r w:rsidRPr="001B3552" w:rsidR="007D0CE2">
        <w:t>information and update that information when needed.</w:t>
      </w:r>
      <w:r>
        <w:t xml:space="preserve">    </w:t>
      </w:r>
    </w:p>
    <w:p w:rsidR="00E73BEF" w:rsidP="00E73BEF" w:rsidRDefault="00E73BEF" w14:paraId="2268259B" w14:textId="693E96D5">
      <w:pPr>
        <w:pStyle w:val="Heading2"/>
      </w:pPr>
      <w:bookmarkStart w:name="_bmk54" w:id="93"/>
      <w:r>
        <w:t>I</w:t>
      </w:r>
      <w:bookmarkEnd w:id="93"/>
      <w:r>
        <w:t>nformation and Data Requirements</w:t>
      </w:r>
    </w:p>
    <w:p w:rsidR="008D1463" w:rsidP="008D1463" w:rsidRDefault="008D1463" w14:paraId="6591924D" w14:textId="77777777">
      <w:pPr>
        <w:pStyle w:val="Heading4"/>
      </w:pPr>
      <w:bookmarkStart w:name="_bmk55" w:id="94"/>
      <w:r>
        <w:t>N</w:t>
      </w:r>
      <w:bookmarkEnd w:id="94"/>
      <w:r>
        <w:t>OPR Proposal</w:t>
      </w:r>
    </w:p>
    <w:p w:rsidRPr="00FD3E5A" w:rsidR="008D1463" w:rsidP="00670934" w:rsidRDefault="00436212" w14:paraId="1CA67635" w14:textId="69946547">
      <w:pPr>
        <w:pStyle w:val="FERCparanumber"/>
        <w:rPr>
          <w:szCs w:val="26"/>
        </w:rPr>
      </w:pPr>
      <w:r w:rsidRPr="00FD3E5A">
        <w:rPr>
          <w:szCs w:val="26"/>
        </w:rPr>
        <w:t xml:space="preserve">In the NOPR, the Commission </w:t>
      </w:r>
      <w:r w:rsidRPr="00FB46EA">
        <w:t xml:space="preserve">proposed that the </w:t>
      </w:r>
      <w:r>
        <w:t>distributed energy resource</w:t>
      </w:r>
      <w:r w:rsidRPr="00FB46EA">
        <w:t xml:space="preserve"> aggregator</w:t>
      </w:r>
      <w:r w:rsidR="00F418BA">
        <w:t xml:space="preserve"> must</w:t>
      </w:r>
      <w:r w:rsidRPr="00FB46EA">
        <w:t xml:space="preserve"> initially provide to the RTO/ISO a description of the physical parameters of the </w:t>
      </w:r>
      <w:r>
        <w:t>distributed energy resource</w:t>
      </w:r>
      <w:r w:rsidRPr="00FB46EA">
        <w:t xml:space="preserve"> aggregation, including</w:t>
      </w:r>
      <w:r>
        <w:t xml:space="preserve"> </w:t>
      </w:r>
      <w:r w:rsidRPr="00FB46EA">
        <w:t>(1) the total capacity; (2) the minimum and maximum operating limits; (3) the ramp rate; (4) the minimum run time; and (5) the default distribution factors, if applicable.</w:t>
      </w:r>
      <w:r w:rsidRPr="00AC20F1">
        <w:rPr>
          <w:rStyle w:val="FootnoteReference"/>
        </w:rPr>
        <w:footnoteReference w:id="562"/>
      </w:r>
      <w:r w:rsidRPr="00FB46EA">
        <w:t xml:space="preserve">  The Commission also proposed to require each RTO/ISO to revise its tariff to require </w:t>
      </w:r>
      <w:r w:rsidR="00637B76">
        <w:t xml:space="preserve">each </w:t>
      </w:r>
      <w:r>
        <w:t>distributed energy resource</w:t>
      </w:r>
      <w:r w:rsidRPr="00FB46EA">
        <w:t xml:space="preserve"> </w:t>
      </w:r>
      <w:r w:rsidRPr="00FD3E5A">
        <w:rPr>
          <w:szCs w:val="26"/>
        </w:rPr>
        <w:t>aggregator to provide the RTO/ISO with a list of the distributed energy resources in the distributed energy resource aggregation that includes information about each of those distributed energy resources, including each resource’s capacity, location on the distribution system, and operating limits.</w:t>
      </w:r>
      <w:r w:rsidRPr="00FB46EA">
        <w:t xml:space="preserve">  </w:t>
      </w:r>
      <w:r w:rsidR="008443D6">
        <w:t>In addition, t</w:t>
      </w:r>
      <w:r w:rsidRPr="00FB46EA">
        <w:t>he Commission</w:t>
      </w:r>
      <w:r w:rsidRPr="00FB46EA" w:rsidDel="008443D6">
        <w:t xml:space="preserve"> </w:t>
      </w:r>
      <w:r w:rsidRPr="00FD3E5A">
        <w:rPr>
          <w:szCs w:val="26"/>
        </w:rPr>
        <w:t xml:space="preserve">proposed to </w:t>
      </w:r>
      <w:r w:rsidRPr="00D42988">
        <w:rPr>
          <w:szCs w:val="26"/>
        </w:rPr>
        <w:t>require each RTO/ISO to revise its tariff to require di</w:t>
      </w:r>
      <w:r w:rsidRPr="00F703BB">
        <w:rPr>
          <w:szCs w:val="26"/>
        </w:rPr>
        <w:t>stributed energy resource</w:t>
      </w:r>
      <w:r w:rsidRPr="00FD3E5A">
        <w:rPr>
          <w:szCs w:val="26"/>
        </w:rPr>
        <w:t xml:space="preserve"> aggregators to maintain aggregate settlement data for the distributed energy resource aggregation so that the RTO/ISO can regularly settle with the distributed energy resource aggregator for its market participation.</w:t>
      </w:r>
      <w:r w:rsidRPr="00AC20F1">
        <w:rPr>
          <w:rStyle w:val="FootnoteReference"/>
        </w:rPr>
        <w:footnoteReference w:id="563"/>
      </w:r>
      <w:r w:rsidRPr="00FD3E5A">
        <w:rPr>
          <w:szCs w:val="26"/>
        </w:rPr>
        <w:t xml:space="preserve">  Lastly, the</w:t>
      </w:r>
      <w:r w:rsidRPr="00D42988">
        <w:rPr>
          <w:szCs w:val="26"/>
        </w:rPr>
        <w:t xml:space="preserve"> Commission proposed to require </w:t>
      </w:r>
      <w:r w:rsidRPr="00FD3E5A">
        <w:rPr>
          <w:szCs w:val="26"/>
        </w:rPr>
        <w:t>distributed energy resource aggregators to maintain data</w:t>
      </w:r>
      <w:r w:rsidRPr="00FD3E5A" w:rsidR="008443D6">
        <w:rPr>
          <w:szCs w:val="26"/>
        </w:rPr>
        <w:t>,</w:t>
      </w:r>
      <w:r w:rsidRPr="00FD3E5A">
        <w:rPr>
          <w:szCs w:val="26"/>
        </w:rPr>
        <w:t xml:space="preserve"> for a length of time consistent with the RTO’s/ISO’s auditing requirements, for each individual resource in its distributed energy resource aggregation so that each resource can verify its performance if audited.  The Commission sought comment on these proposed data requirements and on whether there are information and data requirements imposed by RTOs/ISOs that apply to other market participants that should not apply to individual distributed energy resources participating in </w:t>
      </w:r>
      <w:r w:rsidRPr="00FD3E5A" w:rsidR="008443D6">
        <w:rPr>
          <w:szCs w:val="26"/>
        </w:rPr>
        <w:t>RTO/ISO</w:t>
      </w:r>
      <w:r w:rsidRPr="00FD3E5A">
        <w:rPr>
          <w:szCs w:val="26"/>
        </w:rPr>
        <w:t xml:space="preserve"> markets through a distributed energy resource aggregation.</w:t>
      </w:r>
      <w:r w:rsidRPr="00AC20F1">
        <w:rPr>
          <w:rStyle w:val="FootnoteReference"/>
        </w:rPr>
        <w:footnoteReference w:id="564"/>
      </w:r>
    </w:p>
    <w:p w:rsidR="008D1463" w:rsidP="008D1463" w:rsidRDefault="008D1463" w14:paraId="391187C0" w14:textId="77777777">
      <w:pPr>
        <w:pStyle w:val="Heading4"/>
      </w:pPr>
      <w:bookmarkStart w:name="_bmk56" w:id="95"/>
      <w:r>
        <w:t>C</w:t>
      </w:r>
      <w:bookmarkEnd w:id="95"/>
      <w:r>
        <w:t>omments</w:t>
      </w:r>
    </w:p>
    <w:p w:rsidRPr="00B57856" w:rsidR="00436212" w:rsidP="00436212" w:rsidRDefault="00436212" w14:paraId="2193D845" w14:textId="6FA1DF53">
      <w:pPr>
        <w:pStyle w:val="FERCparanumber"/>
      </w:pPr>
      <w:r>
        <w:t xml:space="preserve">Some commenters support the NOPR proposal to require </w:t>
      </w:r>
      <w:r w:rsidRPr="009F0A9E">
        <w:t xml:space="preserve">information and data requirements </w:t>
      </w:r>
      <w:r w:rsidR="000803E7">
        <w:t>for</w:t>
      </w:r>
      <w:r w:rsidR="00A007F7">
        <w:t xml:space="preserve"> </w:t>
      </w:r>
      <w:r>
        <w:t xml:space="preserve">individual distributed energy resources.  </w:t>
      </w:r>
      <w:r w:rsidRPr="00FB46EA">
        <w:t>CAISO</w:t>
      </w:r>
      <w:r>
        <w:t>,</w:t>
      </w:r>
      <w:r w:rsidRPr="00FB46EA">
        <w:t xml:space="preserve"> EEI</w:t>
      </w:r>
      <w:r>
        <w:t>, and Organization of MISO States</w:t>
      </w:r>
      <w:r w:rsidRPr="00FB46EA">
        <w:t xml:space="preserve"> support requiring </w:t>
      </w:r>
      <w:r>
        <w:t>distributed energy resource</w:t>
      </w:r>
      <w:r w:rsidRPr="00FB46EA">
        <w:t xml:space="preserve"> aggregators to provide a list of individual resources and their location and technical capabilities.</w:t>
      </w:r>
      <w:r w:rsidRPr="00367C29">
        <w:rPr>
          <w:rStyle w:val="FootnoteReference"/>
        </w:rPr>
        <w:footnoteReference w:id="565"/>
      </w:r>
      <w:r w:rsidRPr="00FB46EA">
        <w:t xml:space="preserve">  </w:t>
      </w:r>
      <w:r w:rsidRPr="00B57856">
        <w:t xml:space="preserve">The New York Commission asserts that local distribution utilities must have information on the activities of </w:t>
      </w:r>
      <w:r>
        <w:t>distributed energy resource</w:t>
      </w:r>
      <w:r w:rsidRPr="00B57856">
        <w:t>s, even when they are only providing wholesale services.</w:t>
      </w:r>
      <w:r w:rsidRPr="00367C29">
        <w:rPr>
          <w:rStyle w:val="FootnoteReference"/>
        </w:rPr>
        <w:footnoteReference w:id="566"/>
      </w:r>
      <w:r>
        <w:t xml:space="preserve">  However</w:t>
      </w:r>
      <w:r w:rsidRPr="00BA4B76">
        <w:t>, Mosaic Power requests that electric distribution companies address their operational need for information in the least restrictive manner possible</w:t>
      </w:r>
      <w:r>
        <w:t>, given</w:t>
      </w:r>
      <w:r w:rsidR="005E0D9A">
        <w:t xml:space="preserve"> that</w:t>
      </w:r>
      <w:r>
        <w:t xml:space="preserve"> account owner registration requirements would create prohibitive costs under its business model</w:t>
      </w:r>
      <w:r w:rsidRPr="00BA4B76">
        <w:t>.</w:t>
      </w:r>
      <w:r w:rsidRPr="00367C29">
        <w:rPr>
          <w:rStyle w:val="FootnoteReference"/>
        </w:rPr>
        <w:footnoteReference w:id="567"/>
      </w:r>
      <w:r w:rsidRPr="00BA4B76">
        <w:t xml:space="preserve">  </w:t>
      </w:r>
      <w:r w:rsidRPr="00FB46EA">
        <w:t>ISO-NE and NYISO request that the Commission give them flexibility to develop their own information and data requirements and urge the Commission to provide only high-level guidance.</w:t>
      </w:r>
      <w:r w:rsidRPr="00367C29">
        <w:rPr>
          <w:rStyle w:val="FootnoteReference"/>
        </w:rPr>
        <w:footnoteReference w:id="568"/>
      </w:r>
      <w:r w:rsidRPr="00FB46EA">
        <w:t xml:space="preserve">  </w:t>
      </w:r>
    </w:p>
    <w:p w:rsidRPr="00FB46EA" w:rsidR="00436212" w:rsidP="00436212" w:rsidRDefault="00436212" w14:paraId="3FDC9EDE" w14:textId="0F204DA2">
      <w:pPr>
        <w:pStyle w:val="FERCparanumber"/>
      </w:pPr>
      <w:r w:rsidRPr="00FB46EA">
        <w:t xml:space="preserve">In contrast, many developers argue that information and data requirements should only apply to the </w:t>
      </w:r>
      <w:r>
        <w:t>distributed energy resource</w:t>
      </w:r>
      <w:r w:rsidRPr="00FB46EA">
        <w:t xml:space="preserve"> aggregation as a whole because (1) it is the single interface with the RTO/ISO</w:t>
      </w:r>
      <w:r w:rsidR="00190C11">
        <w:t>;</w:t>
      </w:r>
      <w:r w:rsidRPr="00FB46EA">
        <w:t xml:space="preserve"> and (2) it is not necessary for the RTO/ISO to model each and every resource included in an aggregation to effectively model and dispatch the aggregation.</w:t>
      </w:r>
      <w:r w:rsidRPr="00951095">
        <w:rPr>
          <w:rStyle w:val="FootnoteReference"/>
        </w:rPr>
        <w:footnoteReference w:id="569"/>
      </w:r>
      <w:r w:rsidRPr="00825900">
        <w:rPr>
          <w:bCs/>
        </w:rPr>
        <w:t xml:space="preserve"> </w:t>
      </w:r>
      <w:r w:rsidRPr="00FB46EA">
        <w:t xml:space="preserve"> Efficient Holdings claims that failure to account for the dynamic nature of </w:t>
      </w:r>
      <w:r w:rsidR="005E0D9A">
        <w:t xml:space="preserve">a </w:t>
      </w:r>
      <w:r>
        <w:t>distributed energy resource</w:t>
      </w:r>
      <w:r w:rsidR="005E0D9A">
        <w:t xml:space="preserve"> </w:t>
      </w:r>
      <w:r w:rsidRPr="00FB46EA">
        <w:t>aggregat</w:t>
      </w:r>
      <w:r w:rsidR="005E0D9A">
        <w:t>ion</w:t>
      </w:r>
      <w:r w:rsidRPr="00FB46EA">
        <w:t xml:space="preserve"> asset’s performance capabilities </w:t>
      </w:r>
      <w:r>
        <w:t xml:space="preserve">and the likely turnover of individual resources within a distributed energy resource aggregation </w:t>
      </w:r>
      <w:r w:rsidRPr="00FB46EA">
        <w:t>will place undue burden on these assets.</w:t>
      </w:r>
      <w:r w:rsidRPr="00405F82">
        <w:rPr>
          <w:rStyle w:val="FootnoteReference"/>
        </w:rPr>
        <w:footnoteReference w:id="570"/>
      </w:r>
      <w:r w:rsidRPr="00FB46EA">
        <w:t xml:space="preserve">  </w:t>
      </w:r>
    </w:p>
    <w:p w:rsidRPr="00B57856" w:rsidR="00436212" w:rsidP="00436212" w:rsidRDefault="00436212" w14:paraId="0DC76F49" w14:textId="7E6FB524">
      <w:pPr>
        <w:pStyle w:val="FERCparanumber"/>
      </w:pPr>
      <w:r w:rsidRPr="00FB46EA">
        <w:t xml:space="preserve">Several commenters believe </w:t>
      </w:r>
      <w:r w:rsidRPr="00B57856">
        <w:t xml:space="preserve">RTOs/ISOs </w:t>
      </w:r>
      <w:r w:rsidR="00141E8A">
        <w:t xml:space="preserve">currently </w:t>
      </w:r>
      <w:r w:rsidRPr="00B57856">
        <w:t>have</w:t>
      </w:r>
      <w:r w:rsidRPr="00FB46EA">
        <w:t xml:space="preserve"> information and data requirements </w:t>
      </w:r>
      <w:r w:rsidR="00141E8A">
        <w:t>for</w:t>
      </w:r>
      <w:r w:rsidRPr="00FB46EA">
        <w:t xml:space="preserve"> other market participants that should not apply to individual </w:t>
      </w:r>
      <w:r>
        <w:t>distributed energy resource</w:t>
      </w:r>
      <w:r w:rsidRPr="00FB46EA">
        <w:t xml:space="preserve">s participating in </w:t>
      </w:r>
      <w:r w:rsidR="00141E8A">
        <w:t>RTO/ISO</w:t>
      </w:r>
      <w:r w:rsidRPr="00FB46EA">
        <w:t xml:space="preserve"> markets through an aggregation.</w:t>
      </w:r>
      <w:r w:rsidRPr="00367C29">
        <w:rPr>
          <w:rStyle w:val="FootnoteReference"/>
        </w:rPr>
        <w:footnoteReference w:id="571"/>
      </w:r>
      <w:r w:rsidRPr="00FB46EA">
        <w:t xml:space="preserve">  For example, CAISO explains that it has certain requirements that do not apply to </w:t>
      </w:r>
      <w:r>
        <w:t>distributed energy resource</w:t>
      </w:r>
      <w:r w:rsidRPr="00FB46EA">
        <w:t xml:space="preserve">s in an aggregation (e.g., its meteorological data requirements that apply to eligible intermittent </w:t>
      </w:r>
      <w:r w:rsidRPr="00B57856">
        <w:t xml:space="preserve">resources do not extend to a </w:t>
      </w:r>
      <w:r>
        <w:t>distributed energy resource</w:t>
      </w:r>
      <w:r w:rsidRPr="00B57856">
        <w:t xml:space="preserve"> aggregation) and urges the Commission to maintain a degree of flexibility on this issue.</w:t>
      </w:r>
      <w:r w:rsidRPr="00367C29">
        <w:rPr>
          <w:rStyle w:val="FootnoteReference"/>
        </w:rPr>
        <w:footnoteReference w:id="572"/>
      </w:r>
      <w:r w:rsidRPr="00B57856">
        <w:t xml:space="preserve">  R Street Institute similarly argues that requiring </w:t>
      </w:r>
      <w:r w:rsidRPr="00FB46EA">
        <w:t xml:space="preserve">the same meteorological data for </w:t>
      </w:r>
      <w:r>
        <w:t>distributed energy resource</w:t>
      </w:r>
      <w:r w:rsidRPr="00FB46EA">
        <w:t xml:space="preserve"> aggregators as stand-alone variable energy resources could impose undue burden</w:t>
      </w:r>
      <w:r w:rsidR="0034283A">
        <w:t>s</w:t>
      </w:r>
      <w:r w:rsidRPr="00FB46EA">
        <w:t xml:space="preserve"> on individual </w:t>
      </w:r>
      <w:r>
        <w:t>distributed energy resource</w:t>
      </w:r>
      <w:r w:rsidRPr="00FB46EA">
        <w:t>s.</w:t>
      </w:r>
      <w:r w:rsidRPr="00367C29">
        <w:rPr>
          <w:rStyle w:val="FootnoteReference"/>
        </w:rPr>
        <w:footnoteReference w:id="573"/>
      </w:r>
      <w:r w:rsidRPr="00FB46EA">
        <w:t xml:space="preserve">  </w:t>
      </w:r>
      <w:r w:rsidRPr="00B57856">
        <w:t xml:space="preserve">MISO argues that current data communication methods between MISO, the local balancing authority, and </w:t>
      </w:r>
      <w:r w:rsidR="00D273CB">
        <w:t xml:space="preserve">the </w:t>
      </w:r>
      <w:r w:rsidRPr="00B57856">
        <w:t xml:space="preserve">generation operator may be cost prohibitive for </w:t>
      </w:r>
      <w:r>
        <w:t>distributed energy resource</w:t>
      </w:r>
      <w:r w:rsidRPr="00B57856">
        <w:t xml:space="preserve"> aggregators.</w:t>
      </w:r>
      <w:r w:rsidRPr="00367C29">
        <w:rPr>
          <w:rStyle w:val="FootnoteReference"/>
        </w:rPr>
        <w:footnoteReference w:id="574"/>
      </w:r>
      <w:r w:rsidRPr="00B57856">
        <w:t xml:space="preserve"> </w:t>
      </w:r>
      <w:r>
        <w:t xml:space="preserve"> </w:t>
      </w:r>
      <w:r w:rsidRPr="00FB46EA">
        <w:t xml:space="preserve">However, </w:t>
      </w:r>
      <w:r w:rsidR="0034283A">
        <w:t>several</w:t>
      </w:r>
      <w:r w:rsidRPr="00FB46EA">
        <w:t xml:space="preserve"> </w:t>
      </w:r>
      <w:r w:rsidR="004F1CA6">
        <w:t xml:space="preserve">distribution </w:t>
      </w:r>
      <w:r w:rsidRPr="00FB46EA">
        <w:t>utilities argue that information and data requirements should be comparable for all wholesale market participants.</w:t>
      </w:r>
      <w:r w:rsidRPr="00405F82">
        <w:rPr>
          <w:rStyle w:val="FootnoteReference"/>
        </w:rPr>
        <w:footnoteReference w:id="575"/>
      </w:r>
      <w:r w:rsidRPr="00FB46EA">
        <w:t xml:space="preserve">  </w:t>
      </w:r>
    </w:p>
    <w:p w:rsidR="00436212" w:rsidP="00436212" w:rsidRDefault="00436212" w14:paraId="370505AF" w14:textId="041BEBA9">
      <w:pPr>
        <w:pStyle w:val="FERCparanumber"/>
      </w:pPr>
      <w:r w:rsidRPr="00FB46EA">
        <w:t xml:space="preserve">Some commenters generally support the requirements for </w:t>
      </w:r>
      <w:r>
        <w:t>distributed energy resource</w:t>
      </w:r>
      <w:r w:rsidRPr="00FB46EA">
        <w:t xml:space="preserve"> aggregators to maintain aggregate settlement data</w:t>
      </w:r>
      <w:r w:rsidRPr="00026E87">
        <w:rPr>
          <w:rStyle w:val="FootnoteReference"/>
        </w:rPr>
        <w:footnoteReference w:id="576"/>
      </w:r>
      <w:r w:rsidRPr="00FB46EA">
        <w:t xml:space="preserve"> and maintain data for a </w:t>
      </w:r>
      <w:r>
        <w:t xml:space="preserve">defined </w:t>
      </w:r>
      <w:r w:rsidRPr="00FB46EA">
        <w:t>length of time, consistent with the RTO’s/ISO’s auditing requirements, for each individual resource in the aggregation so that each resource can verify its performance if audited.</w:t>
      </w:r>
      <w:r w:rsidRPr="00026E87">
        <w:rPr>
          <w:rStyle w:val="FootnoteReference"/>
        </w:rPr>
        <w:footnoteReference w:id="577"/>
      </w:r>
      <w:r w:rsidRPr="00FB46EA">
        <w:t xml:space="preserve">  However, Sunrun requests that RTOs/ISOs only apply these requirements to the aggregation and not to individual resources within the aggregation.</w:t>
      </w:r>
      <w:r w:rsidRPr="00026E87">
        <w:rPr>
          <w:rStyle w:val="FootnoteReference"/>
        </w:rPr>
        <w:footnoteReference w:id="578"/>
      </w:r>
      <w:r w:rsidRPr="00FB46EA">
        <w:t xml:space="preserve"> </w:t>
      </w:r>
    </w:p>
    <w:p w:rsidRPr="00ED6F47" w:rsidR="008D1463" w:rsidP="00436212" w:rsidRDefault="00436212" w14:paraId="7091A8F0" w14:textId="0E096BB0">
      <w:pPr>
        <w:pStyle w:val="FERCparanumber"/>
      </w:pPr>
      <w:r w:rsidRPr="00797076">
        <w:t xml:space="preserve">Advanced Energy Buyers state that RTOs/ISOs should facilitate streamlined data collection and sharing, including from the RTO/ISO to the distribution utility, to enable data-driven planning and operation to maximize efficiency, as well as to send good investment signals to enable customers to prioritize delivery of </w:t>
      </w:r>
      <w:r>
        <w:t>distributed energy resource</w:t>
      </w:r>
      <w:r w:rsidRPr="00797076">
        <w:t>s where they will add maximum value.</w:t>
      </w:r>
      <w:r w:rsidRPr="00E72708">
        <w:rPr>
          <w:rStyle w:val="FootnoteReference"/>
        </w:rPr>
        <w:footnoteReference w:id="579"/>
      </w:r>
      <w:r w:rsidRPr="00E72708">
        <w:rPr>
          <w:rStyle w:val="FootnoteReference"/>
        </w:rPr>
        <w:t xml:space="preserve"> </w:t>
      </w:r>
      <w:r w:rsidRPr="00797076">
        <w:t xml:space="preserve"> </w:t>
      </w:r>
    </w:p>
    <w:p w:rsidR="008D1463" w:rsidP="008D1463" w:rsidRDefault="008D1463" w14:paraId="1F0AF760" w14:textId="77777777">
      <w:pPr>
        <w:pStyle w:val="Heading4"/>
      </w:pPr>
      <w:bookmarkStart w:name="_bmk57" w:id="96"/>
      <w:r>
        <w:t>C</w:t>
      </w:r>
      <w:bookmarkEnd w:id="96"/>
      <w:r>
        <w:t>ommission Determination</w:t>
      </w:r>
    </w:p>
    <w:p w:rsidR="001B6A0B" w:rsidP="001B6A0B" w:rsidRDefault="00436212" w14:paraId="66B0D0D2" w14:textId="7CFE3539">
      <w:pPr>
        <w:pStyle w:val="FERCparanumber"/>
      </w:pPr>
      <w:r w:rsidRPr="00FB46EA">
        <w:t xml:space="preserve">Upon consideration of the comments, </w:t>
      </w:r>
      <w:r>
        <w:t>we</w:t>
      </w:r>
      <w:r w:rsidR="00A35AC4">
        <w:t xml:space="preserve"> adopt the NOPR proposal, with modifications</w:t>
      </w:r>
      <w:r>
        <w:t xml:space="preserve">, and add </w:t>
      </w:r>
      <w:r w:rsidR="00F16837">
        <w:t>§</w:t>
      </w:r>
      <w:r>
        <w:t xml:space="preserve"> 35.2</w:t>
      </w:r>
      <w:r w:rsidR="00CB3F54">
        <w:t>8</w:t>
      </w:r>
      <w:r>
        <w:t>(g)(1</w:t>
      </w:r>
      <w:r w:rsidR="00CD5DB1">
        <w:t>2</w:t>
      </w:r>
      <w:r>
        <w:t>)(ii)(d) to the Commission’s regulations</w:t>
      </w:r>
      <w:r w:rsidR="00B93E4E">
        <w:t xml:space="preserve"> to require each RTO/ISO to establish market rules that address i</w:t>
      </w:r>
      <w:r w:rsidRPr="002E7DF2" w:rsidR="00B93E4E">
        <w:t xml:space="preserve">nformation </w:t>
      </w:r>
      <w:r w:rsidR="004D67B4">
        <w:t xml:space="preserve">requirements </w:t>
      </w:r>
      <w:r w:rsidRPr="002E7DF2" w:rsidR="00B93E4E">
        <w:t>and data requirements for distributed energy resource aggregations</w:t>
      </w:r>
      <w:r w:rsidRPr="00FB46EA">
        <w:t xml:space="preserve">.  </w:t>
      </w:r>
      <w:r w:rsidRPr="00800FC3" w:rsidR="001B6A0B">
        <w:t xml:space="preserve">Specifically, we </w:t>
      </w:r>
      <w:r w:rsidRPr="004E69A7" w:rsidR="001B6A0B">
        <w:t xml:space="preserve">require each RTO/ISO to revise its tariff to (1) include any requirements for </w:t>
      </w:r>
      <w:r w:rsidRPr="004F3CDA" w:rsidR="001B6A0B">
        <w:t xml:space="preserve">distributed energy resource aggregators that establish the information and data that a distributed energy resource aggregator must provide about the physical and operational characteristics of its </w:t>
      </w:r>
      <w:r w:rsidRPr="00976A78" w:rsidR="001B6A0B">
        <w:t>aggregation</w:t>
      </w:r>
      <w:r w:rsidRPr="00976A78" w:rsidR="005D5555">
        <w:t>;</w:t>
      </w:r>
      <w:r w:rsidRPr="00976A78" w:rsidR="005342A2">
        <w:t xml:space="preserve"> </w:t>
      </w:r>
      <w:r w:rsidRPr="00976A78" w:rsidR="001B6A0B">
        <w:t>(2) require distributed energy resource aggregators to provide a list of the individual resources in its aggregation</w:t>
      </w:r>
      <w:r w:rsidRPr="00976A78" w:rsidR="005D5555">
        <w:t>;</w:t>
      </w:r>
      <w:r w:rsidRPr="00976A78" w:rsidR="001B6A0B">
        <w:t xml:space="preserve"> and </w:t>
      </w:r>
      <w:r w:rsidRPr="00976A78" w:rsidR="005342A2">
        <w:t xml:space="preserve">(3) </w:t>
      </w:r>
      <w:r w:rsidRPr="00976A78" w:rsidR="001B6A0B">
        <w:t xml:space="preserve">establish </w:t>
      </w:r>
      <w:r w:rsidRPr="00976A78" w:rsidR="005342A2">
        <w:t>any</w:t>
      </w:r>
      <w:r w:rsidRPr="00976A78" w:rsidR="001B6A0B">
        <w:t xml:space="preserve"> necessary information that</w:t>
      </w:r>
      <w:r w:rsidRPr="00800FC3" w:rsidR="001B6A0B">
        <w:t xml:space="preserve"> must be submitted for the individual </w:t>
      </w:r>
      <w:r w:rsidR="00800FC3">
        <w:t xml:space="preserve">distributed energy </w:t>
      </w:r>
      <w:r w:rsidRPr="00800FC3" w:rsidR="001B6A0B">
        <w:t xml:space="preserve">resources.  We also require each RTO/ISO to revise its tariff to require distributed energy resource aggregators to provide aggregate settlement data for the distributed energy resource aggregation and </w:t>
      </w:r>
      <w:r w:rsidRPr="00976A78" w:rsidR="00BC4B70">
        <w:t xml:space="preserve">to retain </w:t>
      </w:r>
      <w:r w:rsidRPr="00800FC3" w:rsidR="001B6A0B">
        <w:t>performance data for individual distributed energy resources in a distributed energy resource aggregation for auditing purposes.</w:t>
      </w:r>
      <w:r w:rsidRPr="001B6A0B" w:rsidR="001B6A0B">
        <w:t xml:space="preserve">  </w:t>
      </w:r>
    </w:p>
    <w:p w:rsidRPr="00FB46EA" w:rsidR="00436212" w:rsidP="00436212" w:rsidRDefault="00436212" w14:paraId="4BA10C47" w14:textId="62D45295">
      <w:pPr>
        <w:pStyle w:val="FERCparanumber"/>
      </w:pPr>
      <w:r w:rsidRPr="00FB46EA">
        <w:t xml:space="preserve">With respect to the </w:t>
      </w:r>
      <w:r w:rsidR="00BC401B">
        <w:t xml:space="preserve">NOPR proposal </w:t>
      </w:r>
      <w:r w:rsidRPr="00532139" w:rsidR="00BC401B">
        <w:t xml:space="preserve">that the </w:t>
      </w:r>
      <w:r w:rsidR="00BC401B">
        <w:t>distributed energy resource</w:t>
      </w:r>
      <w:r w:rsidRPr="00532139" w:rsidR="00BC401B">
        <w:t xml:space="preserve"> aggregator initially provide to the RTO/ISO</w:t>
      </w:r>
      <w:r w:rsidR="00BC401B">
        <w:t xml:space="preserve"> “</w:t>
      </w:r>
      <w:r w:rsidRPr="00532139" w:rsidR="00BC401B">
        <w:t xml:space="preserve">a description of the physical parameters of the </w:t>
      </w:r>
      <w:r w:rsidR="00BC401B">
        <w:t>distributed energy resource</w:t>
      </w:r>
      <w:r w:rsidRPr="00532139" w:rsidR="00BC401B">
        <w:t xml:space="preserve"> aggregation</w:t>
      </w:r>
      <w:r w:rsidR="00BC401B">
        <w:t>,”</w:t>
      </w:r>
      <w:r w:rsidR="00BC401B">
        <w:rPr>
          <w:rStyle w:val="FootnoteReference"/>
        </w:rPr>
        <w:footnoteReference w:id="580"/>
      </w:r>
      <w:r w:rsidR="00BC401B">
        <w:t xml:space="preserve"> we believe that the </w:t>
      </w:r>
      <w:r w:rsidRPr="00FB46EA">
        <w:t xml:space="preserve">physical attributes of the </w:t>
      </w:r>
      <w:r>
        <w:t>distributed energy resource</w:t>
      </w:r>
      <w:r w:rsidRPr="00FB46EA">
        <w:t xml:space="preserve"> aggregation as a whole</w:t>
      </w:r>
      <w:r w:rsidR="00BC401B">
        <w:t xml:space="preserve"> </w:t>
      </w:r>
      <w:r w:rsidRPr="00FB46EA">
        <w:t xml:space="preserve">may already be captured by </w:t>
      </w:r>
      <w:r w:rsidR="008A4742">
        <w:t xml:space="preserve">an RTO’s/ISO’s </w:t>
      </w:r>
      <w:r w:rsidRPr="00FB46EA">
        <w:t xml:space="preserve">registration requirements for all market participants or may otherwise be inapplicable </w:t>
      </w:r>
      <w:r w:rsidR="008A4742">
        <w:t>to</w:t>
      </w:r>
      <w:r w:rsidRPr="00FB46EA">
        <w:t xml:space="preserve"> </w:t>
      </w:r>
      <w:r>
        <w:t>distributed energy resource</w:t>
      </w:r>
      <w:r w:rsidRPr="00FB46EA">
        <w:t xml:space="preserve"> aggregations.  Therefore, to avoid creating unnecessary or redundant requirements for </w:t>
      </w:r>
      <w:r>
        <w:t>distributed energy resource</w:t>
      </w:r>
      <w:r w:rsidRPr="00FB46EA">
        <w:t xml:space="preserve"> aggregations and to provide flexibility to the RTOs/ISOs, </w:t>
      </w:r>
      <w:r>
        <w:t xml:space="preserve">we </w:t>
      </w:r>
      <w:r w:rsidR="00D273CB">
        <w:t>do</w:t>
      </w:r>
      <w:r>
        <w:t xml:space="preserve"> not adopt</w:t>
      </w:r>
      <w:r w:rsidR="00BC401B">
        <w:t xml:space="preserve"> that proposal. </w:t>
      </w:r>
      <w:r>
        <w:t xml:space="preserve"> Rather, we </w:t>
      </w:r>
      <w:r w:rsidRPr="00FB46EA">
        <w:t xml:space="preserve">require the RTOs/ISOs to </w:t>
      </w:r>
      <w:r w:rsidR="00A007F7">
        <w:t>revise their tariffs to</w:t>
      </w:r>
      <w:r w:rsidRPr="00FB46EA">
        <w:t xml:space="preserve"> establish any necessary physical parameters that </w:t>
      </w:r>
      <w:r>
        <w:t>distributed energy resource</w:t>
      </w:r>
      <w:r w:rsidRPr="00FB46EA">
        <w:t xml:space="preserve"> aggregators </w:t>
      </w:r>
      <w:r w:rsidR="00BC401B">
        <w:t>must</w:t>
      </w:r>
      <w:r w:rsidRPr="00FB46EA">
        <w:t xml:space="preserve"> submit as part of their registration process</w:t>
      </w:r>
      <w:r>
        <w:t xml:space="preserve"> only to the extent the</w:t>
      </w:r>
      <w:r w:rsidR="00B04929">
        <w:t>se parameters</w:t>
      </w:r>
      <w:r>
        <w:t xml:space="preserve"> are not</w:t>
      </w:r>
      <w:r w:rsidRPr="00FB46EA">
        <w:t xml:space="preserve"> </w:t>
      </w:r>
      <w:r>
        <w:t>already</w:t>
      </w:r>
      <w:r w:rsidRPr="00FB46EA">
        <w:t xml:space="preserve"> represented </w:t>
      </w:r>
      <w:r>
        <w:t>in</w:t>
      </w:r>
      <w:r w:rsidRPr="00FB46EA">
        <w:t xml:space="preserve"> general registration req</w:t>
      </w:r>
      <w:r>
        <w:t>uirements or bidding parameters</w:t>
      </w:r>
      <w:r w:rsidRPr="00D85102" w:rsidR="00D85102">
        <w:t xml:space="preserve"> </w:t>
      </w:r>
      <w:r w:rsidR="00D85102">
        <w:t>applicable to distributed energy resource aggregations</w:t>
      </w:r>
      <w:r>
        <w:t xml:space="preserve">. </w:t>
      </w:r>
      <w:r w:rsidR="00D42988">
        <w:t xml:space="preserve"> </w:t>
      </w:r>
    </w:p>
    <w:p w:rsidR="00436212" w:rsidP="00436212" w:rsidRDefault="00436212" w14:paraId="7C60D07D" w14:textId="077A83AB">
      <w:pPr>
        <w:pStyle w:val="FERCparanumber"/>
      </w:pPr>
      <w:r w:rsidRPr="00FB46EA">
        <w:t xml:space="preserve">With respect to information requirements for individual </w:t>
      </w:r>
      <w:r>
        <w:t>distributed energy resource</w:t>
      </w:r>
      <w:r w:rsidRPr="00FB46EA">
        <w:t xml:space="preserve">s, </w:t>
      </w:r>
      <w:r>
        <w:t>we</w:t>
      </w:r>
      <w:r w:rsidRPr="00FB46EA">
        <w:t xml:space="preserve"> </w:t>
      </w:r>
      <w:r w:rsidR="00D273CB">
        <w:t xml:space="preserve">do </w:t>
      </w:r>
      <w:r w:rsidR="004F1CA6">
        <w:t>not</w:t>
      </w:r>
      <w:r w:rsidRPr="00FB46EA">
        <w:t xml:space="preserve"> adopt the NOPR proposal to require each RTO/ISO to revise its tariff to require </w:t>
      </w:r>
      <w:r>
        <w:t>distributed energy resource</w:t>
      </w:r>
      <w:r w:rsidRPr="00FB46EA">
        <w:t xml:space="preserve"> aggregators to provide the RTO/ISO with specific information about each of the </w:t>
      </w:r>
      <w:r>
        <w:t>distributed energy resource</w:t>
      </w:r>
      <w:r w:rsidRPr="00FB46EA">
        <w:t>s in an aggregation, including each resource’s capacity, location on the distribution system, and operating limits</w:t>
      </w:r>
      <w:r>
        <w:t xml:space="preserve">.  Instead, </w:t>
      </w:r>
      <w:r w:rsidR="004F1CA6">
        <w:t>w</w:t>
      </w:r>
      <w:r>
        <w:t xml:space="preserve">e </w:t>
      </w:r>
      <w:r w:rsidR="00DE63B2">
        <w:t>direct</w:t>
      </w:r>
      <w:r>
        <w:t xml:space="preserve"> </w:t>
      </w:r>
      <w:r w:rsidR="00A631EE">
        <w:t xml:space="preserve">each </w:t>
      </w:r>
      <w:r w:rsidR="00DE63B2">
        <w:t xml:space="preserve">RTO/ISO to revise </w:t>
      </w:r>
      <w:r w:rsidR="00A631EE">
        <w:t xml:space="preserve">its </w:t>
      </w:r>
      <w:r w:rsidR="00DE63B2">
        <w:t>tariff to</w:t>
      </w:r>
      <w:r>
        <w:t xml:space="preserve"> require distributed energy resource</w:t>
      </w:r>
      <w:r w:rsidRPr="00FB46EA">
        <w:t xml:space="preserve"> aggregators to provide a list of the individual </w:t>
      </w:r>
      <w:r>
        <w:t>distributed energy resource</w:t>
      </w:r>
      <w:r w:rsidRPr="00FB46EA">
        <w:t xml:space="preserve">s participating in </w:t>
      </w:r>
      <w:r w:rsidR="00DE63B2">
        <w:t>their</w:t>
      </w:r>
      <w:r w:rsidRPr="00FB46EA" w:rsidR="00DE63B2">
        <w:t xml:space="preserve"> </w:t>
      </w:r>
      <w:r w:rsidRPr="00FB46EA">
        <w:t>aggregat</w:t>
      </w:r>
      <w:r>
        <w:t>ion</w:t>
      </w:r>
      <w:r w:rsidR="00DF5F7C">
        <w:t>s</w:t>
      </w:r>
      <w:r>
        <w:t xml:space="preserve"> to the RTO/ISO</w:t>
      </w:r>
      <w:r w:rsidR="00DF5F7C">
        <w:t xml:space="preserve">.  </w:t>
      </w:r>
      <w:r w:rsidR="0022229A">
        <w:t>If an RTO/ISO</w:t>
      </w:r>
      <w:r w:rsidR="005F166A">
        <w:t xml:space="preserve"> </w:t>
      </w:r>
      <w:r w:rsidR="00412637">
        <w:t xml:space="preserve">needs additional information </w:t>
      </w:r>
      <w:r w:rsidR="002A082C">
        <w:t xml:space="preserve">beyond this list, </w:t>
      </w:r>
      <w:r w:rsidR="00111F6E">
        <w:t>the</w:t>
      </w:r>
      <w:r w:rsidR="002A082C">
        <w:t xml:space="preserve"> </w:t>
      </w:r>
      <w:r w:rsidRPr="00FB46EA">
        <w:t xml:space="preserve">RTO/ISO </w:t>
      </w:r>
      <w:r w:rsidR="00532655">
        <w:t xml:space="preserve">should identify and explain </w:t>
      </w:r>
      <w:r w:rsidR="005A5ACD">
        <w:t xml:space="preserve">in its compliance filing </w:t>
      </w:r>
      <w:r w:rsidR="00115AE5">
        <w:t xml:space="preserve">what additional </w:t>
      </w:r>
      <w:r>
        <w:t xml:space="preserve">specific </w:t>
      </w:r>
      <w:r w:rsidRPr="00FB46EA">
        <w:t>information about</w:t>
      </w:r>
      <w:r w:rsidR="00DF5F7C">
        <w:t xml:space="preserve"> the</w:t>
      </w:r>
      <w:r w:rsidRPr="00FB46EA">
        <w:t xml:space="preserve"> individual </w:t>
      </w:r>
      <w:r>
        <w:t>distributed energy resource</w:t>
      </w:r>
      <w:r w:rsidRPr="00FB46EA">
        <w:t>s within an aggregation that th</w:t>
      </w:r>
      <w:r>
        <w:t xml:space="preserve">e RTO/ISO </w:t>
      </w:r>
      <w:r w:rsidR="00E06EE7">
        <w:t>needs</w:t>
      </w:r>
      <w:r w:rsidR="009911A7">
        <w:t xml:space="preserve">.  The RTO/ISO </w:t>
      </w:r>
      <w:r w:rsidR="006C17A8">
        <w:t xml:space="preserve">should also </w:t>
      </w:r>
      <w:r w:rsidR="00272243">
        <w:t xml:space="preserve">propose </w:t>
      </w:r>
      <w:r w:rsidR="00545F98">
        <w:t>how</w:t>
      </w:r>
      <w:r>
        <w:t xml:space="preserve"> </w:t>
      </w:r>
      <w:r w:rsidR="00545F98">
        <w:t xml:space="preserve">the </w:t>
      </w:r>
      <w:r>
        <w:t xml:space="preserve">information </w:t>
      </w:r>
      <w:r w:rsidR="006303BF">
        <w:t xml:space="preserve">requested </w:t>
      </w:r>
      <w:r>
        <w:t xml:space="preserve">must be shared with the RTO/ISO and affected distribution utilities. </w:t>
      </w:r>
      <w:r w:rsidRPr="00FB46EA">
        <w:t xml:space="preserve"> </w:t>
      </w:r>
      <w:r w:rsidR="001D1D0D">
        <w:t>As part of these tariff revisions,</w:t>
      </w:r>
      <w:r w:rsidR="00DE63B2">
        <w:t xml:space="preserve"> </w:t>
      </w:r>
      <w:r w:rsidR="00C32A61">
        <w:t xml:space="preserve">and as further discussed in </w:t>
      </w:r>
      <w:r w:rsidR="00A2228F">
        <w:t xml:space="preserve">   </w:t>
      </w:r>
      <w:r w:rsidRPr="00D54036" w:rsidR="00F16837">
        <w:t>S</w:t>
      </w:r>
      <w:r w:rsidRPr="00D54036" w:rsidR="00C32A61">
        <w:t xml:space="preserve">ection </w:t>
      </w:r>
      <w:r w:rsidRPr="00D54036" w:rsidR="00B21315">
        <w:t>I</w:t>
      </w:r>
      <w:r w:rsidRPr="00D54036" w:rsidR="00C32A61">
        <w:t>V.</w:t>
      </w:r>
      <w:r w:rsidRPr="00D54036" w:rsidR="00F45A6D">
        <w:t>I</w:t>
      </w:r>
      <w:r w:rsidRPr="00D54036" w:rsidR="00C32A61">
        <w:t xml:space="preserve">. </w:t>
      </w:r>
      <w:r w:rsidR="00C32A61">
        <w:t xml:space="preserve">below, </w:t>
      </w:r>
      <w:r w:rsidR="000031E8">
        <w:t>each</w:t>
      </w:r>
      <w:r w:rsidRPr="00FB46EA" w:rsidR="000031E8">
        <w:t xml:space="preserve"> </w:t>
      </w:r>
      <w:r w:rsidR="00DE63B2">
        <w:t xml:space="preserve">RTO/ISO </w:t>
      </w:r>
      <w:r w:rsidR="001D1D0D">
        <w:t>must</w:t>
      </w:r>
      <w:r w:rsidR="00DE63B2">
        <w:t xml:space="preserve"> </w:t>
      </w:r>
      <w:r w:rsidR="00B9541B">
        <w:t xml:space="preserve">also </w:t>
      </w:r>
      <w:r w:rsidR="00DE63B2">
        <w:t>require that the</w:t>
      </w:r>
      <w:r w:rsidRPr="00FB46EA">
        <w:t xml:space="preserve"> </w:t>
      </w:r>
      <w:r>
        <w:t>distributed energy resource</w:t>
      </w:r>
      <w:r w:rsidRPr="00FB46EA">
        <w:t xml:space="preserve"> aggregator update that list </w:t>
      </w:r>
      <w:r w:rsidR="000031E8">
        <w:t>of individual resources</w:t>
      </w:r>
      <w:r w:rsidR="00BC4B70">
        <w:t xml:space="preserve"> and associated information</w:t>
      </w:r>
      <w:r w:rsidR="000031E8">
        <w:t xml:space="preserve"> </w:t>
      </w:r>
      <w:r w:rsidRPr="00FB46EA">
        <w:t>as it changes</w:t>
      </w:r>
      <w:r>
        <w:t>.</w:t>
      </w:r>
      <w:r w:rsidRPr="00FB46EA">
        <w:t xml:space="preserve">  </w:t>
      </w:r>
      <w:r w:rsidR="005A5ACD">
        <w:t>W</w:t>
      </w:r>
      <w:r w:rsidR="00B04929">
        <w:t xml:space="preserve">e find that this approach provides greater flexibility to RTOs/ISOs and </w:t>
      </w:r>
      <w:r w:rsidR="006046E9">
        <w:t xml:space="preserve">imposes </w:t>
      </w:r>
      <w:r w:rsidR="00B04929">
        <w:t xml:space="preserve">potentially less onerous requirements </w:t>
      </w:r>
      <w:r w:rsidR="006046E9">
        <w:t>upon</w:t>
      </w:r>
      <w:r w:rsidR="00B04929">
        <w:t xml:space="preserve"> distributed energy resource aggregators, while ensuring that necessary information is conveyed to RTOs/ISOs.</w:t>
      </w:r>
    </w:p>
    <w:p w:rsidRPr="00FB46EA" w:rsidR="00436212" w:rsidP="00436212" w:rsidRDefault="00436212" w14:paraId="292B3D4E" w14:textId="503D34C7">
      <w:pPr>
        <w:pStyle w:val="FERCparanumber"/>
      </w:pPr>
      <w:r>
        <w:t xml:space="preserve">We also </w:t>
      </w:r>
      <w:r w:rsidRPr="00FB46EA">
        <w:t xml:space="preserve">clarify that the </w:t>
      </w:r>
      <w:r>
        <w:t>distributed energy resource</w:t>
      </w:r>
      <w:r w:rsidRPr="00FB46EA">
        <w:t xml:space="preserve"> aggregator, not </w:t>
      </w:r>
      <w:r w:rsidR="005A5ACD">
        <w:t>an</w:t>
      </w:r>
      <w:r w:rsidRPr="00FB46EA">
        <w:t xml:space="preserve"> individual </w:t>
      </w:r>
      <w:r>
        <w:t>distributed energy resource</w:t>
      </w:r>
      <w:r w:rsidRPr="00FB46EA">
        <w:t xml:space="preserve"> in the aggregation, is the single point of contact with the RTO/ISO</w:t>
      </w:r>
      <w:r w:rsidR="00B4262C">
        <w:t>,</w:t>
      </w:r>
      <w:r w:rsidRPr="00FB46EA">
        <w:rPr>
          <w:szCs w:val="26"/>
        </w:rPr>
        <w:t xml:space="preserve"> and the aggregator would be responsible for managing, dispatching, metering</w:t>
      </w:r>
      <w:r w:rsidR="00B4262C">
        <w:rPr>
          <w:szCs w:val="26"/>
        </w:rPr>
        <w:t>,</w:t>
      </w:r>
      <w:r w:rsidRPr="00FB46EA">
        <w:rPr>
          <w:szCs w:val="26"/>
        </w:rPr>
        <w:t xml:space="preserve"> and settling the individual </w:t>
      </w:r>
      <w:r>
        <w:rPr>
          <w:szCs w:val="26"/>
        </w:rPr>
        <w:t>distributed energy resource</w:t>
      </w:r>
      <w:r w:rsidRPr="00FB46EA">
        <w:rPr>
          <w:szCs w:val="26"/>
        </w:rPr>
        <w:t>s in its aggregation</w:t>
      </w:r>
      <w:r w:rsidRPr="00FB46EA">
        <w:t xml:space="preserve">.  As such, the RTO/ISO </w:t>
      </w:r>
      <w:r w:rsidR="0052572D">
        <w:t xml:space="preserve">may </w:t>
      </w:r>
      <w:r w:rsidRPr="00FB46EA">
        <w:t xml:space="preserve">only need </w:t>
      </w:r>
      <w:r w:rsidR="004F1CA6">
        <w:t xml:space="preserve">the </w:t>
      </w:r>
      <w:r w:rsidRPr="00FB46EA">
        <w:t xml:space="preserve">information necessary to model and dispatch the </w:t>
      </w:r>
      <w:r>
        <w:t>distributed energy resource</w:t>
      </w:r>
      <w:r w:rsidRPr="00FB46EA">
        <w:t xml:space="preserve"> aggregation as a whole, and </w:t>
      </w:r>
      <w:r w:rsidR="00D07103">
        <w:t xml:space="preserve">thus </w:t>
      </w:r>
      <w:r w:rsidR="004F1CA6">
        <w:t>we</w:t>
      </w:r>
      <w:r w:rsidRPr="00FB46EA">
        <w:t xml:space="preserve"> agree with commenters that </w:t>
      </w:r>
      <w:r w:rsidR="00B4262C">
        <w:t xml:space="preserve">sharing </w:t>
      </w:r>
      <w:r w:rsidRPr="00FB46EA">
        <w:t xml:space="preserve">detailed information about the individual </w:t>
      </w:r>
      <w:r>
        <w:t>distributed energy resource</w:t>
      </w:r>
      <w:r w:rsidRPr="00FB46EA">
        <w:t xml:space="preserve">s may be an unnecessary and unduly burdensome requirement.  </w:t>
      </w:r>
      <w:r>
        <w:t xml:space="preserve">We believe that the modified approach described above </w:t>
      </w:r>
      <w:r w:rsidRPr="00FB46EA">
        <w:t xml:space="preserve">strikes a reasonable balance between the information needs of RTOs/ISOs and the burden that providing such information can place on </w:t>
      </w:r>
      <w:r>
        <w:t>distributed energy resource</w:t>
      </w:r>
      <w:r w:rsidRPr="00FB46EA">
        <w:t xml:space="preserve"> aggregato</w:t>
      </w:r>
      <w:r w:rsidR="006F6C96">
        <w:t>r</w:t>
      </w:r>
      <w:r w:rsidRPr="00FB46EA">
        <w:t xml:space="preserve">s seeking to participate in </w:t>
      </w:r>
      <w:r w:rsidR="004F1CA6">
        <w:t>RTO/ISO</w:t>
      </w:r>
      <w:r w:rsidRPr="00FB46EA">
        <w:t xml:space="preserve"> markets.</w:t>
      </w:r>
    </w:p>
    <w:p w:rsidRPr="008D1463" w:rsidR="008D1463" w:rsidP="00FB7BE4" w:rsidRDefault="00436212" w14:paraId="212D653D" w14:textId="216B576C">
      <w:pPr>
        <w:pStyle w:val="FERCparanumber"/>
      </w:pPr>
      <w:r w:rsidRPr="00FB46EA">
        <w:t xml:space="preserve">With respect to the aggregate settlement data for </w:t>
      </w:r>
      <w:r>
        <w:t>a</w:t>
      </w:r>
      <w:r w:rsidRPr="00FB46EA">
        <w:t xml:space="preserve"> </w:t>
      </w:r>
      <w:r>
        <w:t>distributed energy resource</w:t>
      </w:r>
      <w:r w:rsidRPr="00FB46EA">
        <w:t xml:space="preserve"> aggregation, as well as performance data for individual </w:t>
      </w:r>
      <w:r>
        <w:t>distributed energy resource</w:t>
      </w:r>
      <w:r w:rsidRPr="00FB46EA">
        <w:t xml:space="preserve">s in a </w:t>
      </w:r>
      <w:r>
        <w:t>distributed energy resource</w:t>
      </w:r>
      <w:r w:rsidRPr="00FB46EA">
        <w:t xml:space="preserve"> aggregation, </w:t>
      </w:r>
      <w:r>
        <w:t>we find that these</w:t>
      </w:r>
      <w:r w:rsidR="00D5283B">
        <w:t xml:space="preserve"> sets of</w:t>
      </w:r>
      <w:r>
        <w:t xml:space="preserve"> information are necessary </w:t>
      </w:r>
      <w:r w:rsidRPr="00FB46EA">
        <w:t xml:space="preserve">for the participation of any type of resource in </w:t>
      </w:r>
      <w:r w:rsidR="004F1CA6">
        <w:t>RTO/ISO</w:t>
      </w:r>
      <w:r w:rsidRPr="00FB46EA">
        <w:t xml:space="preserve"> markets</w:t>
      </w:r>
      <w:r>
        <w:t xml:space="preserve"> and to enable RTOs/ISOs to perform necessary audit functions</w:t>
      </w:r>
      <w:r w:rsidR="00565CA3">
        <w:t>.</w:t>
      </w:r>
      <w:r>
        <w:t xml:space="preserve"> </w:t>
      </w:r>
      <w:r w:rsidR="00565CA3">
        <w:t xml:space="preserve"> T</w:t>
      </w:r>
      <w:r>
        <w:t>here</w:t>
      </w:r>
      <w:r w:rsidR="00565CA3">
        <w:t>fore,</w:t>
      </w:r>
      <w:r>
        <w:t xml:space="preserve"> </w:t>
      </w:r>
      <w:r w:rsidR="004E7B89">
        <w:t xml:space="preserve">we </w:t>
      </w:r>
      <w:r>
        <w:t>adopt the</w:t>
      </w:r>
      <w:r w:rsidRPr="00FB46EA">
        <w:t xml:space="preserve"> NOPR proposal</w:t>
      </w:r>
      <w:r w:rsidR="00565CA3">
        <w:t xml:space="preserve"> to </w:t>
      </w:r>
      <w:r w:rsidRPr="00FB46EA" w:rsidR="00565CA3">
        <w:rPr>
          <w:szCs w:val="26"/>
        </w:rPr>
        <w:t xml:space="preserve">require each RTO/ISO to revise its tariff to require </w:t>
      </w:r>
      <w:r w:rsidR="007B7171">
        <w:rPr>
          <w:szCs w:val="26"/>
        </w:rPr>
        <w:t xml:space="preserve">each </w:t>
      </w:r>
      <w:r w:rsidR="00565CA3">
        <w:rPr>
          <w:szCs w:val="26"/>
        </w:rPr>
        <w:t>distributed energy resource</w:t>
      </w:r>
      <w:r w:rsidRPr="00FB46EA" w:rsidR="00565CA3">
        <w:rPr>
          <w:szCs w:val="26"/>
        </w:rPr>
        <w:t xml:space="preserve"> aggregator to maintain </w:t>
      </w:r>
      <w:r w:rsidR="00BC4B70">
        <w:rPr>
          <w:szCs w:val="26"/>
        </w:rPr>
        <w:t xml:space="preserve">and submit </w:t>
      </w:r>
      <w:r w:rsidRPr="00FB46EA" w:rsidR="00565CA3">
        <w:rPr>
          <w:szCs w:val="26"/>
        </w:rPr>
        <w:t xml:space="preserve">aggregate settlement data for the </w:t>
      </w:r>
      <w:r w:rsidR="00565CA3">
        <w:rPr>
          <w:szCs w:val="26"/>
        </w:rPr>
        <w:t>distributed energy resource</w:t>
      </w:r>
      <w:r w:rsidRPr="00FB46EA" w:rsidR="00565CA3">
        <w:rPr>
          <w:szCs w:val="26"/>
        </w:rPr>
        <w:t xml:space="preserve"> aggregation</w:t>
      </w:r>
      <w:r w:rsidR="001E5826">
        <w:rPr>
          <w:szCs w:val="26"/>
        </w:rPr>
        <w:t>,</w:t>
      </w:r>
      <w:r w:rsidRPr="00FB46EA" w:rsidR="00565CA3">
        <w:rPr>
          <w:szCs w:val="26"/>
        </w:rPr>
        <w:t xml:space="preserve"> so that the RTO/ISO can regularly settle with the </w:t>
      </w:r>
      <w:r w:rsidR="00565CA3">
        <w:rPr>
          <w:szCs w:val="26"/>
        </w:rPr>
        <w:t>distributed energy resource</w:t>
      </w:r>
      <w:r w:rsidRPr="00FB46EA" w:rsidR="00565CA3">
        <w:rPr>
          <w:szCs w:val="26"/>
        </w:rPr>
        <w:t xml:space="preserve"> aggregator for its market participation</w:t>
      </w:r>
      <w:r w:rsidR="001E5826">
        <w:rPr>
          <w:szCs w:val="26"/>
        </w:rPr>
        <w:t xml:space="preserve">, </w:t>
      </w:r>
      <w:r w:rsidRPr="00800FC3" w:rsidR="001E5826">
        <w:rPr>
          <w:szCs w:val="26"/>
        </w:rPr>
        <w:t>and to provide</w:t>
      </w:r>
      <w:r w:rsidRPr="00976A78" w:rsidR="009B5CC5">
        <w:rPr>
          <w:szCs w:val="26"/>
        </w:rPr>
        <w:t>, upon request from the RTO/ISO,</w:t>
      </w:r>
      <w:r w:rsidRPr="00800FC3" w:rsidR="001E5826">
        <w:rPr>
          <w:szCs w:val="26"/>
        </w:rPr>
        <w:t xml:space="preserve"> performance data for individual resources in a</w:t>
      </w:r>
      <w:r w:rsidRPr="0026479B" w:rsidR="001E5826">
        <w:rPr>
          <w:szCs w:val="26"/>
        </w:rPr>
        <w:t xml:space="preserve"> distributed energy resource aggregation for auditing purposes</w:t>
      </w:r>
      <w:r w:rsidRPr="004E69A7" w:rsidR="00565CA3">
        <w:rPr>
          <w:szCs w:val="26"/>
        </w:rPr>
        <w:t>.</w:t>
      </w:r>
      <w:r w:rsidRPr="00AC20F1" w:rsidR="00565CA3">
        <w:rPr>
          <w:rStyle w:val="FootnoteReference"/>
        </w:rPr>
        <w:footnoteReference w:id="581"/>
      </w:r>
      <w:r w:rsidR="004E7B89">
        <w:t xml:space="preserve">  </w:t>
      </w:r>
      <w:r>
        <w:t>However, we clarify</w:t>
      </w:r>
      <w:r w:rsidRPr="00FB46EA">
        <w:t xml:space="preserve"> that the requirements for settlement and performance data should be consistent with the settlement and auditing data requirements for other market participants.  </w:t>
      </w:r>
      <w:r w:rsidRPr="00FB7BE4">
        <w:t xml:space="preserve">Additionally, while we believe that performance data for individual distributed energy resources will be necessary for distributed energy resource aggregations to comply with the data retention and auditing procedures of the RTOs/ISOs, we are also sympathetic to the concerns that data requirements for individual distributed energy resources in a distributed energy resource aggregation can be unduly burdensome.  </w:t>
      </w:r>
      <w:r w:rsidRPr="00FB7BE4" w:rsidR="000575F7">
        <w:t xml:space="preserve">To reduce the burden on </w:t>
      </w:r>
      <w:r w:rsidRPr="00FB7BE4" w:rsidR="006245F7">
        <w:t>distributed energy resource</w:t>
      </w:r>
      <w:r w:rsidRPr="00FB7BE4" w:rsidR="00B02188">
        <w:t xml:space="preserve"> aggregator</w:t>
      </w:r>
      <w:r w:rsidRPr="00FB7BE4" w:rsidR="006245F7">
        <w:t xml:space="preserve">s and the </w:t>
      </w:r>
      <w:r w:rsidRPr="00FB7BE4" w:rsidR="000575F7">
        <w:t>RTOs/ISOs</w:t>
      </w:r>
      <w:r w:rsidRPr="00FB7BE4">
        <w:t xml:space="preserve">, we </w:t>
      </w:r>
      <w:r w:rsidR="00CB250F">
        <w:t>find that distributed energy resource aggregators should only be required to retain</w:t>
      </w:r>
      <w:r w:rsidRPr="00FB7BE4" w:rsidR="006245F7">
        <w:t xml:space="preserve"> </w:t>
      </w:r>
      <w:r w:rsidR="00CB250F">
        <w:t xml:space="preserve">that performance </w:t>
      </w:r>
      <w:r w:rsidRPr="00FB7BE4" w:rsidR="006245F7">
        <w:t>data for individual distributed energy resource</w:t>
      </w:r>
      <w:r w:rsidRPr="00FB7BE4" w:rsidR="00A5021E">
        <w:t>s</w:t>
      </w:r>
      <w:r w:rsidRPr="00FB7BE4" w:rsidR="006245F7">
        <w:t xml:space="preserve"> in an aggregation that the RTO/ISO deems necessary</w:t>
      </w:r>
      <w:r w:rsidR="00CB250F">
        <w:t xml:space="preserve"> for auditing purposes</w:t>
      </w:r>
      <w:r w:rsidRPr="00FB7BE4" w:rsidR="006245F7">
        <w:t xml:space="preserve">. </w:t>
      </w:r>
      <w:r w:rsidRPr="00FB7BE4" w:rsidR="000575F7">
        <w:t xml:space="preserve"> </w:t>
      </w:r>
      <w:r w:rsidRPr="00FB7BE4">
        <w:t xml:space="preserve">Therefore, to the extent </w:t>
      </w:r>
      <w:r w:rsidRPr="00FB7BE4" w:rsidR="00D667D8">
        <w:t>that</w:t>
      </w:r>
      <w:r w:rsidRPr="00FB7BE4">
        <w:t xml:space="preserve"> a</w:t>
      </w:r>
      <w:r w:rsidRPr="00FB7BE4" w:rsidR="004F1CA6">
        <w:t>n</w:t>
      </w:r>
      <w:r w:rsidRPr="00FB7BE4">
        <w:t xml:space="preserve"> RTO/ISO does not need </w:t>
      </w:r>
      <w:r w:rsidR="00CB250F">
        <w:t xml:space="preserve">certain </w:t>
      </w:r>
      <w:r w:rsidRPr="00FB7BE4">
        <w:t xml:space="preserve">performance data from individual distributed energy resources in a distributed energy resource aggregation for auditing purposes, </w:t>
      </w:r>
      <w:r w:rsidR="00CB250F">
        <w:t>it should not require a distributed energy resource aggregator to retain</w:t>
      </w:r>
      <w:r w:rsidRPr="00FB7BE4" w:rsidR="00FC369C">
        <w:t xml:space="preserve"> </w:t>
      </w:r>
      <w:r w:rsidRPr="00FB7BE4">
        <w:t>that information f</w:t>
      </w:r>
      <w:r w:rsidR="00CB250F">
        <w:t>or</w:t>
      </w:r>
      <w:r w:rsidRPr="00FB7BE4">
        <w:t xml:space="preserve"> individual distributed energy resources participating in a distributed energy resource aggregation.  With respect to Advanced Energy Buyers’ assertion that RTOs/ISOs should facilitate streamlined data collection and sharing, we </w:t>
      </w:r>
      <w:r w:rsidR="00F75D89">
        <w:t>decline to prescribe the specific manner in which information and data should be collected and shared with distribution utilities</w:t>
      </w:r>
      <w:r w:rsidRPr="00FB7BE4">
        <w:t>.</w:t>
      </w:r>
      <w:r w:rsidRPr="00F900B2">
        <w:t xml:space="preserve"> </w:t>
      </w:r>
      <w:r>
        <w:t xml:space="preserve"> </w:t>
      </w:r>
    </w:p>
    <w:p w:rsidR="00E73BEF" w:rsidP="00E73BEF" w:rsidRDefault="00E73BEF" w14:paraId="53D93852" w14:textId="49C7C7EF">
      <w:pPr>
        <w:pStyle w:val="Heading2"/>
      </w:pPr>
      <w:bookmarkStart w:name="_bmk58" w:id="97"/>
      <w:r>
        <w:t>M</w:t>
      </w:r>
      <w:bookmarkEnd w:id="97"/>
      <w:r>
        <w:t>etering and Telemetry System Requirements</w:t>
      </w:r>
    </w:p>
    <w:p w:rsidR="008D1463" w:rsidP="008D1463" w:rsidRDefault="008D1463" w14:paraId="6543FC3A" w14:textId="77777777">
      <w:pPr>
        <w:pStyle w:val="Heading4"/>
      </w:pPr>
      <w:bookmarkStart w:name="_bmk59" w:id="98"/>
      <w:r>
        <w:t>N</w:t>
      </w:r>
      <w:bookmarkEnd w:id="98"/>
      <w:r>
        <w:t>OPR Proposal</w:t>
      </w:r>
    </w:p>
    <w:p w:rsidR="004E735B" w:rsidP="00253A9A" w:rsidRDefault="008E6886" w14:paraId="5B465104" w14:textId="46D9364E">
      <w:pPr>
        <w:pStyle w:val="FERCparanumber"/>
      </w:pPr>
      <w:r w:rsidRPr="004805D1">
        <w:t xml:space="preserve">In the NOPR, </w:t>
      </w:r>
      <w:r w:rsidR="00BD7CE5">
        <w:t xml:space="preserve">the Commission </w:t>
      </w:r>
      <w:r w:rsidR="0079316E">
        <w:t>stated</w:t>
      </w:r>
      <w:r w:rsidR="00BD7CE5">
        <w:t xml:space="preserve"> that, w</w:t>
      </w:r>
      <w:r w:rsidRPr="00BD7CE5" w:rsidR="00BD7CE5">
        <w:t xml:space="preserve">hile the distributed energy resources in an aggregation will need to be directly metered, the metering and telemetry system, i.e., hardware and software, requirements RTOs/ISOs impose on distributed energy resource aggregators and individual resources in distributed energy resource aggregations can pose a barrier to the participation of these aggregations in </w:t>
      </w:r>
      <w:r w:rsidR="00BD7CE5">
        <w:t>RTO/ISO markets.</w:t>
      </w:r>
      <w:r w:rsidR="00BD7CE5">
        <w:rPr>
          <w:rStyle w:val="FootnoteReference"/>
        </w:rPr>
        <w:footnoteReference w:id="582"/>
      </w:r>
      <w:r w:rsidR="00252388">
        <w:t xml:space="preserve">  The Commission </w:t>
      </w:r>
      <w:r w:rsidRPr="00252388" w:rsidR="00252388">
        <w:t>recognize</w:t>
      </w:r>
      <w:r w:rsidR="00252388">
        <w:t>d</w:t>
      </w:r>
      <w:r w:rsidRPr="00252388" w:rsidR="00252388">
        <w:t xml:space="preserve"> that RTOs/ISOs need metering data for settlement purposes and telemetry data to determine a resource’s real-time operational capabilities so that they can efficiently dispatch resources. </w:t>
      </w:r>
      <w:r w:rsidR="00252388">
        <w:t xml:space="preserve"> The Commission found, h</w:t>
      </w:r>
      <w:r w:rsidRPr="00252388" w:rsidR="00252388">
        <w:t xml:space="preserve">owever, </w:t>
      </w:r>
      <w:r w:rsidR="00252388">
        <w:t xml:space="preserve">that </w:t>
      </w:r>
      <w:r w:rsidRPr="00252388" w:rsidR="00252388">
        <w:t>metering and telemetry systems are often expensive</w:t>
      </w:r>
      <w:r w:rsidR="00252388">
        <w:t>,</w:t>
      </w:r>
      <w:r w:rsidRPr="00252388" w:rsidR="00252388">
        <w:t xml:space="preserve"> potentially creating a burden for small distributed energy resources.</w:t>
      </w:r>
      <w:r w:rsidR="00252388">
        <w:t xml:space="preserve">  The Commission stated that, while </w:t>
      </w:r>
      <w:r w:rsidRPr="00252388" w:rsidR="00252388">
        <w:t>telemetry data about a distributed energy resource aggregation is necessary for the RTO/ISO to efficiently</w:t>
      </w:r>
      <w:r w:rsidR="00252388">
        <w:t xml:space="preserve"> </w:t>
      </w:r>
      <w:r w:rsidRPr="00252388" w:rsidR="00252388">
        <w:t>dispatch the aggregation, telemetry data for each individual resource in the aggregation may not be.</w:t>
      </w:r>
    </w:p>
    <w:p w:rsidR="00175004" w:rsidP="008E6886" w:rsidRDefault="00BD7CE5" w14:paraId="3B7BCD70" w14:textId="52722E4F">
      <w:pPr>
        <w:pStyle w:val="FERCparanumber"/>
      </w:pPr>
      <w:r>
        <w:t>T</w:t>
      </w:r>
      <w:r w:rsidRPr="004805D1" w:rsidR="008E6886">
        <w:t xml:space="preserve">he Commission </w:t>
      </w:r>
      <w:r w:rsidR="00252388">
        <w:t>stated that, while it did not propose to require specific metering and telemetry systems for distributed energy resource aggregators, it</w:t>
      </w:r>
      <w:r w:rsidRPr="004805D1" w:rsidR="00252388">
        <w:t xml:space="preserve"> </w:t>
      </w:r>
      <w:r w:rsidRPr="004805D1" w:rsidR="008E6886">
        <w:t>proposed to require each RTO/ISO to revise its tariff to identify any necessary metering and telemetry hardware and software requirements for distributed energy resource aggregators and the individual resources in a distributed energy resource aggregation.</w:t>
      </w:r>
      <w:r>
        <w:rPr>
          <w:rStyle w:val="FootnoteReference"/>
        </w:rPr>
        <w:footnoteReference w:id="583"/>
      </w:r>
      <w:r w:rsidRPr="004805D1" w:rsidR="008E6886">
        <w:t xml:space="preserve">  The Commis</w:t>
      </w:r>
      <w:r w:rsidR="008E6886">
        <w:t>s</w:t>
      </w:r>
      <w:r w:rsidRPr="004805D1" w:rsidR="008E6886">
        <w:t>ion stated that these requirements must ensure that the distributed energy resource aggregator can provide necessary information and data to the RTO/ISO</w:t>
      </w:r>
      <w:r w:rsidR="000038B2">
        <w:t>,</w:t>
      </w:r>
      <w:r w:rsidR="000038B2">
        <w:rPr>
          <w:rStyle w:val="FootnoteReference"/>
        </w:rPr>
        <w:footnoteReference w:id="584"/>
      </w:r>
      <w:r w:rsidR="00252388">
        <w:t xml:space="preserve"> </w:t>
      </w:r>
      <w:r w:rsidRPr="004805D1" w:rsidR="008E6886">
        <w:t xml:space="preserve">but </w:t>
      </w:r>
      <w:r w:rsidR="008E6886">
        <w:t>must</w:t>
      </w:r>
      <w:r w:rsidRPr="004805D1" w:rsidR="008E6886">
        <w:t xml:space="preserve"> not impose unnecessarily burdensome costs on the distributed energy resource aggregators </w:t>
      </w:r>
      <w:r w:rsidR="008E6886">
        <w:t>or</w:t>
      </w:r>
      <w:r w:rsidRPr="004805D1" w:rsidR="008E6886">
        <w:t xml:space="preserve"> individual resources in a distributed energy resource aggregation that may create a barrier to their participation in the </w:t>
      </w:r>
      <w:r w:rsidR="00252388">
        <w:t>RTO/ISO</w:t>
      </w:r>
      <w:r w:rsidRPr="004805D1" w:rsidR="008E6886">
        <w:t xml:space="preserve"> markets.  </w:t>
      </w:r>
    </w:p>
    <w:p w:rsidRPr="004805D1" w:rsidR="008E6886" w:rsidP="008E6886" w:rsidRDefault="00252388" w14:paraId="34D786F0" w14:textId="49F81411">
      <w:pPr>
        <w:pStyle w:val="FERCparanumber"/>
      </w:pPr>
      <w:r>
        <w:t>The Commission noted</w:t>
      </w:r>
      <w:r w:rsidRPr="00252388">
        <w:t xml:space="preserve"> that there may be different types of resources in these aggregations, some in front of the meter, some behind the meter with the ability to inject energy back to the grid, and some behind the meter without the ability to inject energy to the grid.</w:t>
      </w:r>
      <w:r w:rsidRPr="00026E87" w:rsidDel="00BD7CE5" w:rsidR="00175004">
        <w:rPr>
          <w:rStyle w:val="FootnoteReference"/>
        </w:rPr>
        <w:footnoteReference w:id="585"/>
      </w:r>
      <w:r w:rsidRPr="00252388">
        <w:t xml:space="preserve"> </w:t>
      </w:r>
      <w:r>
        <w:t xml:space="preserve"> </w:t>
      </w:r>
      <w:r w:rsidRPr="004805D1" w:rsidR="008E6886">
        <w:t xml:space="preserve">The Commission </w:t>
      </w:r>
      <w:r>
        <w:t xml:space="preserve">therefore </w:t>
      </w:r>
      <w:r w:rsidRPr="004805D1" w:rsidR="008E6886">
        <w:t xml:space="preserve">sought comment on whether </w:t>
      </w:r>
      <w:r w:rsidRPr="00252388">
        <w:t xml:space="preserve">the RTOs/ISOs need to establish metering and telemetry hardware and software requirements for each of the different types of distributed energy resources that participate in the </w:t>
      </w:r>
      <w:r>
        <w:t>RTO/ISO</w:t>
      </w:r>
      <w:r w:rsidRPr="00252388">
        <w:t xml:space="preserve"> markets through distributed energy resource aggregations </w:t>
      </w:r>
      <w:r>
        <w:t>as well as whether the Commission</w:t>
      </w:r>
      <w:r w:rsidRPr="004805D1" w:rsidR="008E6886">
        <w:t xml:space="preserve"> should establish specific metering and telemetry system requirements and, if so, what requirements would be appropriate.</w:t>
      </w:r>
      <w:r w:rsidRPr="00026E87" w:rsidDel="00BD7CE5" w:rsidR="00BD7CE5">
        <w:rPr>
          <w:rStyle w:val="FootnoteReference"/>
        </w:rPr>
        <w:t xml:space="preserve"> </w:t>
      </w:r>
    </w:p>
    <w:p w:rsidRPr="004805D1" w:rsidR="008E6886" w:rsidP="008E6886" w:rsidRDefault="008E6886" w14:paraId="4B607B81" w14:textId="4D26B867">
      <w:pPr>
        <w:pStyle w:val="FERCparanumber"/>
      </w:pPr>
      <w:r w:rsidRPr="004805D1">
        <w:t xml:space="preserve">With respect to telemetry, the </w:t>
      </w:r>
      <w:r w:rsidRPr="004805D1" w:rsidDel="00DF68C5">
        <w:t xml:space="preserve">Commission stated </w:t>
      </w:r>
      <w:r w:rsidRPr="004805D1">
        <w:t xml:space="preserve">that the distributed energy resource aggregator should be able to provide to the RTO/ISO the real-time capability of its </w:t>
      </w:r>
      <w:r w:rsidR="007F084F">
        <w:t xml:space="preserve">aggregated </w:t>
      </w:r>
      <w:r w:rsidRPr="004805D1">
        <w:t xml:space="preserve">resource in a manner similar to the requirements for generators, </w:t>
      </w:r>
      <w:r>
        <w:t>including</w:t>
      </w:r>
      <w:r w:rsidRPr="004805D1">
        <w:t xml:space="preserve"> the operating level of the resource and how much that resource can ramp up or ramp down over its full range of capability, including its charging capability for distributed energy resource aggregations that include electric storage resources.</w:t>
      </w:r>
      <w:r w:rsidR="00DF68C5">
        <w:rPr>
          <w:rStyle w:val="FootnoteReference"/>
        </w:rPr>
        <w:footnoteReference w:id="586"/>
      </w:r>
      <w:r w:rsidRPr="004805D1">
        <w:t xml:space="preserve">  The Commission further noted that these telemetry system requirements may also need to be in place at different locations for geographically dispersed distributed energy resource aggregations that have to provide distribution factors or other similar information. </w:t>
      </w:r>
    </w:p>
    <w:p w:rsidRPr="00ED6F47" w:rsidR="008D1463" w:rsidP="008E6886" w:rsidRDefault="008E6886" w14:paraId="7C302DE9" w14:textId="5790C426">
      <w:pPr>
        <w:pStyle w:val="FERCparanumber"/>
      </w:pPr>
      <w:r w:rsidRPr="004805D1">
        <w:rPr>
          <w:rFonts w:eastAsia="Calibri"/>
          <w:szCs w:val="26"/>
        </w:rPr>
        <w:t>W</w:t>
      </w:r>
      <w:r>
        <w:rPr>
          <w:rFonts w:eastAsia="Calibri"/>
          <w:szCs w:val="26"/>
        </w:rPr>
        <w:t>ith respect to metering, the Co</w:t>
      </w:r>
      <w:r w:rsidRPr="004805D1">
        <w:rPr>
          <w:rFonts w:eastAsia="Calibri"/>
          <w:szCs w:val="26"/>
        </w:rPr>
        <w:t>mmission recognized that distributed energy resources</w:t>
      </w:r>
      <w:r w:rsidRPr="004805D1" w:rsidDel="00DF68C5">
        <w:rPr>
          <w:rFonts w:eastAsia="Calibri"/>
          <w:szCs w:val="26"/>
        </w:rPr>
        <w:t xml:space="preserve"> </w:t>
      </w:r>
      <w:r w:rsidRPr="004805D1">
        <w:rPr>
          <w:rFonts w:eastAsia="Calibri"/>
          <w:szCs w:val="26"/>
        </w:rPr>
        <w:t>may be subject to metering system requirements established by the distribution utility or local regulatory authority.</w:t>
      </w:r>
      <w:r w:rsidR="00DF68C5">
        <w:rPr>
          <w:rStyle w:val="FootnoteReference"/>
          <w:rFonts w:eastAsia="Calibri"/>
          <w:szCs w:val="26"/>
        </w:rPr>
        <w:footnoteReference w:id="587"/>
      </w:r>
      <w:r w:rsidRPr="004805D1">
        <w:rPr>
          <w:rFonts w:eastAsia="Calibri"/>
          <w:szCs w:val="26"/>
        </w:rPr>
        <w:t xml:space="preserve">  Therefore, the Commission proposed that each RTO/ISO rely on meter data obtained through compliance with these distribution utility or local regulatory authority metering system requirements whenever possible for settlement and auditing purposes, only applying additional metering requirements for distributed energy resource aggregations when this data is insufficient.</w:t>
      </w:r>
      <w:r w:rsidRPr="00026E87" w:rsidDel="00DF68C5" w:rsidR="00DF68C5">
        <w:rPr>
          <w:rStyle w:val="FootnoteReference"/>
        </w:rPr>
        <w:t xml:space="preserve"> </w:t>
      </w:r>
    </w:p>
    <w:p w:rsidR="008D1463" w:rsidP="008D1463" w:rsidRDefault="008D1463" w14:paraId="5F5E329D" w14:textId="77777777">
      <w:pPr>
        <w:pStyle w:val="Heading4"/>
      </w:pPr>
      <w:bookmarkStart w:name="_bmk60" w:id="99"/>
      <w:r>
        <w:t>C</w:t>
      </w:r>
      <w:bookmarkEnd w:id="99"/>
      <w:r>
        <w:t>omments</w:t>
      </w:r>
    </w:p>
    <w:p w:rsidRPr="004805D1" w:rsidR="008E6886" w:rsidP="008E6886" w:rsidRDefault="008E6886" w14:paraId="5109B6CB" w14:textId="3E8D41FD">
      <w:pPr>
        <w:pStyle w:val="FERCparanumber"/>
      </w:pPr>
      <w:r>
        <w:t xml:space="preserve">In their comments, </w:t>
      </w:r>
      <w:r w:rsidR="009778D9">
        <w:t xml:space="preserve">the various </w:t>
      </w:r>
      <w:r w:rsidRPr="004805D1">
        <w:t xml:space="preserve">RTOs/ISOs </w:t>
      </w:r>
      <w:r w:rsidR="005D7458">
        <w:t>describ</w:t>
      </w:r>
      <w:r w:rsidRPr="004805D1">
        <w:t xml:space="preserve">e slightly different approaches to metering and telemetry requirements for distributed energy resource aggregations.  CAISO states that, under its </w:t>
      </w:r>
      <w:r w:rsidR="00137F02">
        <w:t>D</w:t>
      </w:r>
      <w:r w:rsidRPr="004805D1">
        <w:t xml:space="preserve">istributed </w:t>
      </w:r>
      <w:r w:rsidR="00137F02">
        <w:t>E</w:t>
      </w:r>
      <w:r w:rsidRPr="004805D1">
        <w:t xml:space="preserve">nergy </w:t>
      </w:r>
      <w:r w:rsidR="00137F02">
        <w:t>R</w:t>
      </w:r>
      <w:r w:rsidR="005D7458">
        <w:t xml:space="preserve">esource </w:t>
      </w:r>
      <w:r w:rsidR="00137F02">
        <w:t>P</w:t>
      </w:r>
      <w:r w:rsidRPr="004805D1">
        <w:t>rovider model, the aggregator must follow the same metering and telemetry standards as other resources.</w:t>
      </w:r>
      <w:r w:rsidRPr="00026E87">
        <w:rPr>
          <w:rStyle w:val="FootnoteReference"/>
        </w:rPr>
        <w:footnoteReference w:id="588"/>
      </w:r>
      <w:r w:rsidRPr="004805D1">
        <w:t xml:space="preserve">  NYISO states that it will propose t</w:t>
      </w:r>
      <w:r w:rsidR="005D7458">
        <w:t>o require</w:t>
      </w:r>
      <w:r w:rsidRPr="004805D1">
        <w:t xml:space="preserve"> distributed energy resource aggregators </w:t>
      </w:r>
      <w:r w:rsidR="005D7458">
        <w:t xml:space="preserve">to </w:t>
      </w:r>
      <w:r w:rsidRPr="004805D1">
        <w:t xml:space="preserve">have six-second real-time metering and telemetry </w:t>
      </w:r>
      <w:r>
        <w:t xml:space="preserve">that will </w:t>
      </w:r>
      <w:r w:rsidRPr="004805D1">
        <w:t xml:space="preserve">be sent either directly to NYISO or through the utility and </w:t>
      </w:r>
      <w:r w:rsidR="005D7458">
        <w:t xml:space="preserve">to </w:t>
      </w:r>
      <w:r w:rsidRPr="004805D1">
        <w:t>provide after-the-fact meter data uploads for settlement purposes.</w:t>
      </w:r>
      <w:r w:rsidRPr="00026E87">
        <w:rPr>
          <w:rStyle w:val="FootnoteReference"/>
        </w:rPr>
        <w:footnoteReference w:id="589"/>
      </w:r>
      <w:r w:rsidRPr="004805D1">
        <w:t xml:space="preserve">  ISO-NE states that</w:t>
      </w:r>
      <w:r>
        <w:t xml:space="preserve"> </w:t>
      </w:r>
      <w:r w:rsidRPr="004805D1">
        <w:t xml:space="preserve">individual distributed energy resources </w:t>
      </w:r>
      <w:r>
        <w:t>in an aggregation</w:t>
      </w:r>
      <w:r w:rsidRPr="004805D1">
        <w:t xml:space="preserve"> should meet the same product-based metering and telemetry requirements as all other resources, whether the distributed energy resource is behind</w:t>
      </w:r>
      <w:r w:rsidR="005D7458">
        <w:t xml:space="preserve"> </w:t>
      </w:r>
      <w:r w:rsidRPr="004805D1">
        <w:t>the</w:t>
      </w:r>
      <w:r w:rsidR="005D7458">
        <w:t xml:space="preserve"> </w:t>
      </w:r>
      <w:r w:rsidRPr="004805D1">
        <w:t>meter or in front and whether or not it can inject power into the grid.</w:t>
      </w:r>
      <w:r w:rsidRPr="00026E87">
        <w:rPr>
          <w:rStyle w:val="FootnoteReference"/>
        </w:rPr>
        <w:footnoteReference w:id="590"/>
      </w:r>
      <w:r w:rsidRPr="004805D1">
        <w:t xml:space="preserve">  PJM states that, generally, it is reasonable for behind-the-meter distributed energy resources that seek to inject power onto the grid (either individually or as part of a distributed energy resource aggregation) to follow existing telemetry and metering rules from the generation framework for similarly sized resources</w:t>
      </w:r>
      <w:r w:rsidR="005D7458">
        <w:t>,</w:t>
      </w:r>
      <w:r w:rsidRPr="004805D1">
        <w:t xml:space="preserve"> noting that metering and telemetry rules for generation may vary by resource size.</w:t>
      </w:r>
      <w:r w:rsidRPr="00026E87">
        <w:rPr>
          <w:rStyle w:val="FootnoteReference"/>
        </w:rPr>
        <w:footnoteReference w:id="591"/>
      </w:r>
      <w:r w:rsidR="00D36977">
        <w:t xml:space="preserve"> </w:t>
      </w:r>
      <w:r w:rsidRPr="00D36977" w:rsidR="00D36977">
        <w:rPr>
          <w:szCs w:val="26"/>
        </w:rPr>
        <w:t xml:space="preserve"> </w:t>
      </w:r>
    </w:p>
    <w:p w:rsidRPr="00AC20F1" w:rsidR="008E6886" w:rsidP="008E6886" w:rsidRDefault="008E6886" w14:paraId="7CB67770" w14:textId="16806906">
      <w:pPr>
        <w:pStyle w:val="FERCparanumber"/>
        <w:rPr>
          <w:i/>
        </w:rPr>
      </w:pPr>
      <w:r w:rsidRPr="004805D1">
        <w:t>A number of commenters support the Commission’s proposal</w:t>
      </w:r>
      <w:r>
        <w:t xml:space="preserve"> </w:t>
      </w:r>
      <w:r w:rsidRPr="004805D1">
        <w:t xml:space="preserve">to provide the RTOs/ISOs </w:t>
      </w:r>
      <w:r w:rsidR="002972AA">
        <w:t>with</w:t>
      </w:r>
      <w:r w:rsidRPr="004805D1">
        <w:t xml:space="preserve"> flexibility to establish and implement metering and telemetry rules to suit their individual needs.</w:t>
      </w:r>
      <w:r w:rsidRPr="00026E87">
        <w:rPr>
          <w:rStyle w:val="FootnoteReference"/>
        </w:rPr>
        <w:footnoteReference w:id="592"/>
      </w:r>
      <w:r w:rsidRPr="004805D1">
        <w:t xml:space="preserve">  CAISO states that local regulatory authorities already impose metering and telemetry standards and </w:t>
      </w:r>
      <w:r w:rsidR="00656F59">
        <w:t xml:space="preserve">that </w:t>
      </w:r>
      <w:r w:rsidRPr="004805D1">
        <w:t>RTOs/ISOs need flexibility to incorporate those local requirements without imposing additional costs or barriers to entry on prospective distributed energy resource aggregations.</w:t>
      </w:r>
      <w:r w:rsidRPr="00026E87">
        <w:rPr>
          <w:rStyle w:val="FootnoteReference"/>
        </w:rPr>
        <w:footnoteReference w:id="593"/>
      </w:r>
      <w:r w:rsidRPr="004805D1">
        <w:t xml:space="preserve">  </w:t>
      </w:r>
      <w:r>
        <w:t>A number of other commenters make similar points.</w:t>
      </w:r>
      <w:r>
        <w:rPr>
          <w:rStyle w:val="FootnoteReference"/>
        </w:rPr>
        <w:footnoteReference w:id="594"/>
      </w:r>
      <w:r>
        <w:t xml:space="preserve">  </w:t>
      </w:r>
      <w:r w:rsidRPr="004805D1">
        <w:t>ISO-NE recommends that the Commission avoid being overly prescriptive so that ISO-NE can apply existing metering and telemetry requirements to distributed energy resources.</w:t>
      </w:r>
      <w:r w:rsidRPr="00026E87">
        <w:rPr>
          <w:rStyle w:val="FootnoteReference"/>
        </w:rPr>
        <w:footnoteReference w:id="595"/>
      </w:r>
      <w:r w:rsidRPr="004805D1">
        <w:t xml:space="preserve">  SoCal Edison </w:t>
      </w:r>
      <w:r w:rsidR="002130B1">
        <w:t>asks</w:t>
      </w:r>
      <w:r w:rsidRPr="004805D1" w:rsidR="002130B1">
        <w:t xml:space="preserve"> </w:t>
      </w:r>
      <w:r w:rsidRPr="004805D1">
        <w:t xml:space="preserve">that the Commission not issue a standard directive but rather encourage the distribution utilities </w:t>
      </w:r>
      <w:r w:rsidR="00FB3900">
        <w:t>in an RTO/ISO to work together with the</w:t>
      </w:r>
      <w:r w:rsidRPr="004805D1">
        <w:t xml:space="preserve"> RTO/ISO to continue the development of appropriate </w:t>
      </w:r>
      <w:r w:rsidR="004C0A12">
        <w:t xml:space="preserve">metering and telemetry </w:t>
      </w:r>
      <w:r w:rsidRPr="004805D1">
        <w:t>technologies.</w:t>
      </w:r>
      <w:r w:rsidRPr="00026E87">
        <w:rPr>
          <w:rStyle w:val="FootnoteReference"/>
        </w:rPr>
        <w:footnoteReference w:id="596"/>
      </w:r>
      <w:r w:rsidRPr="004805D1">
        <w:t xml:space="preserve">  IRC asserts that RTOs/ISOs should be given the flexibility to define metering and telemetry</w:t>
      </w:r>
      <w:r>
        <w:t xml:space="preserve"> requirements outside of their </w:t>
      </w:r>
      <w:r w:rsidRPr="004805D1">
        <w:t>tariffs.</w:t>
      </w:r>
      <w:r w:rsidRPr="00026E87">
        <w:rPr>
          <w:rStyle w:val="FootnoteReference"/>
        </w:rPr>
        <w:footnoteReference w:id="597"/>
      </w:r>
      <w:r>
        <w:t xml:space="preserve">  </w:t>
      </w:r>
      <w:r w:rsidRPr="003E14F3">
        <w:t>Tesla argues that RTOs/ISOs should allow alternatives to metering and telemetry requirements</w:t>
      </w:r>
      <w:r w:rsidRPr="00296D0D">
        <w:t xml:space="preserve"> that could provide the needed information, such as sampling, end-use metering devices, or verifiable behavioral actions.</w:t>
      </w:r>
      <w:r w:rsidRPr="003E14F3">
        <w:rPr>
          <w:rStyle w:val="FootnoteReference"/>
          <w:rFonts w:eastAsia="Calibri"/>
        </w:rPr>
        <w:footnoteReference w:id="598"/>
      </w:r>
    </w:p>
    <w:p w:rsidRPr="004805D1" w:rsidR="008E6886" w:rsidP="008E6886" w:rsidRDefault="005D7458" w14:paraId="7F1100E4" w14:textId="106C15BC">
      <w:pPr>
        <w:pStyle w:val="FERCparanumber"/>
      </w:pPr>
      <w:r>
        <w:t>Other</w:t>
      </w:r>
      <w:r w:rsidRPr="004805D1" w:rsidR="008E6886">
        <w:t xml:space="preserve"> commenters contend that the Commission should take a more active role in establishing specific metering and telemetry requirements for distributed energy resource aggregations.  MISO believes that it is appropriate for the Commission to define the telemetry and metering requirements,</w:t>
      </w:r>
      <w:r w:rsidRPr="00026E87" w:rsidR="008E6886">
        <w:rPr>
          <w:rStyle w:val="FootnoteReference"/>
        </w:rPr>
        <w:footnoteReference w:id="599"/>
      </w:r>
      <w:r w:rsidRPr="004805D1" w:rsidR="008E6886">
        <w:t xml:space="preserve"> while others suggest that the Commission establish a set of standards or generally applicable criteria but allow RTOs/ISOs flexibility on how those standards are implemented or to </w:t>
      </w:r>
      <w:r w:rsidR="007E0D60">
        <w:t xml:space="preserve">exceed the Commission’s </w:t>
      </w:r>
      <w:r w:rsidR="00576B6A">
        <w:t>requirements.</w:t>
      </w:r>
      <w:r w:rsidRPr="00026E87" w:rsidR="008E6886">
        <w:rPr>
          <w:rStyle w:val="FootnoteReference"/>
        </w:rPr>
        <w:footnoteReference w:id="600"/>
      </w:r>
      <w:r w:rsidRPr="004805D1" w:rsidR="008E6886">
        <w:t xml:space="preserve">  </w:t>
      </w:r>
    </w:p>
    <w:p w:rsidRPr="004805D1" w:rsidR="008E6886" w:rsidP="008E6886" w:rsidRDefault="008E6886" w14:paraId="4A5C18BF" w14:textId="3F4CC325">
      <w:pPr>
        <w:pStyle w:val="FERCparanumber"/>
      </w:pPr>
      <w:r w:rsidRPr="004805D1">
        <w:t xml:space="preserve">Several commenters acknowledge that metering and telemetry requirements for distributed energy resource aggregators and individual resources participating in distributed energy resource aggregations can pose a barrier to the participation of these resources in </w:t>
      </w:r>
      <w:r w:rsidR="005D7458">
        <w:t>RTO/ISO</w:t>
      </w:r>
      <w:r w:rsidRPr="004805D1">
        <w:t xml:space="preserve"> markets.</w:t>
      </w:r>
      <w:r w:rsidRPr="00026E87">
        <w:rPr>
          <w:rStyle w:val="FootnoteReference"/>
        </w:rPr>
        <w:footnoteReference w:id="601"/>
      </w:r>
      <w:r w:rsidRPr="004805D1">
        <w:t xml:space="preserve">  Advanced Energy Management </w:t>
      </w:r>
      <w:r>
        <w:t xml:space="preserve">and </w:t>
      </w:r>
      <w:r w:rsidRPr="004805D1">
        <w:t xml:space="preserve">R Street Institute </w:t>
      </w:r>
      <w:r>
        <w:t>note</w:t>
      </w:r>
      <w:r w:rsidRPr="004805D1">
        <w:t xml:space="preserve"> that the costs of metering, telemetry</w:t>
      </w:r>
      <w:r w:rsidR="006D1D47">
        <w:t>,</w:t>
      </w:r>
      <w:r w:rsidRPr="004805D1">
        <w:t xml:space="preserve"> and communication equipment </w:t>
      </w:r>
      <w:r>
        <w:t xml:space="preserve">pose </w:t>
      </w:r>
      <w:r w:rsidRPr="004805D1">
        <w:t xml:space="preserve">a disproportionately high </w:t>
      </w:r>
      <w:r>
        <w:t>burden</w:t>
      </w:r>
      <w:r w:rsidRPr="004805D1">
        <w:t xml:space="preserve"> for small </w:t>
      </w:r>
      <w:r>
        <w:t>distributed energy</w:t>
      </w:r>
      <w:r w:rsidRPr="004805D1">
        <w:t xml:space="preserve"> resources</w:t>
      </w:r>
      <w:r>
        <w:t xml:space="preserve"> because they cannot spread the cost across as many MWs as large generators</w:t>
      </w:r>
      <w:r w:rsidRPr="004805D1">
        <w:t>.</w:t>
      </w:r>
      <w:r w:rsidRPr="00026E87">
        <w:rPr>
          <w:rStyle w:val="FootnoteReference"/>
        </w:rPr>
        <w:footnoteReference w:id="602"/>
      </w:r>
      <w:r w:rsidRPr="004805D1">
        <w:t xml:space="preserve">  </w:t>
      </w:r>
      <w:r w:rsidR="004F4D80">
        <w:t xml:space="preserve">Advanced Energy Economy </w:t>
      </w:r>
      <w:r w:rsidR="00B32504">
        <w:t xml:space="preserve">requests that the Commission </w:t>
      </w:r>
      <w:r w:rsidRPr="00983460" w:rsidR="004F4D80">
        <w:t>clarify that real-time and short interval telemetry is not required for distributed energy resource aggregations and individual distributed energy resources.</w:t>
      </w:r>
      <w:r w:rsidRPr="00983460" w:rsidR="004F4D80">
        <w:rPr>
          <w:rStyle w:val="FootnoteReference"/>
        </w:rPr>
        <w:footnoteReference w:id="603"/>
      </w:r>
      <w:r w:rsidRPr="00C640A5" w:rsidR="004F4D80">
        <w:rPr>
          <w:highlight w:val="yellow"/>
        </w:rPr>
        <w:t xml:space="preserve">  </w:t>
      </w:r>
    </w:p>
    <w:p w:rsidRPr="004805D1" w:rsidR="00561DA9" w:rsidP="00561DA9" w:rsidRDefault="00561DA9" w14:paraId="2F584C67" w14:textId="77777777">
      <w:pPr>
        <w:pStyle w:val="FERCparanumber"/>
      </w:pPr>
      <w:r w:rsidRPr="004805D1">
        <w:t>Several commenters</w:t>
      </w:r>
      <w:r w:rsidRPr="004805D1" w:rsidDel="005D7458">
        <w:t xml:space="preserve"> </w:t>
      </w:r>
      <w:r w:rsidRPr="004805D1">
        <w:t xml:space="preserve">argue that telemetry requirements </w:t>
      </w:r>
      <w:r>
        <w:t>comparable to those of traditional generators</w:t>
      </w:r>
      <w:r w:rsidRPr="004805D1">
        <w:t xml:space="preserve"> </w:t>
      </w:r>
      <w:r>
        <w:t>would be too burdensome, even if</w:t>
      </w:r>
      <w:r w:rsidRPr="004805D1">
        <w:t xml:space="preserve"> imposed only at the aggregation level.</w:t>
      </w:r>
      <w:r>
        <w:rPr>
          <w:rStyle w:val="FootnoteReference"/>
        </w:rPr>
        <w:footnoteReference w:id="604"/>
      </w:r>
      <w:r w:rsidRPr="004805D1">
        <w:t xml:space="preserve">  Advanced Energy Economy asserts that </w:t>
      </w:r>
      <w:r>
        <w:t xml:space="preserve">such requirements </w:t>
      </w:r>
      <w:r w:rsidRPr="004805D1">
        <w:t xml:space="preserve">would be prohibitively expensive and unnecessary to ensure </w:t>
      </w:r>
      <w:r>
        <w:t>reliability</w:t>
      </w:r>
      <w:r w:rsidRPr="004805D1">
        <w:t xml:space="preserve"> because </w:t>
      </w:r>
      <w:r>
        <w:t xml:space="preserve">equipment </w:t>
      </w:r>
      <w:r w:rsidRPr="004805D1">
        <w:t xml:space="preserve">would need to be installed at every distributed energy resource site to </w:t>
      </w:r>
      <w:r>
        <w:t>obtain</w:t>
      </w:r>
      <w:r w:rsidRPr="004805D1">
        <w:t xml:space="preserve"> accurate readings.</w:t>
      </w:r>
      <w:r w:rsidRPr="00026E87">
        <w:rPr>
          <w:rStyle w:val="FootnoteReference"/>
        </w:rPr>
        <w:footnoteReference w:id="605"/>
      </w:r>
      <w:r w:rsidRPr="004805D1">
        <w:t xml:space="preserve">  These commenters and others instead suggest that telemetry requirements, particularly with respect to timing granularity, should be commensurate to the need of the system and service provided.</w:t>
      </w:r>
      <w:r w:rsidRPr="00026E87">
        <w:rPr>
          <w:rStyle w:val="FootnoteReference"/>
        </w:rPr>
        <w:footnoteReference w:id="606"/>
      </w:r>
      <w:r w:rsidRPr="004805D1">
        <w:t xml:space="preserve">  Advanced Energy Management recommends that virtual telemetry with after-the-fact meter data be allowed for aggregators of small resources.</w:t>
      </w:r>
      <w:r w:rsidRPr="00026E87">
        <w:rPr>
          <w:rStyle w:val="FootnoteReference"/>
        </w:rPr>
        <w:footnoteReference w:id="607"/>
      </w:r>
      <w:r w:rsidRPr="004805D1">
        <w:t xml:space="preserve">  Further, Advanced Energy Management recommends that the Commission not require that distributed energy resource aggregators that participate only in capacity markets implement new telemetry requirements.</w:t>
      </w:r>
      <w:r w:rsidRPr="005D7458">
        <w:rPr>
          <w:b/>
          <w:vertAlign w:val="superscript"/>
        </w:rPr>
        <w:t xml:space="preserve"> </w:t>
      </w:r>
      <w:r w:rsidRPr="00026E87">
        <w:rPr>
          <w:rStyle w:val="FootnoteReference"/>
        </w:rPr>
        <w:footnoteReference w:id="608"/>
      </w:r>
      <w:r w:rsidRPr="005D7458">
        <w:rPr>
          <w:b/>
          <w:vertAlign w:val="superscript"/>
        </w:rPr>
        <w:t xml:space="preserve">  </w:t>
      </w:r>
    </w:p>
    <w:p w:rsidRPr="004805D1" w:rsidR="008E6886" w:rsidP="008E6886" w:rsidRDefault="008E6886" w14:paraId="4A2E4335" w14:textId="137AA329">
      <w:pPr>
        <w:pStyle w:val="FERCparanumber"/>
      </w:pPr>
      <w:r w:rsidRPr="004805D1">
        <w:t>Several commenters assert that metering and/or telemetry requirements are necessary only at the aggregation level, and that telemetry requirements on individual distributed energy resources would be cost prohibitive and unnecessarily burdensome.</w:t>
      </w:r>
      <w:r w:rsidRPr="00026E87">
        <w:rPr>
          <w:rStyle w:val="FootnoteReference"/>
        </w:rPr>
        <w:footnoteReference w:id="609"/>
      </w:r>
      <w:r w:rsidRPr="004805D1">
        <w:t xml:space="preserve">  Public Interest Organizations</w:t>
      </w:r>
      <w:r>
        <w:t>, New York State Entities, and Advanced Energy Economy</w:t>
      </w:r>
      <w:r w:rsidRPr="004805D1">
        <w:t xml:space="preserve"> state that grid operators do</w:t>
      </w:r>
      <w:r>
        <w:t xml:space="preserve"> </w:t>
      </w:r>
      <w:r w:rsidRPr="004805D1">
        <w:t>n</w:t>
      </w:r>
      <w:r>
        <w:t>o</w:t>
      </w:r>
      <w:r w:rsidRPr="004805D1">
        <w:t xml:space="preserve">t need </w:t>
      </w:r>
      <w:r>
        <w:t>telemetry</w:t>
      </w:r>
      <w:r w:rsidRPr="004805D1">
        <w:t xml:space="preserve"> information about each distributed energy resource</w:t>
      </w:r>
      <w:r>
        <w:t xml:space="preserve"> </w:t>
      </w:r>
      <w:r w:rsidRPr="004805D1">
        <w:t>in an aggregation</w:t>
      </w:r>
      <w:r>
        <w:t xml:space="preserve"> because the loss of one would not interfere with system reliability or with the operation of the</w:t>
      </w:r>
      <w:r w:rsidRPr="004805D1">
        <w:t xml:space="preserve"> aggregation, and </w:t>
      </w:r>
      <w:r w:rsidR="006D1D47">
        <w:t xml:space="preserve">these parties </w:t>
      </w:r>
      <w:r w:rsidRPr="004805D1">
        <w:t xml:space="preserve">request clarification that </w:t>
      </w:r>
      <w:r w:rsidR="006D1D47">
        <w:t>such telemetry</w:t>
      </w:r>
      <w:r w:rsidRPr="004805D1">
        <w:t xml:space="preserve"> is not required.</w:t>
      </w:r>
      <w:r w:rsidRPr="00026E87">
        <w:rPr>
          <w:rStyle w:val="FootnoteReference"/>
        </w:rPr>
        <w:footnoteReference w:id="610"/>
      </w:r>
      <w:r w:rsidRPr="004805D1">
        <w:t xml:space="preserve">  NRG and Advanced Energy Economy contend that the aggregator should be responsible for providing metering and telemetry that meets the RTO/ISO requirements to ensure that the aggregated performance of the distributed energy resources meets the claimed and offered performance.</w:t>
      </w:r>
      <w:r w:rsidRPr="00026E87">
        <w:rPr>
          <w:rStyle w:val="FootnoteReference"/>
        </w:rPr>
        <w:footnoteReference w:id="611"/>
      </w:r>
      <w:r w:rsidRPr="004805D1">
        <w:t xml:space="preserve">  Stem asks that each RTO/ISO be required to justify any metering and telemetry rules regarding individual resources in an aggregation.</w:t>
      </w:r>
      <w:r w:rsidRPr="00026E87">
        <w:rPr>
          <w:rStyle w:val="FootnoteReference"/>
        </w:rPr>
        <w:footnoteReference w:id="612"/>
      </w:r>
      <w:r w:rsidR="004F4D80">
        <w:t xml:space="preserve"> </w:t>
      </w:r>
    </w:p>
    <w:p w:rsidRPr="004805D1" w:rsidR="008E6886" w:rsidP="008E6886" w:rsidRDefault="008E6886" w14:paraId="41E2B279" w14:textId="4A14DAC4">
      <w:pPr>
        <w:pStyle w:val="FERCparanumber"/>
      </w:pPr>
      <w:r w:rsidRPr="004805D1">
        <w:t>Other commenters argue that metering and telemetry requirements are important for reliability and should be the same for distributed energy resource aggregations as for any other resource type.</w:t>
      </w:r>
      <w:r w:rsidRPr="004805D1">
        <w:rPr>
          <w:rStyle w:val="FootnoteReference"/>
          <w:szCs w:val="26"/>
        </w:rPr>
        <w:footnoteReference w:id="613"/>
      </w:r>
      <w:r w:rsidRPr="004805D1">
        <w:t xml:space="preserve">  EEI argues that this is important so the RTO/ISO knows the operating level of the resource and how much that resource can ramp up or ramp down over its full range of capability.</w:t>
      </w:r>
      <w:r w:rsidRPr="004805D1">
        <w:rPr>
          <w:rStyle w:val="FootnoteReference"/>
          <w:rFonts w:eastAsia="Calibri"/>
          <w:szCs w:val="26"/>
        </w:rPr>
        <w:footnoteReference w:id="614"/>
      </w:r>
      <w:r w:rsidRPr="004805D1">
        <w:t xml:space="preserve">  Energy Storage Association agrees, as long as the telemetry allows </w:t>
      </w:r>
      <w:r>
        <w:t>distributed energy resource</w:t>
      </w:r>
      <w:r w:rsidRPr="004805D1">
        <w:t xml:space="preserve"> aggregations to provide the same products and services as traditional generators.</w:t>
      </w:r>
      <w:r w:rsidRPr="004805D1">
        <w:rPr>
          <w:rStyle w:val="FootnoteReference"/>
          <w:rFonts w:eastAsia="Calibri"/>
          <w:szCs w:val="26"/>
        </w:rPr>
        <w:footnoteReference w:id="615"/>
      </w:r>
      <w:r w:rsidRPr="004805D1">
        <w:t xml:space="preserve">  PJM </w:t>
      </w:r>
      <w:r w:rsidR="00DE2D4E">
        <w:t xml:space="preserve">also </w:t>
      </w:r>
      <w:r w:rsidRPr="004805D1">
        <w:t xml:space="preserve">agrees, </w:t>
      </w:r>
      <w:r>
        <w:t xml:space="preserve">but </w:t>
      </w:r>
      <w:r w:rsidRPr="004805D1">
        <w:t>not</w:t>
      </w:r>
      <w:r>
        <w:t>es</w:t>
      </w:r>
      <w:r w:rsidRPr="004805D1">
        <w:t xml:space="preserve"> that smaller resources have lower-cost telemetry requirements in its market.</w:t>
      </w:r>
      <w:r>
        <w:rPr>
          <w:rStyle w:val="FootnoteReference"/>
        </w:rPr>
        <w:footnoteReference w:id="616"/>
      </w:r>
      <w:r w:rsidRPr="00AD7000" w:rsidR="00AD7000">
        <w:t xml:space="preserve"> </w:t>
      </w:r>
      <w:r w:rsidR="00AD7000">
        <w:t xml:space="preserve"> </w:t>
      </w:r>
      <w:r w:rsidRPr="003E14F3" w:rsidR="00444D3F">
        <w:t xml:space="preserve">EPSA </w:t>
      </w:r>
      <w:r w:rsidR="00444D3F">
        <w:t>asserts that</w:t>
      </w:r>
      <w:r w:rsidRPr="003E14F3" w:rsidR="00444D3F">
        <w:t xml:space="preserve"> estimation, sampling</w:t>
      </w:r>
      <w:r w:rsidR="00B90926">
        <w:t>,</w:t>
      </w:r>
      <w:r w:rsidRPr="003E14F3" w:rsidR="00444D3F">
        <w:t xml:space="preserve"> and other inexact methods provide </w:t>
      </w:r>
      <w:r w:rsidR="00444D3F">
        <w:t>in</w:t>
      </w:r>
      <w:r w:rsidRPr="003E14F3" w:rsidR="00444D3F">
        <w:t>sufficient prec</w:t>
      </w:r>
      <w:r w:rsidRPr="00296D0D" w:rsidR="00444D3F">
        <w:t>ision and</w:t>
      </w:r>
      <w:r w:rsidR="00444D3F">
        <w:t>, therefore</w:t>
      </w:r>
      <w:r w:rsidR="00B90926">
        <w:t xml:space="preserve"> argues that</w:t>
      </w:r>
      <w:r w:rsidR="00444D3F">
        <w:t xml:space="preserve"> distributed energy resource</w:t>
      </w:r>
      <w:r w:rsidRPr="00296D0D" w:rsidR="00444D3F">
        <w:t>s should be subject to the same metering requirements as traditional supply resources.</w:t>
      </w:r>
      <w:r w:rsidRPr="003E14F3" w:rsidR="00444D3F">
        <w:rPr>
          <w:rStyle w:val="FootnoteReference"/>
          <w:rFonts w:eastAsia="Calibri"/>
        </w:rPr>
        <w:footnoteReference w:id="617"/>
      </w:r>
      <w:r w:rsidRPr="00DE70CD" w:rsidR="00444D3F">
        <w:t xml:space="preserve">  </w:t>
      </w:r>
      <w:r w:rsidRPr="004805D1" w:rsidR="00AD7000">
        <w:t>NYISO Indicated Transmission Owners</w:t>
      </w:r>
      <w:r w:rsidR="00AD7000">
        <w:t xml:space="preserve"> </w:t>
      </w:r>
      <w:r w:rsidRPr="004805D1" w:rsidR="00AD7000">
        <w:t>contend that the cost of new or additional communications requirements should be considered a prerequisite to maintain the reliability of the system rather than a barrier to entry.</w:t>
      </w:r>
      <w:r w:rsidRPr="004805D1" w:rsidR="00AD7000">
        <w:rPr>
          <w:rStyle w:val="FootnoteReference"/>
          <w:szCs w:val="26"/>
        </w:rPr>
        <w:footnoteReference w:id="618"/>
      </w:r>
      <w:r w:rsidRPr="004805D1" w:rsidR="00AD7000">
        <w:t xml:space="preserve">  </w:t>
      </w:r>
    </w:p>
    <w:p w:rsidRPr="004805D1" w:rsidR="008E6886" w:rsidP="008E6886" w:rsidRDefault="00DE2D4E" w14:paraId="30E59D8E" w14:textId="466E3ECF">
      <w:pPr>
        <w:pStyle w:val="FERCparanumber"/>
      </w:pPr>
      <w:r>
        <w:t>Some</w:t>
      </w:r>
      <w:r w:rsidRPr="004805D1">
        <w:t xml:space="preserve"> </w:t>
      </w:r>
      <w:r w:rsidRPr="004805D1" w:rsidR="008E6886">
        <w:t xml:space="preserve">commenters argue that </w:t>
      </w:r>
      <w:r w:rsidR="003137F1">
        <w:t xml:space="preserve">metering and </w:t>
      </w:r>
      <w:r w:rsidRPr="004805D1" w:rsidR="008E6886">
        <w:t xml:space="preserve">telemetry requirements should be placed on individual distributed energy resources </w:t>
      </w:r>
      <w:r w:rsidR="008E6886">
        <w:t xml:space="preserve">within an </w:t>
      </w:r>
      <w:r w:rsidRPr="004805D1" w:rsidR="008E6886">
        <w:t>aggregation.</w:t>
      </w:r>
      <w:r w:rsidRPr="004805D1" w:rsidR="008E6886">
        <w:rPr>
          <w:rStyle w:val="FootnoteReference"/>
          <w:rFonts w:eastAsia="Calibri"/>
          <w:szCs w:val="26"/>
        </w:rPr>
        <w:footnoteReference w:id="619"/>
      </w:r>
      <w:r w:rsidRPr="004805D1" w:rsidR="008E6886">
        <w:t xml:space="preserve">  </w:t>
      </w:r>
      <w:r w:rsidR="003137F1">
        <w:t xml:space="preserve">Multiple commenters argue that distributed </w:t>
      </w:r>
      <w:r w:rsidRPr="004805D1" w:rsidR="003137F1">
        <w:t xml:space="preserve">energy resources </w:t>
      </w:r>
      <w:r w:rsidR="003137F1">
        <w:t xml:space="preserve">need to be directly metered </w:t>
      </w:r>
      <w:r w:rsidRPr="004805D1" w:rsidR="003137F1">
        <w:t>to distinguish between wholesale and retail actions</w:t>
      </w:r>
      <w:r w:rsidR="003137F1">
        <w:t>.</w:t>
      </w:r>
      <w:r w:rsidR="003137F1">
        <w:rPr>
          <w:rStyle w:val="FootnoteReference"/>
        </w:rPr>
        <w:footnoteReference w:id="620"/>
      </w:r>
      <w:r w:rsidRPr="004805D1" w:rsidR="008E6886">
        <w:t xml:space="preserve">  </w:t>
      </w:r>
      <w:r w:rsidRPr="004805D1" w:rsidR="00A713C0">
        <w:t>MISO believes that it is appropriate for the Commission to identify the criteria and process for differentiating retail versus wholesale transactions of distributed energy resources.</w:t>
      </w:r>
      <w:r w:rsidRPr="004805D1" w:rsidR="00A713C0">
        <w:rPr>
          <w:rStyle w:val="FootnoteReference"/>
          <w:rFonts w:eastAsia="Calibri"/>
          <w:szCs w:val="26"/>
        </w:rPr>
        <w:footnoteReference w:id="621"/>
      </w:r>
      <w:r w:rsidRPr="004805D1" w:rsidR="00A713C0">
        <w:rPr>
          <w:bCs/>
        </w:rPr>
        <w:t xml:space="preserve">  </w:t>
      </w:r>
      <w:r w:rsidRPr="004805D1" w:rsidR="008E6886">
        <w:t xml:space="preserve">TAPS states that RTOs/ISOs </w:t>
      </w:r>
      <w:r w:rsidR="008E6886">
        <w:t xml:space="preserve">should </w:t>
      </w:r>
      <w:r w:rsidRPr="004805D1" w:rsidR="008E6886">
        <w:t>require telemetry on individual distributed energy resources for situational awareness and so that facilities are not inadvertently directed to operate beyond physical capabilities.</w:t>
      </w:r>
      <w:r w:rsidRPr="004805D1" w:rsidR="008E6886">
        <w:rPr>
          <w:rStyle w:val="FootnoteReference"/>
          <w:rFonts w:eastAsia="Calibri"/>
          <w:szCs w:val="26"/>
        </w:rPr>
        <w:footnoteReference w:id="622"/>
      </w:r>
      <w:r w:rsidRPr="004805D1" w:rsidR="008E6886">
        <w:t xml:space="preserve"> </w:t>
      </w:r>
      <w:r w:rsidR="008E6886">
        <w:t xml:space="preserve"> </w:t>
      </w:r>
      <w:r w:rsidRPr="004805D1" w:rsidR="00430B3C">
        <w:t xml:space="preserve">Moreover, ISO-NE argues that statistical estimation of an aggregation’s output rather than </w:t>
      </w:r>
      <w:r w:rsidR="00430B3C">
        <w:t>direct metering and</w:t>
      </w:r>
      <w:r w:rsidRPr="004805D1" w:rsidR="00430B3C">
        <w:t xml:space="preserve"> telemetry</w:t>
      </w:r>
      <w:r w:rsidR="00430B3C">
        <w:t xml:space="preserve"> of individual distributed energy resources</w:t>
      </w:r>
      <w:r w:rsidRPr="004805D1" w:rsidR="00430B3C">
        <w:t xml:space="preserve"> introduces error and that the impact of using estimation to determine distribution factors is not clear.</w:t>
      </w:r>
      <w:r w:rsidRPr="004805D1" w:rsidR="00430B3C">
        <w:rPr>
          <w:rStyle w:val="FootnoteReference"/>
          <w:rFonts w:eastAsia="Calibri"/>
          <w:szCs w:val="26"/>
        </w:rPr>
        <w:footnoteReference w:id="623"/>
      </w:r>
      <w:r w:rsidRPr="004805D1" w:rsidR="00430B3C">
        <w:t xml:space="preserve">  </w:t>
      </w:r>
      <w:r w:rsidRPr="004805D1" w:rsidR="008E6886">
        <w:t xml:space="preserve">PJM and the IRC request that the Commission establish </w:t>
      </w:r>
      <w:r w:rsidR="00DE70BA">
        <w:t>that</w:t>
      </w:r>
      <w:r w:rsidRPr="004805D1" w:rsidR="008E6886">
        <w:t xml:space="preserve"> RTOs/ISOs </w:t>
      </w:r>
      <w:r w:rsidR="00DE70BA">
        <w:t>have the right</w:t>
      </w:r>
      <w:r w:rsidRPr="004805D1" w:rsidR="008E6886">
        <w:t xml:space="preserve"> to require metering and telemetry </w:t>
      </w:r>
      <w:r w:rsidR="00815629">
        <w:t>for</w:t>
      </w:r>
      <w:r w:rsidRPr="004805D1" w:rsidR="008E6886">
        <w:t xml:space="preserve"> individual </w:t>
      </w:r>
      <w:r w:rsidR="008E6886">
        <w:t>distributed energy resource</w:t>
      </w:r>
      <w:r w:rsidRPr="004805D1" w:rsidR="008E6886">
        <w:t xml:space="preserve">s </w:t>
      </w:r>
      <w:r w:rsidR="008E6886">
        <w:t xml:space="preserve">comparable to traditional resources </w:t>
      </w:r>
      <w:r w:rsidRPr="004805D1" w:rsidR="008E6886">
        <w:t>in order to avoid seams issues and inconsistent industry roll-out</w:t>
      </w:r>
      <w:r w:rsidRPr="004805D1" w:rsidR="008E6886">
        <w:rPr>
          <w:iCs/>
        </w:rPr>
        <w:t>.</w:t>
      </w:r>
      <w:r w:rsidRPr="00717C52" w:rsidR="008E6886">
        <w:rPr>
          <w:rStyle w:val="FootnoteReference"/>
        </w:rPr>
        <w:footnoteReference w:id="624"/>
      </w:r>
      <w:r w:rsidRPr="004805D1" w:rsidR="008E6886">
        <w:t xml:space="preserve">  </w:t>
      </w:r>
      <w:r w:rsidRPr="004805D1" w:rsidR="00A713C0">
        <w:t>Avangrid cautions that even with separate metering, ownership and reconciliation of the data for retail billing and wholesale settlement may be impractically complex.</w:t>
      </w:r>
      <w:r w:rsidRPr="00717C52" w:rsidR="00A713C0">
        <w:rPr>
          <w:rStyle w:val="FootnoteReference"/>
        </w:rPr>
        <w:footnoteReference w:id="625"/>
      </w:r>
      <w:r w:rsidR="000F4054">
        <w:t xml:space="preserve">  </w:t>
      </w:r>
      <w:r w:rsidRPr="004C61B1" w:rsidR="000F4054">
        <w:rPr>
          <w:szCs w:val="26"/>
        </w:rPr>
        <w:t xml:space="preserve">NYISO Indicated Transmission Owners </w:t>
      </w:r>
      <w:r w:rsidR="000F4054">
        <w:rPr>
          <w:szCs w:val="26"/>
        </w:rPr>
        <w:t>assert</w:t>
      </w:r>
      <w:r w:rsidRPr="004C61B1" w:rsidR="000F4054">
        <w:rPr>
          <w:szCs w:val="26"/>
        </w:rPr>
        <w:t xml:space="preserve"> that resources above a certain size and within an aggregation may require additional metering</w:t>
      </w:r>
      <w:r w:rsidR="000F4054">
        <w:rPr>
          <w:szCs w:val="26"/>
        </w:rPr>
        <w:t xml:space="preserve"> to mitigate issues on </w:t>
      </w:r>
      <w:r w:rsidR="009C3288">
        <w:rPr>
          <w:szCs w:val="26"/>
        </w:rPr>
        <w:t xml:space="preserve">a </w:t>
      </w:r>
      <w:r w:rsidR="000F4054">
        <w:rPr>
          <w:szCs w:val="26"/>
        </w:rPr>
        <w:t>utility’s distribution system</w:t>
      </w:r>
      <w:r w:rsidRPr="004C61B1" w:rsidR="000F4054">
        <w:rPr>
          <w:szCs w:val="26"/>
        </w:rPr>
        <w:t>.</w:t>
      </w:r>
      <w:r w:rsidRPr="00367C29" w:rsidR="000F4054">
        <w:rPr>
          <w:rStyle w:val="FootnoteReference"/>
        </w:rPr>
        <w:footnoteReference w:id="626"/>
      </w:r>
      <w:r w:rsidRPr="004805D1" w:rsidR="000F4054">
        <w:t xml:space="preserve"> </w:t>
      </w:r>
      <w:r w:rsidR="000F4054">
        <w:t xml:space="preserve"> </w:t>
      </w:r>
    </w:p>
    <w:p w:rsidRPr="004805D1" w:rsidR="008E6886" w:rsidP="008E6886" w:rsidRDefault="008E6886" w14:paraId="73DA2301" w14:textId="50337ABB">
      <w:pPr>
        <w:pStyle w:val="FERCparanumber"/>
        <w:rPr>
          <w:color w:val="000000"/>
        </w:rPr>
      </w:pPr>
      <w:r w:rsidRPr="004805D1">
        <w:t xml:space="preserve">Several commenters agree with the </w:t>
      </w:r>
      <w:r w:rsidR="005D7458">
        <w:t>Commission</w:t>
      </w:r>
      <w:r w:rsidRPr="004805D1">
        <w:t xml:space="preserve"> that telemetry system requirements may need to be in place at different locations for geographically dispersed distributed energy resource aggregations that have to provide distribution factors.</w:t>
      </w:r>
      <w:r w:rsidRPr="004805D1">
        <w:rPr>
          <w:rStyle w:val="FootnoteReference"/>
          <w:rFonts w:eastAsia="Calibri"/>
          <w:szCs w:val="26"/>
        </w:rPr>
        <w:footnoteReference w:id="627"/>
      </w:r>
      <w:r w:rsidRPr="004805D1">
        <w:t xml:space="preserve">  </w:t>
      </w:r>
      <w:r w:rsidRPr="00DF274B">
        <w:t xml:space="preserve">PJM Market Monitor argues that meter and telemetry information should be disaggregated at each node and </w:t>
      </w:r>
      <w:r w:rsidR="00E32043">
        <w:t xml:space="preserve">that </w:t>
      </w:r>
      <w:r w:rsidRPr="00DF274B">
        <w:t>the RTO/ISO should provide nodal settlement.</w:t>
      </w:r>
      <w:r w:rsidRPr="00DF274B">
        <w:rPr>
          <w:b/>
          <w:vertAlign w:val="superscript"/>
        </w:rPr>
        <w:footnoteReference w:id="628"/>
      </w:r>
      <w:r w:rsidRPr="00DF274B">
        <w:t xml:space="preserve">  </w:t>
      </w:r>
      <w:r w:rsidRPr="004805D1">
        <w:t xml:space="preserve">MISO Transmission Owners </w:t>
      </w:r>
      <w:r>
        <w:t>argue that it is</w:t>
      </w:r>
      <w:r w:rsidRPr="004805D1">
        <w:t xml:space="preserve"> not clear how multi-node aggregations would be settled.</w:t>
      </w:r>
      <w:r w:rsidRPr="00717C52">
        <w:rPr>
          <w:rStyle w:val="FootnoteReference"/>
        </w:rPr>
        <w:footnoteReference w:id="629"/>
      </w:r>
      <w:r w:rsidRPr="004805D1">
        <w:t xml:space="preserve">  AES Companies contend </w:t>
      </w:r>
      <w:r w:rsidR="005D7458">
        <w:t xml:space="preserve">that </w:t>
      </w:r>
      <w:r w:rsidRPr="004805D1">
        <w:t>the Commission should permit the aggregation to include more than one metering point where the system characteristics indicate more are needed.</w:t>
      </w:r>
      <w:r w:rsidRPr="00717C52">
        <w:rPr>
          <w:rStyle w:val="FootnoteReference"/>
        </w:rPr>
        <w:footnoteReference w:id="630"/>
      </w:r>
      <w:r w:rsidRPr="004805D1">
        <w:t xml:space="preserve">  </w:t>
      </w:r>
      <w:r w:rsidRPr="004805D1">
        <w:rPr>
          <w:color w:val="000000"/>
        </w:rPr>
        <w:t>Duke Energy maintains that RTOs/ISOs should have access to telemetry information at individual points of interconnection and that the distribution utility may need to access similar data.</w:t>
      </w:r>
      <w:r w:rsidRPr="00717C52">
        <w:rPr>
          <w:rStyle w:val="FootnoteReference"/>
        </w:rPr>
        <w:footnoteReference w:id="631"/>
      </w:r>
      <w:r w:rsidRPr="004805D1">
        <w:rPr>
          <w:color w:val="000000"/>
        </w:rPr>
        <w:t xml:space="preserve">  </w:t>
      </w:r>
    </w:p>
    <w:p w:rsidRPr="004805D1" w:rsidR="008E6886" w:rsidP="008E6886" w:rsidRDefault="008E6886" w14:paraId="127DD613" w14:textId="3F469624">
      <w:pPr>
        <w:pStyle w:val="FERCparanumber"/>
      </w:pPr>
      <w:r w:rsidRPr="004805D1">
        <w:t>Most commenters support the proposal in the NOPR that, when existing distribution utility metering requirements for distributed energy resources are sufficient, RTOs/ISOs should rely on that technology rather than impose new requirements.</w:t>
      </w:r>
      <w:r w:rsidRPr="00717C52">
        <w:rPr>
          <w:rStyle w:val="FootnoteReference"/>
        </w:rPr>
        <w:footnoteReference w:id="632"/>
      </w:r>
      <w:r w:rsidRPr="004805D1">
        <w:t xml:space="preserve">  Avangrid argues that the distribution utility might be able to provide the necessary data to the RTO/ISO on behalf of the distributed energy resource aggregator via a third-party agreement.</w:t>
      </w:r>
      <w:r w:rsidRPr="00717C52">
        <w:rPr>
          <w:rStyle w:val="FootnoteReference"/>
        </w:rPr>
        <w:footnoteReference w:id="633"/>
      </w:r>
    </w:p>
    <w:p w:rsidR="00200060" w:rsidP="00200060" w:rsidRDefault="00200060" w14:paraId="55A7F84C" w14:textId="6FDF6A1F">
      <w:pPr>
        <w:pStyle w:val="FERCparanumber"/>
      </w:pPr>
      <w:r w:rsidRPr="00296D0D">
        <w:t>APPA</w:t>
      </w:r>
      <w:r w:rsidR="00174CC9">
        <w:t>/</w:t>
      </w:r>
      <w:r w:rsidRPr="00296D0D">
        <w:t xml:space="preserve">NRECA express concern that </w:t>
      </w:r>
      <w:r>
        <w:t>the proposal to rely on meter data from the distribution utility</w:t>
      </w:r>
      <w:r w:rsidRPr="00296D0D" w:rsidDel="004F6B5A">
        <w:t xml:space="preserve"> </w:t>
      </w:r>
      <w:r w:rsidRPr="00296D0D">
        <w:t>would place significant burdens on distribution utilities</w:t>
      </w:r>
      <w:r w:rsidRPr="001267FE">
        <w:t xml:space="preserve"> and introduce new cybersecurity and privacy implications, issues which will require significant time and resources for utilities to address</w:t>
      </w:r>
      <w:r w:rsidRPr="00296D0D">
        <w:t>.</w:t>
      </w:r>
      <w:r w:rsidRPr="00296D0D">
        <w:rPr>
          <w:rStyle w:val="FootnoteReference"/>
          <w:rFonts w:eastAsia="Calibri"/>
        </w:rPr>
        <w:footnoteReference w:id="634"/>
      </w:r>
      <w:r w:rsidRPr="00296D0D">
        <w:t xml:space="preserve"> </w:t>
      </w:r>
      <w:r>
        <w:t xml:space="preserve"> </w:t>
      </w:r>
      <w:r w:rsidRPr="001267FE">
        <w:t xml:space="preserve">APPA asserts </w:t>
      </w:r>
      <w:r>
        <w:t xml:space="preserve">that </w:t>
      </w:r>
      <w:r w:rsidRPr="001267FE">
        <w:t xml:space="preserve">such costs could undermine the benefits of distribution utilities’ existing retail </w:t>
      </w:r>
      <w:r>
        <w:t>distributed energy resource</w:t>
      </w:r>
      <w:r w:rsidRPr="001267FE">
        <w:t xml:space="preserve"> programs, effectively imposing costs on retail customers to subsidize wholesale market participation.</w:t>
      </w:r>
      <w:r w:rsidRPr="001267FE">
        <w:rPr>
          <w:b/>
          <w:vertAlign w:val="superscript"/>
        </w:rPr>
        <w:footnoteReference w:id="635"/>
      </w:r>
      <w:r w:rsidRPr="001267FE">
        <w:t xml:space="preserve">  </w:t>
      </w:r>
      <w:r w:rsidRPr="00296D0D">
        <w:t>Advanced Energy Management asserts that telemetry requirements to participate in a wholesale program should be driven by the RTO/ISO system needs, which are less granular than at the distribution level.</w:t>
      </w:r>
      <w:r w:rsidRPr="00296D0D">
        <w:rPr>
          <w:rStyle w:val="FootnoteReference"/>
          <w:rFonts w:eastAsia="Calibri"/>
        </w:rPr>
        <w:footnoteReference w:id="636"/>
      </w:r>
      <w:r w:rsidRPr="00296D0D">
        <w:t xml:space="preserve">  Advanced Energy Management adds that a </w:t>
      </w:r>
      <w:r>
        <w:t>distributed energy resource</w:t>
      </w:r>
      <w:r w:rsidRPr="00296D0D">
        <w:t xml:space="preserve"> that only seeks participation in the wholesale market should only be required to fulfill the RTO’s/ISO’s metering requirements.  Advanced Energy Economy states that RTOs/ISOs should adopt procedures that provide for regular information and communications flows to occur from the aggregator, to the RTO/ISO, and then to distribution utilities.</w:t>
      </w:r>
      <w:r w:rsidRPr="00296D0D">
        <w:rPr>
          <w:rStyle w:val="FootnoteReference"/>
          <w:szCs w:val="26"/>
        </w:rPr>
        <w:footnoteReference w:id="637"/>
      </w:r>
    </w:p>
    <w:p w:rsidRPr="00536D6C" w:rsidR="00200060" w:rsidP="00536D6C" w:rsidRDefault="008E6886" w14:paraId="4ECA8F1B" w14:textId="7EE72A98">
      <w:pPr>
        <w:pStyle w:val="FERCparanumber"/>
        <w:rPr>
          <w:i/>
        </w:rPr>
      </w:pPr>
      <w:r w:rsidRPr="004805D1">
        <w:t>Several commenters generally agree with the Commission that individual distributed energy resources in an aggregation will need to be directly metered.  These commenters argue that behind-the-meter distributed energy resources should be metered separately from the host site’s load due to the need to distinguish between wholesale and retail actions.</w:t>
      </w:r>
      <w:r w:rsidRPr="00717C52">
        <w:rPr>
          <w:rStyle w:val="FootnoteReference"/>
        </w:rPr>
        <w:footnoteReference w:id="638"/>
      </w:r>
      <w:r w:rsidRPr="004805D1">
        <w:t xml:space="preserve">  DER/Storage Developers ask the </w:t>
      </w:r>
      <w:r w:rsidRPr="004805D1">
        <w:rPr>
          <w:bCs/>
        </w:rPr>
        <w:t>Commission to direct all RTOs/ISOs to allow direct metering of resources as an optional alternative to traditional baselines to determine performance.</w:t>
      </w:r>
      <w:r w:rsidRPr="00717C52">
        <w:rPr>
          <w:rStyle w:val="FootnoteReference"/>
        </w:rPr>
        <w:footnoteReference w:id="639"/>
      </w:r>
      <w:r w:rsidRPr="004805D1">
        <w:rPr>
          <w:bCs/>
        </w:rPr>
        <w:t xml:space="preserve">  </w:t>
      </w:r>
      <w:r w:rsidRPr="004805D1">
        <w:t>Independent Energy Producers Association notes that dual-metering can serve other Commission goals such as minimizing cost shifts, ensuring reliability, and ensuring market integrity.</w:t>
      </w:r>
      <w:r w:rsidRPr="00717C52">
        <w:rPr>
          <w:rStyle w:val="FootnoteReference"/>
        </w:rPr>
        <w:footnoteReference w:id="640"/>
      </w:r>
      <w:r w:rsidRPr="004805D1">
        <w:t xml:space="preserve">  MISO </w:t>
      </w:r>
      <w:r w:rsidRPr="003E14F3" w:rsidR="00B0534F">
        <w:t>states that visibility at the point</w:t>
      </w:r>
      <w:r w:rsidRPr="00296D0D" w:rsidR="00B0534F">
        <w:t xml:space="preserve"> of injection is needed to mitigate transmission risks and ensure that a </w:t>
      </w:r>
      <w:r w:rsidR="00B0534F">
        <w:t>distributed energy resource</w:t>
      </w:r>
      <w:r w:rsidRPr="00296D0D" w:rsidR="00B0534F">
        <w:t xml:space="preserve"> is following dispatch instructions, particularly as the volume of </w:t>
      </w:r>
      <w:r w:rsidR="00B0534F">
        <w:t>distributed energy resource</w:t>
      </w:r>
      <w:r w:rsidRPr="00296D0D" w:rsidR="00B0534F">
        <w:t>s grows.</w:t>
      </w:r>
      <w:r w:rsidRPr="003E14F3" w:rsidR="00B0534F">
        <w:rPr>
          <w:rStyle w:val="FootnoteReference"/>
        </w:rPr>
        <w:footnoteReference w:id="641"/>
      </w:r>
      <w:r w:rsidRPr="003E14F3" w:rsidR="00B0534F">
        <w:t xml:space="preserve">  </w:t>
      </w:r>
      <w:r w:rsidRPr="00296D0D" w:rsidR="00200060">
        <w:t>EPSA argues that netting retail and wholesale services reduces RTO/ISO visibility which makes it difficult for RTOs/ISOs to efficiently dispatch resources, measure and verify resource performance, calculate baseline load levels</w:t>
      </w:r>
      <w:r w:rsidR="00200060">
        <w:t>, and support the reliability, planning, and modeling of system capabilities</w:t>
      </w:r>
      <w:r w:rsidRPr="00296D0D" w:rsidR="00200060">
        <w:t>.</w:t>
      </w:r>
      <w:r w:rsidRPr="003E14F3" w:rsidR="00200060">
        <w:rPr>
          <w:rStyle w:val="FootnoteReference"/>
          <w:rFonts w:eastAsia="Calibri"/>
        </w:rPr>
        <w:footnoteReference w:id="642"/>
      </w:r>
      <w:r w:rsidRPr="003E14F3" w:rsidR="00200060">
        <w:t xml:space="preserve">  </w:t>
      </w:r>
      <w:r w:rsidRPr="004805D1" w:rsidR="00200060">
        <w:t>Avangrid cautions that even with separate metering, ownership and reconciliation of the data for retail billing and wholesale settlement may be impractically complex.</w:t>
      </w:r>
      <w:r w:rsidRPr="00717C52" w:rsidR="00200060">
        <w:rPr>
          <w:rStyle w:val="FootnoteReference"/>
        </w:rPr>
        <w:footnoteReference w:id="643"/>
      </w:r>
    </w:p>
    <w:p w:rsidRPr="004805D1" w:rsidR="008E6886" w:rsidP="008E6886" w:rsidRDefault="008E6886" w14:paraId="57EC1386" w14:textId="1AB248F8">
      <w:pPr>
        <w:pStyle w:val="FERCparanumber"/>
      </w:pPr>
      <w:r w:rsidRPr="004805D1">
        <w:t xml:space="preserve">Some commenters question the authority of the Commission or the RTOs/ISOs to impose specific metering and telemetry requirements on distributed energy resources.  AES Companies argue that the only metering and telemetry requirements that </w:t>
      </w:r>
      <w:r>
        <w:t>the Commission or the RTOs/ISOs</w:t>
      </w:r>
      <w:r w:rsidRPr="004805D1">
        <w:t xml:space="preserve"> can dictate are for the aggregator’s node or point of interconnection to the transmission system under RTO/ISO control.</w:t>
      </w:r>
      <w:r w:rsidRPr="00717C52">
        <w:rPr>
          <w:rStyle w:val="FootnoteReference"/>
        </w:rPr>
        <w:footnoteReference w:id="644"/>
      </w:r>
      <w:r w:rsidRPr="004805D1">
        <w:t xml:space="preserve">  IRC asks the Commission to acknowledge in </w:t>
      </w:r>
      <w:r w:rsidR="004F6B5A">
        <w:t>any</w:t>
      </w:r>
      <w:r w:rsidRPr="004805D1">
        <w:t xml:space="preserve"> final rule that the RTOs/ISOs have no jurisdiction to require state-regulated utilities to install specific retail metering technology, but that wholesale metering rules for distributed energy resources must be met.</w:t>
      </w:r>
      <w:r w:rsidRPr="00717C52">
        <w:rPr>
          <w:rStyle w:val="FootnoteReference"/>
        </w:rPr>
        <w:footnoteReference w:id="645"/>
      </w:r>
      <w:r w:rsidRPr="004805D1">
        <w:t xml:space="preserve">  California Energy Storage Alliance recommends that local regulatory authorities develop and implement metering and telemetry requirements to avoid the Commission </w:t>
      </w:r>
      <w:r>
        <w:t xml:space="preserve">imposing any </w:t>
      </w:r>
      <w:r w:rsidRPr="004805D1">
        <w:t>requirements outside the Commission’s jurisdiction.</w:t>
      </w:r>
      <w:r w:rsidRPr="00717C52">
        <w:rPr>
          <w:rStyle w:val="FootnoteReference"/>
        </w:rPr>
        <w:footnoteReference w:id="646"/>
      </w:r>
      <w:r w:rsidRPr="004805D1">
        <w:t xml:space="preserve">  </w:t>
      </w:r>
      <w:r w:rsidR="00FA6748">
        <w:t xml:space="preserve">The </w:t>
      </w:r>
      <w:r w:rsidRPr="004805D1">
        <w:t>Delaware Commission recommends that</w:t>
      </w:r>
      <w:r>
        <w:t xml:space="preserve"> </w:t>
      </w:r>
      <w:r w:rsidRPr="004805D1">
        <w:t xml:space="preserve">the Commission require distributed energy resources </w:t>
      </w:r>
      <w:r w:rsidR="00AD7000">
        <w:t xml:space="preserve">to </w:t>
      </w:r>
      <w:r w:rsidR="00457427">
        <w:t>employ</w:t>
      </w:r>
      <w:r w:rsidRPr="004805D1">
        <w:t xml:space="preserve"> separate metering and telemetry capability </w:t>
      </w:r>
      <w:r w:rsidR="00457427">
        <w:t xml:space="preserve">if </w:t>
      </w:r>
      <w:r w:rsidR="00576B6A">
        <w:t xml:space="preserve">they are </w:t>
      </w:r>
      <w:r w:rsidR="00457427">
        <w:t>providing both</w:t>
      </w:r>
      <w:r w:rsidR="00137F02">
        <w:t xml:space="preserve"> </w:t>
      </w:r>
      <w:r w:rsidRPr="004805D1">
        <w:t>wholesale and retail services.</w:t>
      </w:r>
      <w:r w:rsidRPr="00717C52">
        <w:rPr>
          <w:rStyle w:val="FootnoteReference"/>
        </w:rPr>
        <w:footnoteReference w:id="647"/>
      </w:r>
    </w:p>
    <w:p w:rsidRPr="004805D1" w:rsidR="008E6886" w:rsidP="008E6886" w:rsidRDefault="008E6886" w14:paraId="16B5ED0D" w14:textId="2F48D7E7">
      <w:pPr>
        <w:pStyle w:val="FERCparanumber"/>
      </w:pPr>
      <w:r w:rsidRPr="004805D1">
        <w:t>Some state regulators, distribution utilities, and their representatives note that upgrades may be needed to current metering technology and associated networking and cyber security in order to support RTO/ISO needs</w:t>
      </w:r>
      <w:r w:rsidRPr="004805D1">
        <w:rPr>
          <w:rStyle w:val="FootnoteReference"/>
          <w:rFonts w:eastAsia="Calibri"/>
          <w:szCs w:val="26"/>
        </w:rPr>
        <w:footnoteReference w:id="648"/>
      </w:r>
      <w:r w:rsidRPr="004805D1">
        <w:t xml:space="preserve"> and argue that </w:t>
      </w:r>
      <w:r>
        <w:t>associated</w:t>
      </w:r>
      <w:r w:rsidRPr="004805D1">
        <w:t xml:space="preserve"> costs must be borne by the distributed energy resources or their aggregators or through wholesale level cost allocation, and not by distribution utilities.</w:t>
      </w:r>
      <w:r w:rsidRPr="00717C52">
        <w:rPr>
          <w:rStyle w:val="FootnoteReference"/>
        </w:rPr>
        <w:footnoteReference w:id="649"/>
      </w:r>
      <w:r w:rsidRPr="004805D1">
        <w:t xml:space="preserve">  </w:t>
      </w:r>
    </w:p>
    <w:p w:rsidR="00887C34" w:rsidP="00106EA6" w:rsidRDefault="008E6886" w14:paraId="7BCD261B" w14:textId="055A065A">
      <w:pPr>
        <w:pStyle w:val="FERCparanumber"/>
      </w:pPr>
      <w:r w:rsidRPr="004805D1">
        <w:t xml:space="preserve">Several commenters discuss the relationship between RTOs/ISOs and distribution utilities and their respective metering and telemetry requirements. </w:t>
      </w:r>
      <w:r>
        <w:t xml:space="preserve"> </w:t>
      </w:r>
      <w:r w:rsidRPr="004805D1">
        <w:t>Fresh Energy/Sierra Club/Union of Concerned Scientists encourage the development of a framework to share metering data between the RTO/ISO, distribution utility, and distributed energy resource aggregator.</w:t>
      </w:r>
      <w:r w:rsidRPr="00717C52">
        <w:rPr>
          <w:rStyle w:val="FootnoteReference"/>
        </w:rPr>
        <w:footnoteReference w:id="650"/>
      </w:r>
      <w:r w:rsidRPr="004805D1">
        <w:t xml:space="preserve">  </w:t>
      </w:r>
      <w:r w:rsidRPr="004805D1">
        <w:rPr>
          <w:color w:val="000000"/>
        </w:rPr>
        <w:t>Duke Energy recommends that the final rule not preclude the transfer of telemetry data between the RTO/ISO and the electric distribution utility.</w:t>
      </w:r>
      <w:r w:rsidRPr="00717C52">
        <w:rPr>
          <w:rStyle w:val="FootnoteReference"/>
        </w:rPr>
        <w:footnoteReference w:id="651"/>
      </w:r>
      <w:r w:rsidRPr="004805D1">
        <w:t xml:space="preserve"> </w:t>
      </w:r>
      <w:r>
        <w:t xml:space="preserve"> </w:t>
      </w:r>
      <w:r w:rsidRPr="004805D1">
        <w:t>Similarly, EEI asserts that both the RTO/ISO and the distribution utility should be</w:t>
      </w:r>
      <w:r>
        <w:t xml:space="preserve"> provided telemetry information,</w:t>
      </w:r>
      <w:r w:rsidRPr="00717C52">
        <w:rPr>
          <w:rStyle w:val="FootnoteReference"/>
        </w:rPr>
        <w:footnoteReference w:id="652"/>
      </w:r>
      <w:r w:rsidRPr="004805D1">
        <w:t xml:space="preserve"> while IRC states that wholesale and retail metering requirements need to be harmonized to prevent undue barriers to participation.</w:t>
      </w:r>
      <w:r w:rsidRPr="004805D1">
        <w:rPr>
          <w:rStyle w:val="FootnoteReference"/>
          <w:szCs w:val="26"/>
        </w:rPr>
        <w:footnoteReference w:id="653"/>
      </w:r>
      <w:r w:rsidRPr="004805D1">
        <w:t xml:space="preserve">  Xcel Energy Services recommends that the RTOs/ISOs and distribution utilities should define the role of a meter data management agent to provide needed meter data.</w:t>
      </w:r>
      <w:r w:rsidRPr="00717C52">
        <w:rPr>
          <w:rStyle w:val="FootnoteReference"/>
        </w:rPr>
        <w:footnoteReference w:id="654"/>
      </w:r>
    </w:p>
    <w:p w:rsidRPr="004805D1" w:rsidR="008E6886" w:rsidP="008E6886" w:rsidRDefault="008E6886" w14:paraId="0E0F33A8" w14:textId="2D59BEA3">
      <w:pPr>
        <w:pStyle w:val="FERCparanumber"/>
      </w:pPr>
      <w:r w:rsidRPr="004805D1">
        <w:t xml:space="preserve">NARUC, EEI, and MISO argue that, before metering and telemetry requirements can be established, additional information must be gathered about </w:t>
      </w:r>
      <w:r w:rsidRPr="001A399E">
        <w:t>the type and purpose of metering and telemetry data needed, the access to and provision of this data, and the cost allocation involved</w:t>
      </w:r>
      <w:r w:rsidRPr="004805D1">
        <w:t>.</w:t>
      </w:r>
      <w:r w:rsidRPr="004805D1">
        <w:rPr>
          <w:rStyle w:val="FootnoteReference"/>
          <w:rFonts w:eastAsia="Calibri"/>
          <w:szCs w:val="26"/>
        </w:rPr>
        <w:footnoteReference w:id="655"/>
      </w:r>
      <w:r w:rsidRPr="004805D1">
        <w:t xml:space="preserve">  On the other hand, Fresh Energy/Sierra Club/Union of Concerned Scientists ask the Commission to not let this debate hinder progress on establishing necessary distributed energy resource requirements.</w:t>
      </w:r>
      <w:r w:rsidRPr="007A657D">
        <w:rPr>
          <w:rStyle w:val="FootnoteReference"/>
        </w:rPr>
        <w:footnoteReference w:id="656"/>
      </w:r>
    </w:p>
    <w:p w:rsidR="004B703B" w:rsidP="004B703B" w:rsidRDefault="004B703B" w14:paraId="4F12A21C" w14:textId="59052712">
      <w:pPr>
        <w:pStyle w:val="Heading4"/>
      </w:pPr>
      <w:bookmarkStart w:name="_bmk61" w:id="100"/>
      <w:r>
        <w:t>C</w:t>
      </w:r>
      <w:bookmarkEnd w:id="100"/>
      <w:r>
        <w:t>ommission Determination</w:t>
      </w:r>
    </w:p>
    <w:p w:rsidR="00B30FA3" w:rsidP="00B30FA3" w:rsidRDefault="0079316E" w14:paraId="671DAB25" w14:textId="32DB9533">
      <w:pPr>
        <w:pStyle w:val="FERCparanumber"/>
      </w:pPr>
      <w:r>
        <w:t>We</w:t>
      </w:r>
      <w:r w:rsidR="00A71AF5">
        <w:t xml:space="preserve"> </w:t>
      </w:r>
      <w:r w:rsidR="002959E2">
        <w:t>adopt the NOPR proposal and</w:t>
      </w:r>
      <w:r w:rsidR="00C218DD">
        <w:t xml:space="preserve"> </w:t>
      </w:r>
      <w:r w:rsidR="00A71AF5">
        <w:t xml:space="preserve">add </w:t>
      </w:r>
      <w:r w:rsidR="00202177">
        <w:t>§</w:t>
      </w:r>
      <w:r w:rsidR="00A71AF5">
        <w:t xml:space="preserve"> 35.2</w:t>
      </w:r>
      <w:r w:rsidR="00CB3F54">
        <w:t>8</w:t>
      </w:r>
      <w:r w:rsidR="00A71AF5">
        <w:t>(g)(1</w:t>
      </w:r>
      <w:r w:rsidR="00CD5DB1">
        <w:t>2</w:t>
      </w:r>
      <w:r w:rsidR="00A71AF5">
        <w:t xml:space="preserve">)(ii)(f) to the Commission’s regulations to require each RTO/ISO to revise its tariff to establish </w:t>
      </w:r>
      <w:r w:rsidR="00527EB6">
        <w:t xml:space="preserve">market rules that address </w:t>
      </w:r>
      <w:r w:rsidR="00A71AF5">
        <w:t>metering and telemetry hardware and software requirements necessary for distributed energy resource aggregation</w:t>
      </w:r>
      <w:r w:rsidR="0027406C">
        <w:t>s</w:t>
      </w:r>
      <w:r w:rsidR="00A71AF5">
        <w:t xml:space="preserve"> to participate in </w:t>
      </w:r>
      <w:r w:rsidR="00003851">
        <w:t>RTO/ISO</w:t>
      </w:r>
      <w:r w:rsidR="00A71AF5">
        <w:t xml:space="preserve"> markets.</w:t>
      </w:r>
      <w:r w:rsidDel="00C11E29" w:rsidR="00C11E29">
        <w:rPr>
          <w:rStyle w:val="FootnoteReference"/>
        </w:rPr>
        <w:t xml:space="preserve"> </w:t>
      </w:r>
      <w:r w:rsidR="00A71AF5">
        <w:t xml:space="preserve">  </w:t>
      </w:r>
    </w:p>
    <w:p w:rsidRPr="00060455" w:rsidR="00060455" w:rsidP="00A71AF5" w:rsidRDefault="00E70D6F" w14:paraId="7C98A404" w14:textId="411DC187">
      <w:pPr>
        <w:pStyle w:val="FERCparanumber"/>
      </w:pPr>
      <w:r>
        <w:t>W</w:t>
      </w:r>
      <w:r w:rsidR="00D11434">
        <w:t>e understand the need to balance</w:t>
      </w:r>
      <w:r w:rsidR="00C77AF4">
        <w:t>,</w:t>
      </w:r>
      <w:r w:rsidR="00D11434">
        <w:t xml:space="preserve"> </w:t>
      </w:r>
      <w:r w:rsidR="00E1232D">
        <w:t>on one hand</w:t>
      </w:r>
      <w:r w:rsidR="00CC1FAC">
        <w:t>,</w:t>
      </w:r>
      <w:r w:rsidR="00E1232D">
        <w:t xml:space="preserve"> </w:t>
      </w:r>
      <w:r w:rsidR="00423383">
        <w:t>the RTO</w:t>
      </w:r>
      <w:r w:rsidR="00E1232D">
        <w:t>’</w:t>
      </w:r>
      <w:r w:rsidR="00423383">
        <w:t>s/ISO</w:t>
      </w:r>
      <w:r w:rsidR="00E1232D">
        <w:t>’</w:t>
      </w:r>
      <w:r w:rsidR="00423383">
        <w:t xml:space="preserve">s </w:t>
      </w:r>
      <w:r w:rsidRPr="00423383" w:rsidR="00423383">
        <w:t xml:space="preserve">need </w:t>
      </w:r>
      <w:r w:rsidR="00E1232D">
        <w:t xml:space="preserve">for </w:t>
      </w:r>
      <w:r w:rsidRPr="00423383" w:rsidR="00423383">
        <w:t xml:space="preserve">metering </w:t>
      </w:r>
      <w:r w:rsidR="00CC1FAC">
        <w:t xml:space="preserve">and telemetry </w:t>
      </w:r>
      <w:r w:rsidRPr="00423383" w:rsidR="00423383">
        <w:t xml:space="preserve">data for settlement </w:t>
      </w:r>
      <w:r w:rsidR="008B6278">
        <w:t xml:space="preserve">and operational </w:t>
      </w:r>
      <w:r w:rsidRPr="00423383" w:rsidR="00423383">
        <w:t>purposes</w:t>
      </w:r>
      <w:r w:rsidR="00CC1FAC">
        <w:t>, and</w:t>
      </w:r>
      <w:r w:rsidR="00C77AF4">
        <w:t>,</w:t>
      </w:r>
      <w:r w:rsidR="00CC1FAC">
        <w:t xml:space="preserve"> on the other</w:t>
      </w:r>
      <w:r w:rsidR="00C77AF4">
        <w:t xml:space="preserve"> hand</w:t>
      </w:r>
      <w:r w:rsidR="00CC1FAC">
        <w:t>,</w:t>
      </w:r>
      <w:r w:rsidRPr="00423383" w:rsidR="00423383">
        <w:t xml:space="preserve"> </w:t>
      </w:r>
      <w:r w:rsidR="006D0B34">
        <w:rPr>
          <w:szCs w:val="26"/>
        </w:rPr>
        <w:t>not impos</w:t>
      </w:r>
      <w:r w:rsidR="00CC1FAC">
        <w:rPr>
          <w:szCs w:val="26"/>
        </w:rPr>
        <w:t>ing</w:t>
      </w:r>
      <w:r w:rsidR="006D0B34">
        <w:rPr>
          <w:szCs w:val="26"/>
        </w:rPr>
        <w:t xml:space="preserve"> unnecessary burdens on distributed energy resource aggregators.  </w:t>
      </w:r>
      <w:r w:rsidR="009D5A5A">
        <w:rPr>
          <w:szCs w:val="26"/>
        </w:rPr>
        <w:t>Th</w:t>
      </w:r>
      <w:r>
        <w:rPr>
          <w:szCs w:val="26"/>
        </w:rPr>
        <w:t>erefore</w:t>
      </w:r>
      <w:r w:rsidR="009D5A5A">
        <w:rPr>
          <w:szCs w:val="26"/>
        </w:rPr>
        <w:t>, w</w:t>
      </w:r>
      <w:r w:rsidR="00003851">
        <w:t>e</w:t>
      </w:r>
      <w:r w:rsidR="00A71AF5">
        <w:t xml:space="preserve"> </w:t>
      </w:r>
      <w:r w:rsidR="00D0032F">
        <w:t>will</w:t>
      </w:r>
      <w:r w:rsidR="00A71AF5">
        <w:t xml:space="preserve"> not prescribe </w:t>
      </w:r>
      <w:r w:rsidR="00955A5B">
        <w:t xml:space="preserve">the </w:t>
      </w:r>
      <w:r w:rsidR="00A71AF5">
        <w:t xml:space="preserve">specific metering and telemetry requirements </w:t>
      </w:r>
      <w:r w:rsidR="00955A5B">
        <w:t>that each</w:t>
      </w:r>
      <w:r w:rsidR="00A71AF5">
        <w:t xml:space="preserve"> RTO/ISO </w:t>
      </w:r>
      <w:r w:rsidR="00955A5B">
        <w:t>must</w:t>
      </w:r>
      <w:r w:rsidR="00A71AF5">
        <w:t xml:space="preserve"> adopt</w:t>
      </w:r>
      <w:r w:rsidR="00C77AF4">
        <w:t xml:space="preserve">; </w:t>
      </w:r>
      <w:r>
        <w:t>rather</w:t>
      </w:r>
      <w:r w:rsidR="00C77AF4">
        <w:t>, we</w:t>
      </w:r>
      <w:r>
        <w:t xml:space="preserve"> provide the RTOs/ISOs with flexibility to </w:t>
      </w:r>
      <w:r w:rsidR="009C0EF4">
        <w:t>establish</w:t>
      </w:r>
      <w:r>
        <w:t xml:space="preserve"> the </w:t>
      </w:r>
      <w:r w:rsidR="006E0417">
        <w:t>necessary</w:t>
      </w:r>
      <w:r>
        <w:t xml:space="preserve"> metering and telemetry requirements for distributed energy resource aggregations</w:t>
      </w:r>
      <w:r w:rsidR="00C77AF4">
        <w:t>,</w:t>
      </w:r>
      <w:r>
        <w:t xml:space="preserve"> </w:t>
      </w:r>
      <w:r w:rsidR="00D86946">
        <w:t>and</w:t>
      </w:r>
      <w:r w:rsidR="00E82C7C">
        <w:t xml:space="preserve"> require that each RTO/ISO explain in its compliance filing why </w:t>
      </w:r>
      <w:r>
        <w:t xml:space="preserve">such </w:t>
      </w:r>
      <w:r w:rsidR="00E82C7C">
        <w:t xml:space="preserve">requirements </w:t>
      </w:r>
      <w:r w:rsidR="005337DC">
        <w:t>are</w:t>
      </w:r>
      <w:r w:rsidR="00E82C7C">
        <w:t xml:space="preserve"> just and reasonable and do not pose an unnecessary and undue barrier to individual distributed energy resources joining a distributed energy resource aggregation.</w:t>
      </w:r>
      <w:r w:rsidR="00A71AF5">
        <w:t xml:space="preserve"> </w:t>
      </w:r>
      <w:r w:rsidR="00CA27B5">
        <w:t xml:space="preserve"> </w:t>
      </w:r>
      <w:r w:rsidRPr="00297EC7" w:rsidR="00297EC7">
        <w:rPr>
          <w:szCs w:val="26"/>
        </w:rPr>
        <w:t xml:space="preserve"> </w:t>
      </w:r>
    </w:p>
    <w:p w:rsidR="00A71AF5" w:rsidP="00A71AF5" w:rsidRDefault="009D5A5A" w14:paraId="101D08B3" w14:textId="0AFCEC9E">
      <w:pPr>
        <w:pStyle w:val="FERCparanumber"/>
      </w:pPr>
      <w:r>
        <w:rPr>
          <w:szCs w:val="26"/>
        </w:rPr>
        <w:t>To implement this</w:t>
      </w:r>
      <w:r w:rsidR="00A069BF">
        <w:rPr>
          <w:szCs w:val="26"/>
        </w:rPr>
        <w:t xml:space="preserve"> </w:t>
      </w:r>
      <w:r w:rsidR="007C360A">
        <w:rPr>
          <w:szCs w:val="26"/>
        </w:rPr>
        <w:t>requirement</w:t>
      </w:r>
      <w:r w:rsidR="00297EC7">
        <w:rPr>
          <w:szCs w:val="26"/>
        </w:rPr>
        <w:t>, w</w:t>
      </w:r>
      <w:r w:rsidRPr="00261FAA" w:rsidR="00297EC7">
        <w:rPr>
          <w:szCs w:val="26"/>
        </w:rPr>
        <w:t xml:space="preserve">e </w:t>
      </w:r>
      <w:r w:rsidR="007C360A">
        <w:rPr>
          <w:szCs w:val="26"/>
        </w:rPr>
        <w:t>direct</w:t>
      </w:r>
      <w:r w:rsidRPr="00261FAA" w:rsidR="00297EC7">
        <w:rPr>
          <w:szCs w:val="26"/>
        </w:rPr>
        <w:t xml:space="preserve"> </w:t>
      </w:r>
      <w:r w:rsidR="00297EC7">
        <w:rPr>
          <w:szCs w:val="26"/>
        </w:rPr>
        <w:t>each RTO/ISO</w:t>
      </w:r>
      <w:r w:rsidRPr="00261FAA" w:rsidR="00297EC7">
        <w:rPr>
          <w:szCs w:val="26"/>
        </w:rPr>
        <w:t xml:space="preserve"> to </w:t>
      </w:r>
      <w:bookmarkStart w:name="_Hlk42765566" w:id="101"/>
      <w:r w:rsidRPr="00261FAA" w:rsidR="00297EC7">
        <w:rPr>
          <w:szCs w:val="26"/>
        </w:rPr>
        <w:t>explain</w:t>
      </w:r>
      <w:r w:rsidR="00297EC7">
        <w:rPr>
          <w:szCs w:val="26"/>
        </w:rPr>
        <w:t>, in its compliance filing,</w:t>
      </w:r>
      <w:r w:rsidRPr="00261FAA" w:rsidR="00297EC7">
        <w:rPr>
          <w:szCs w:val="26"/>
        </w:rPr>
        <w:t xml:space="preserve"> why </w:t>
      </w:r>
      <w:r w:rsidR="002C4800">
        <w:rPr>
          <w:szCs w:val="26"/>
        </w:rPr>
        <w:t>its</w:t>
      </w:r>
      <w:r w:rsidRPr="00261FAA" w:rsidR="00297EC7">
        <w:rPr>
          <w:szCs w:val="26"/>
        </w:rPr>
        <w:t xml:space="preserve"> proposed metering </w:t>
      </w:r>
      <w:r w:rsidR="00297EC7">
        <w:t xml:space="preserve">requirements are necessary (e.g., for the distributed energy resource aggregator to provide the settlement and performance data to the RTO/ISO discussed in Section </w:t>
      </w:r>
      <w:r w:rsidR="007F084F">
        <w:t>I</w:t>
      </w:r>
      <w:r w:rsidR="00297EC7">
        <w:t xml:space="preserve">V.F </w:t>
      </w:r>
      <w:r w:rsidR="005A40EB">
        <w:t>or to prevent double counting of services as discussed in Section IV.C.3</w:t>
      </w:r>
      <w:r w:rsidR="00297EC7">
        <w:t xml:space="preserve">) and why </w:t>
      </w:r>
      <w:r w:rsidR="002C4800">
        <w:t>its</w:t>
      </w:r>
      <w:r w:rsidR="00297EC7">
        <w:t xml:space="preserve"> proposed telemetry requirements are necessary (e.g., for the RTO/ISO to have sufficient situational awareness to dispatch the aggregation and the rest of the system efficiently).  This explanation should also include a </w:t>
      </w:r>
      <w:r w:rsidR="004C2014">
        <w:t>discussion about whether</w:t>
      </w:r>
      <w:r w:rsidR="00E462CC">
        <w:t>, for example,</w:t>
      </w:r>
      <w:r w:rsidR="004C2014">
        <w:t xml:space="preserve"> the</w:t>
      </w:r>
      <w:r w:rsidR="00297EC7">
        <w:t xml:space="preserve"> </w:t>
      </w:r>
      <w:r w:rsidR="006C3CC5">
        <w:t>proposed</w:t>
      </w:r>
      <w:r w:rsidR="00297EC7">
        <w:t xml:space="preserve"> requirements </w:t>
      </w:r>
      <w:r w:rsidR="00675296">
        <w:t>are similar to requirements already in existence for other resources and steps contemplated to avoid</w:t>
      </w:r>
      <w:r w:rsidR="00297EC7">
        <w:t xml:space="preserve"> impos</w:t>
      </w:r>
      <w:r w:rsidR="00675296">
        <w:t>ing</w:t>
      </w:r>
      <w:r w:rsidR="00297EC7">
        <w:t xml:space="preserve"> unnecessarily burdensome costs on the distributed energy resource aggregators and individual resources in distributed energy resource aggregations that may create a</w:t>
      </w:r>
      <w:r w:rsidR="000A5FFE">
        <w:t>n undue</w:t>
      </w:r>
      <w:r w:rsidR="00297EC7">
        <w:t xml:space="preserve"> barrier to their participation in RTO/ISO markets. </w:t>
      </w:r>
      <w:r w:rsidR="00374EDE">
        <w:t xml:space="preserve"> </w:t>
      </w:r>
      <w:bookmarkEnd w:id="101"/>
      <w:r w:rsidR="00A71AF5">
        <w:t xml:space="preserve">We find </w:t>
      </w:r>
      <w:r w:rsidR="00955A5B">
        <w:t xml:space="preserve">that </w:t>
      </w:r>
      <w:r w:rsidR="00A71AF5">
        <w:t xml:space="preserve">this approach will provide each RTO/ISO with the flexibility to develop metering and telemetry requirements appropriate for the needs of its systems.  </w:t>
      </w:r>
    </w:p>
    <w:p w:rsidRPr="00261FAA" w:rsidR="00A71AF5" w:rsidP="00A71AF5" w:rsidRDefault="00A71AF5" w14:paraId="5EA94AEE" w14:textId="18F49330">
      <w:pPr>
        <w:pStyle w:val="FERCparanumber"/>
      </w:pPr>
      <w:r>
        <w:t xml:space="preserve">Given the variety of potential </w:t>
      </w:r>
      <w:r w:rsidRPr="00261FAA">
        <w:rPr>
          <w:szCs w:val="26"/>
        </w:rPr>
        <w:t>aggregation business models</w:t>
      </w:r>
      <w:r w:rsidR="0042734C">
        <w:rPr>
          <w:szCs w:val="26"/>
        </w:rPr>
        <w:t>,</w:t>
      </w:r>
      <w:r w:rsidRPr="00261FAA">
        <w:rPr>
          <w:szCs w:val="26"/>
        </w:rPr>
        <w:t xml:space="preserve"> as well as the variety of existing distribution utility requirements </w:t>
      </w:r>
      <w:r w:rsidR="00B25DC3">
        <w:rPr>
          <w:szCs w:val="26"/>
        </w:rPr>
        <w:t>to which</w:t>
      </w:r>
      <w:r w:rsidRPr="00261FAA" w:rsidR="00B25DC3">
        <w:rPr>
          <w:szCs w:val="26"/>
        </w:rPr>
        <w:t xml:space="preserve"> </w:t>
      </w:r>
      <w:r w:rsidRPr="00261FAA">
        <w:rPr>
          <w:szCs w:val="26"/>
        </w:rPr>
        <w:t xml:space="preserve">the </w:t>
      </w:r>
      <w:r>
        <w:rPr>
          <w:szCs w:val="26"/>
        </w:rPr>
        <w:t>distributed energy resource</w:t>
      </w:r>
      <w:r w:rsidRPr="00261FAA">
        <w:rPr>
          <w:szCs w:val="26"/>
        </w:rPr>
        <w:t xml:space="preserve">s participating in </w:t>
      </w:r>
      <w:r w:rsidR="009E7584">
        <w:rPr>
          <w:szCs w:val="26"/>
        </w:rPr>
        <w:t>aggregations</w:t>
      </w:r>
      <w:r w:rsidRPr="00261FAA">
        <w:rPr>
          <w:szCs w:val="26"/>
        </w:rPr>
        <w:t xml:space="preserve"> will be subject, </w:t>
      </w:r>
      <w:r w:rsidR="009E7584">
        <w:rPr>
          <w:szCs w:val="26"/>
        </w:rPr>
        <w:t>we</w:t>
      </w:r>
      <w:bookmarkStart w:name="_Hlk31292153" w:id="102"/>
      <w:r w:rsidR="009E7584">
        <w:rPr>
          <w:szCs w:val="26"/>
        </w:rPr>
        <w:t xml:space="preserve"> </w:t>
      </w:r>
      <w:r w:rsidR="000E5FD3">
        <w:rPr>
          <w:szCs w:val="26"/>
        </w:rPr>
        <w:t xml:space="preserve">find </w:t>
      </w:r>
      <w:r w:rsidR="009E7584">
        <w:rPr>
          <w:szCs w:val="26"/>
        </w:rPr>
        <w:t xml:space="preserve">that imposing </w:t>
      </w:r>
      <w:r w:rsidRPr="00261FAA">
        <w:rPr>
          <w:szCs w:val="26"/>
        </w:rPr>
        <w:t xml:space="preserve">standard requirements </w:t>
      </w:r>
      <w:r w:rsidR="007A0624">
        <w:rPr>
          <w:szCs w:val="26"/>
        </w:rPr>
        <w:t>is unwarranted</w:t>
      </w:r>
      <w:r w:rsidRPr="00261FAA">
        <w:rPr>
          <w:szCs w:val="26"/>
        </w:rPr>
        <w:t xml:space="preserve">.  Standard metering and telemetry requirements </w:t>
      </w:r>
      <w:r w:rsidR="001313ED">
        <w:rPr>
          <w:szCs w:val="26"/>
        </w:rPr>
        <w:t>c</w:t>
      </w:r>
      <w:r w:rsidRPr="00261FAA">
        <w:rPr>
          <w:szCs w:val="26"/>
        </w:rPr>
        <w:t xml:space="preserve">ould run the risk of imposing unnecessary costs on </w:t>
      </w:r>
      <w:r w:rsidR="004051E7">
        <w:rPr>
          <w:szCs w:val="26"/>
        </w:rPr>
        <w:t xml:space="preserve">RTOs/ISOs, </w:t>
      </w:r>
      <w:r>
        <w:rPr>
          <w:szCs w:val="26"/>
        </w:rPr>
        <w:t>distributed energy resource</w:t>
      </w:r>
      <w:r w:rsidRPr="00261FAA">
        <w:rPr>
          <w:szCs w:val="26"/>
        </w:rPr>
        <w:t xml:space="preserve"> aggregators</w:t>
      </w:r>
      <w:r w:rsidR="00961A41">
        <w:rPr>
          <w:szCs w:val="26"/>
        </w:rPr>
        <w:t>,</w:t>
      </w:r>
      <w:r w:rsidRPr="00261FAA">
        <w:rPr>
          <w:szCs w:val="26"/>
        </w:rPr>
        <w:t xml:space="preserve"> and the individual </w:t>
      </w:r>
      <w:r>
        <w:rPr>
          <w:szCs w:val="26"/>
        </w:rPr>
        <w:t>distributed energy resource</w:t>
      </w:r>
      <w:r w:rsidRPr="00261FAA">
        <w:rPr>
          <w:szCs w:val="26"/>
        </w:rPr>
        <w:t>s</w:t>
      </w:r>
      <w:r w:rsidR="004051E7">
        <w:rPr>
          <w:szCs w:val="26"/>
        </w:rPr>
        <w:t>.  For example</w:t>
      </w:r>
      <w:r w:rsidR="00A2530D">
        <w:rPr>
          <w:szCs w:val="26"/>
        </w:rPr>
        <w:t xml:space="preserve">, </w:t>
      </w:r>
      <w:r w:rsidR="00A96696">
        <w:rPr>
          <w:szCs w:val="26"/>
        </w:rPr>
        <w:t>imposing standard requirements could impede RTOs/ISOs from adequately incorporating metering and telemetry requirements already imposed on distributed energy resources by</w:t>
      </w:r>
      <w:r w:rsidDel="00A96696" w:rsidR="004051E7">
        <w:rPr>
          <w:szCs w:val="26"/>
        </w:rPr>
        <w:t xml:space="preserve"> </w:t>
      </w:r>
      <w:r w:rsidRPr="004805D1" w:rsidR="00A96696">
        <w:t>local regulatory authorities</w:t>
      </w:r>
      <w:r w:rsidR="00C5225D">
        <w:t xml:space="preserve"> and </w:t>
      </w:r>
      <w:r w:rsidR="001D11B2">
        <w:t xml:space="preserve">thereby </w:t>
      </w:r>
      <w:r w:rsidR="00C5225D">
        <w:t>create a barrier to the participation of distributed energy resources in RTO/ISO markets</w:t>
      </w:r>
      <w:r w:rsidR="00A96696">
        <w:t>.</w:t>
      </w:r>
      <w:r w:rsidRPr="00261FAA">
        <w:rPr>
          <w:szCs w:val="26"/>
        </w:rPr>
        <w:t xml:space="preserve">  We find that adopting the NOPR proposal minimizes these risks and the costs associated with implementing these requirements because it allows RTOs/ISOs to propose metering and telemetry requirements in addition to those already in place only when they determine that such additional requirements are needed.  </w:t>
      </w:r>
    </w:p>
    <w:bookmarkEnd w:id="102"/>
    <w:p w:rsidR="00D028B5" w:rsidP="00A71AF5" w:rsidRDefault="00A71AF5" w14:paraId="1391A3C9" w14:textId="06114F0B">
      <w:pPr>
        <w:pStyle w:val="FERCparanumber"/>
      </w:pPr>
      <w:r>
        <w:t>As clarified in</w:t>
      </w:r>
      <w:r w:rsidR="00095834">
        <w:t xml:space="preserve"> Section </w:t>
      </w:r>
      <w:r w:rsidR="007F084F">
        <w:t>I</w:t>
      </w:r>
      <w:r w:rsidR="00095834">
        <w:t>V.F</w:t>
      </w:r>
      <w:r>
        <w:t xml:space="preserve">, </w:t>
      </w:r>
      <w:r w:rsidRPr="00FB46EA">
        <w:t xml:space="preserve">the </w:t>
      </w:r>
      <w:r>
        <w:t>distributed energy resource</w:t>
      </w:r>
      <w:r w:rsidRPr="00FB46EA">
        <w:t xml:space="preserve"> </w:t>
      </w:r>
      <w:r>
        <w:t>aggregator, not the individual distributed energy resource</w:t>
      </w:r>
      <w:r w:rsidRPr="00FB46EA">
        <w:t>s in the aggregation, is the single point of contact with the RTO/ISO</w:t>
      </w:r>
      <w:r>
        <w:rPr>
          <w:szCs w:val="26"/>
        </w:rPr>
        <w:t xml:space="preserve">, </w:t>
      </w:r>
      <w:r w:rsidRPr="00FB46EA">
        <w:rPr>
          <w:szCs w:val="26"/>
        </w:rPr>
        <w:t>responsible for managing, dispatching, metering</w:t>
      </w:r>
      <w:r w:rsidR="00D028B5">
        <w:rPr>
          <w:szCs w:val="26"/>
        </w:rPr>
        <w:t>,</w:t>
      </w:r>
      <w:r w:rsidRPr="00FB46EA">
        <w:rPr>
          <w:szCs w:val="26"/>
        </w:rPr>
        <w:t xml:space="preserve"> and settling the individual </w:t>
      </w:r>
      <w:r>
        <w:rPr>
          <w:szCs w:val="26"/>
        </w:rPr>
        <w:t>distributed energy resource</w:t>
      </w:r>
      <w:r w:rsidRPr="00FB46EA">
        <w:rPr>
          <w:szCs w:val="26"/>
        </w:rPr>
        <w:t>s in its aggregation</w:t>
      </w:r>
      <w:r>
        <w:t xml:space="preserve">.  We further clarify here that the distributed energy resource aggregator is </w:t>
      </w:r>
      <w:r w:rsidR="00D028B5">
        <w:t xml:space="preserve">also the entity </w:t>
      </w:r>
      <w:r>
        <w:t xml:space="preserve">responsible for providing any required </w:t>
      </w:r>
      <w:r w:rsidR="00B207DA">
        <w:t xml:space="preserve">metering and </w:t>
      </w:r>
      <w:r>
        <w:t xml:space="preserve">telemetry information to the RTO/ISO.  </w:t>
      </w:r>
    </w:p>
    <w:p w:rsidR="00A71AF5" w:rsidP="00A71AF5" w:rsidRDefault="00D028B5" w14:paraId="1FAC66FA" w14:textId="2937CEFF">
      <w:pPr>
        <w:pStyle w:val="FERCparanumber"/>
      </w:pPr>
      <w:r>
        <w:t>W</w:t>
      </w:r>
      <w:r w:rsidR="00A71AF5">
        <w:t xml:space="preserve">e decline the requests of some commenters to explicitly limit metering and/or telemetry requirements to the distributed energy resource aggregation level, </w:t>
      </w:r>
      <w:r w:rsidR="00D97798">
        <w:t>or</w:t>
      </w:r>
      <w:r w:rsidR="00A71AF5">
        <w:t xml:space="preserve"> to require telemetry o</w:t>
      </w:r>
      <w:r w:rsidR="00D97798">
        <w:t>f</w:t>
      </w:r>
      <w:r w:rsidR="00A71AF5">
        <w:t xml:space="preserve"> individual distributed energy resources participating in an aggregation.  Rather, consistent with the</w:t>
      </w:r>
      <w:r w:rsidR="00AC055E">
        <w:t xml:space="preserve"> flexibility provided in</w:t>
      </w:r>
      <w:r w:rsidR="00A71AF5">
        <w:t xml:space="preserve"> </w:t>
      </w:r>
      <w:r w:rsidR="00095834">
        <w:t xml:space="preserve">Section </w:t>
      </w:r>
      <w:r w:rsidR="007F084F">
        <w:t>I</w:t>
      </w:r>
      <w:r w:rsidR="00095834">
        <w:t>V.F</w:t>
      </w:r>
      <w:r w:rsidR="00A71AF5">
        <w:t xml:space="preserve">, </w:t>
      </w:r>
      <w:r w:rsidRPr="009F03DA" w:rsidR="009F03DA">
        <w:t>we will not require uniform metering requirements across all RTOs/ISOs, nor will we require each RTO/ISO</w:t>
      </w:r>
      <w:r w:rsidR="00EA2E70">
        <w:t xml:space="preserve"> to </w:t>
      </w:r>
      <w:r w:rsidR="00AC055E">
        <w:t>impose uniform metering requirements on individual distributed energy resources</w:t>
      </w:r>
      <w:r w:rsidR="00C77AF4">
        <w:t>.  R</w:t>
      </w:r>
      <w:r w:rsidR="00AC055E">
        <w:t>ather</w:t>
      </w:r>
      <w:r w:rsidR="00C77AF4">
        <w:t>,</w:t>
      </w:r>
      <w:r w:rsidR="00AC055E">
        <w:t xml:space="preserve"> we </w:t>
      </w:r>
      <w:r w:rsidR="00A71AF5">
        <w:t xml:space="preserve">provide flexibility to </w:t>
      </w:r>
      <w:r w:rsidRPr="00FB46EA" w:rsidR="00A71AF5">
        <w:t>RTO</w:t>
      </w:r>
      <w:r w:rsidR="00A71AF5">
        <w:t>s</w:t>
      </w:r>
      <w:r w:rsidRPr="00FB46EA" w:rsidR="00A71AF5">
        <w:t>/ISO</w:t>
      </w:r>
      <w:r w:rsidR="00A71AF5">
        <w:t>s</w:t>
      </w:r>
      <w:r w:rsidRPr="00FB46EA" w:rsidR="00A71AF5">
        <w:t xml:space="preserve"> </w:t>
      </w:r>
      <w:r w:rsidR="00A71AF5">
        <w:t>to</w:t>
      </w:r>
      <w:r w:rsidRPr="00FB46EA" w:rsidR="00A71AF5">
        <w:t xml:space="preserve"> </w:t>
      </w:r>
      <w:r w:rsidR="009E7584">
        <w:t>propose</w:t>
      </w:r>
      <w:r w:rsidR="00A71AF5">
        <w:t xml:space="preserve"> specific metering requirements</w:t>
      </w:r>
      <w:r w:rsidR="00C77AF4">
        <w:t>, including any that may apply to</w:t>
      </w:r>
      <w:r w:rsidR="00A71AF5">
        <w:t xml:space="preserve"> </w:t>
      </w:r>
      <w:r w:rsidRPr="00FB46EA" w:rsidR="00A71AF5">
        <w:t xml:space="preserve">individual </w:t>
      </w:r>
      <w:r w:rsidR="00A71AF5">
        <w:t>distributed energy resource</w:t>
      </w:r>
      <w:r w:rsidRPr="00FB46EA" w:rsidR="00A71AF5">
        <w:t xml:space="preserve">s </w:t>
      </w:r>
      <w:r w:rsidR="00C77AF4">
        <w:t xml:space="preserve">that the RTO/ISO demonstrates are </w:t>
      </w:r>
      <w:r w:rsidR="00A71AF5">
        <w:t>needed to obtain any required performance data for auditing purposes and to address double compensation concerns</w:t>
      </w:r>
      <w:r w:rsidRPr="00FB46EA" w:rsidR="00A71AF5">
        <w:t>.</w:t>
      </w:r>
      <w:r w:rsidR="00A71AF5">
        <w:t xml:space="preserve">  Similarly, we provide flexibility to the RTO/ISO </w:t>
      </w:r>
      <w:r w:rsidR="009E7584">
        <w:t xml:space="preserve">as </w:t>
      </w:r>
      <w:r w:rsidR="00A71AF5">
        <w:t xml:space="preserve">to </w:t>
      </w:r>
      <w:r w:rsidR="009E7584">
        <w:t>whether to propose</w:t>
      </w:r>
      <w:r w:rsidR="00A71AF5">
        <w:t xml:space="preserve"> specific telemetry requirements </w:t>
      </w:r>
      <w:r w:rsidR="009E7584">
        <w:t>for</w:t>
      </w:r>
      <w:r w:rsidR="00A71AF5">
        <w:t xml:space="preserve"> individual distributed energy resources in an aggregation.  The </w:t>
      </w:r>
      <w:r w:rsidR="00D97798">
        <w:t>need for</w:t>
      </w:r>
      <w:r w:rsidR="00A71AF5">
        <w:t xml:space="preserve"> such requirements may depend, for example, on whether the RTO/ISO allows multi-node aggregations or how multi-node aggregations are implemented.</w:t>
      </w:r>
      <w:r w:rsidR="009F19DF">
        <w:t xml:space="preserve">  </w:t>
      </w:r>
      <w:r w:rsidR="00473B49">
        <w:t>B</w:t>
      </w:r>
      <w:r w:rsidR="009F19DF">
        <w:t xml:space="preserve">y </w:t>
      </w:r>
      <w:r w:rsidR="00473B49">
        <w:t>providing</w:t>
      </w:r>
      <w:r w:rsidR="009F19DF">
        <w:t xml:space="preserve"> flexibility</w:t>
      </w:r>
      <w:r w:rsidR="00473B49">
        <w:t xml:space="preserve"> while also requiring that the RTO/ISO explain why any proposed metering and telemetry requirements are necessary</w:t>
      </w:r>
      <w:r w:rsidR="009F19DF">
        <w:t xml:space="preserve">, we </w:t>
      </w:r>
      <w:r w:rsidR="008065C3">
        <w:t>allow</w:t>
      </w:r>
      <w:r w:rsidR="00AF5F53">
        <w:t xml:space="preserve"> the RTO/ISO </w:t>
      </w:r>
      <w:r w:rsidR="008065C3">
        <w:t>to obtain the</w:t>
      </w:r>
      <w:r w:rsidR="00AF5F53">
        <w:t xml:space="preserve"> </w:t>
      </w:r>
      <w:r w:rsidR="00B217AD">
        <w:t xml:space="preserve">metering and telemetry information </w:t>
      </w:r>
      <w:r w:rsidR="008065C3">
        <w:t>it needs without burdening</w:t>
      </w:r>
      <w:r w:rsidR="00B217AD">
        <w:t xml:space="preserve"> the </w:t>
      </w:r>
      <w:r w:rsidR="00ED3882">
        <w:t xml:space="preserve">distributed energy resource aggregator to provide data that </w:t>
      </w:r>
      <w:r w:rsidR="00CE18E4">
        <w:t xml:space="preserve">may </w:t>
      </w:r>
      <w:r w:rsidR="00ED3882">
        <w:t xml:space="preserve">not </w:t>
      </w:r>
      <w:r w:rsidR="00CE18E4">
        <w:t>be</w:t>
      </w:r>
      <w:r w:rsidR="00ED3882">
        <w:t xml:space="preserve"> necessary. </w:t>
      </w:r>
      <w:r w:rsidR="00B217AD">
        <w:t xml:space="preserve"> </w:t>
      </w:r>
    </w:p>
    <w:p w:rsidR="00A71AF5" w:rsidP="00A71AF5" w:rsidRDefault="00A71AF5" w14:paraId="33F7487B" w14:textId="679B1096">
      <w:pPr>
        <w:pStyle w:val="FERCparanumber"/>
      </w:pPr>
      <w:r>
        <w:t xml:space="preserve">We also clarify that, consistent with this flexible approach, we are not requiring RTOs/ISOs to establish metering and telemetry </w:t>
      </w:r>
      <w:r w:rsidR="008F552A">
        <w:t>hardware and software</w:t>
      </w:r>
      <w:r>
        <w:t xml:space="preserve"> requirements for distributed energy resource aggregations that are identical to those placed on existing resources, or </w:t>
      </w:r>
      <w:r w:rsidR="009E7584">
        <w:t xml:space="preserve">to </w:t>
      </w:r>
      <w:r>
        <w:t xml:space="preserve">establish different or additional metering and telemetry requirements for distributed energy resource aggregations.  Rather, we expect that RTOs/ISOs will base any proposed metering and telemetry </w:t>
      </w:r>
      <w:r w:rsidR="008F552A">
        <w:t xml:space="preserve">hardware and software </w:t>
      </w:r>
      <w:r>
        <w:t xml:space="preserve">requirements for distributed energy resource aggregations on the information needed by the RTO/ISO while avoiding unnecessary requirements that may act as a barrier to individual distributed energy resources joining distributed energy resource aggregations or to distributed energy resource aggregations participating in the wholesale markets.  </w:t>
      </w:r>
      <w:r w:rsidR="008F552A">
        <w:t xml:space="preserve">However, as explained in </w:t>
      </w:r>
      <w:r w:rsidR="00095834">
        <w:t xml:space="preserve">Section </w:t>
      </w:r>
      <w:r w:rsidR="007F084F">
        <w:t>I</w:t>
      </w:r>
      <w:r w:rsidR="00095834">
        <w:t>V.F</w:t>
      </w:r>
      <w:r w:rsidRPr="00590E32" w:rsidR="008F552A">
        <w:t xml:space="preserve">, </w:t>
      </w:r>
      <w:r w:rsidR="009A32B9">
        <w:t>we</w:t>
      </w:r>
      <w:r w:rsidRPr="00590E32" w:rsidR="008F552A">
        <w:t xml:space="preserve"> requir</w:t>
      </w:r>
      <w:r w:rsidR="00D97798">
        <w:t>e</w:t>
      </w:r>
      <w:r w:rsidRPr="00590E32" w:rsidR="008F552A">
        <w:t xml:space="preserve"> </w:t>
      </w:r>
      <w:r w:rsidR="009E7584">
        <w:t xml:space="preserve">that </w:t>
      </w:r>
      <w:r w:rsidRPr="00590E32" w:rsidR="008F552A">
        <w:t xml:space="preserve">metering </w:t>
      </w:r>
      <w:r w:rsidRPr="008F552A" w:rsidR="008F552A">
        <w:t>data</w:t>
      </w:r>
      <w:r w:rsidR="008F552A">
        <w:t xml:space="preserve"> for settlement purposes</w:t>
      </w:r>
      <w:r w:rsidRPr="00590E32" w:rsidR="008F552A">
        <w:t xml:space="preserve"> at the </w:t>
      </w:r>
      <w:r w:rsidR="008F552A">
        <w:t>distributed</w:t>
      </w:r>
      <w:r w:rsidR="00CE4F1A">
        <w:t xml:space="preserve"> energy</w:t>
      </w:r>
      <w:r w:rsidR="008F552A">
        <w:t xml:space="preserve"> resource a</w:t>
      </w:r>
      <w:r w:rsidRPr="00590E32" w:rsidR="008F552A">
        <w:t>gg</w:t>
      </w:r>
      <w:r w:rsidR="008F552A">
        <w:t>regation</w:t>
      </w:r>
      <w:r w:rsidRPr="00590E32" w:rsidR="008F552A">
        <w:t xml:space="preserve"> level be consistent with </w:t>
      </w:r>
      <w:r w:rsidR="008F552A">
        <w:t xml:space="preserve">settlement </w:t>
      </w:r>
      <w:r w:rsidRPr="00590E32" w:rsidR="008F552A">
        <w:t>data</w:t>
      </w:r>
      <w:r>
        <w:t xml:space="preserve"> requirements </w:t>
      </w:r>
      <w:r w:rsidRPr="00590E32" w:rsidR="008F552A">
        <w:t>for other resource types.</w:t>
      </w:r>
      <w:r w:rsidR="008F552A">
        <w:t xml:space="preserve">  </w:t>
      </w:r>
      <w:r>
        <w:t>We recognize that</w:t>
      </w:r>
      <w:r w:rsidDel="008F552A">
        <w:t xml:space="preserve"> </w:t>
      </w:r>
      <w:r w:rsidR="008F552A">
        <w:t xml:space="preserve">metering and telemetry </w:t>
      </w:r>
      <w:r>
        <w:t xml:space="preserve">requirements may vary depending on the types of distributed energy resources participating in an aggregation, the size of the individual distributed energy resources or aggregated resource, or the particular service provided.  For example, more granular or precise telemetry may be necessary for a distributed energy resource aggregation that is participating in the frequency regulation market than one that is exclusively providing energy or capacity.  To ensure that the flexible approach outlined here </w:t>
      </w:r>
      <w:r w:rsidR="00D66F65">
        <w:t xml:space="preserve">provides the RTO/ISO with sufficient information </w:t>
      </w:r>
      <w:r w:rsidR="00E85D10">
        <w:t xml:space="preserve">to administer the wholesale markets and ensure reliability of the transmission system </w:t>
      </w:r>
      <w:r w:rsidR="00194191">
        <w:t xml:space="preserve">while </w:t>
      </w:r>
      <w:r>
        <w:t>not unduly burden</w:t>
      </w:r>
      <w:r w:rsidR="00194191">
        <w:t>ing</w:t>
      </w:r>
      <w:r>
        <w:t xml:space="preserve"> distributed energy resources and distributed energy resource aggregations, we require that </w:t>
      </w:r>
      <w:r w:rsidR="00595AC9">
        <w:t xml:space="preserve">each </w:t>
      </w:r>
      <w:r>
        <w:t xml:space="preserve">RTO/ISO explain in </w:t>
      </w:r>
      <w:r w:rsidR="00595AC9">
        <w:t>its</w:t>
      </w:r>
      <w:r>
        <w:t xml:space="preserve"> compliance </w:t>
      </w:r>
      <w:r w:rsidR="009A32B9">
        <w:t>filing</w:t>
      </w:r>
      <w:r>
        <w:t xml:space="preserve"> why </w:t>
      </w:r>
      <w:r w:rsidR="00595AC9">
        <w:t xml:space="preserve">its </w:t>
      </w:r>
      <w:r>
        <w:t xml:space="preserve">proposed metering and telemetry requirements for distributed energy resource aggregations </w:t>
      </w:r>
      <w:r w:rsidR="004F75B5">
        <w:t xml:space="preserve">are </w:t>
      </w:r>
      <w:r>
        <w:t>just and reasonable and do not pose an unnecessary and undue barrier to individual distributed energy resources joining a distributed energy resource aggregation.</w:t>
      </w:r>
    </w:p>
    <w:p w:rsidRPr="00B37890" w:rsidR="00A71AF5" w:rsidP="00A71AF5" w:rsidRDefault="00A71AF5" w14:paraId="30A47159" w14:textId="4FA2DC9E">
      <w:pPr>
        <w:pStyle w:val="FERCparanumber"/>
      </w:pPr>
      <w:r>
        <w:t xml:space="preserve">We also adopt the </w:t>
      </w:r>
      <w:r w:rsidR="00265317">
        <w:t xml:space="preserve">NOPR </w:t>
      </w:r>
      <w:r>
        <w:t>proposal that each RTO</w:t>
      </w:r>
      <w:r w:rsidR="00265317">
        <w:t>’s</w:t>
      </w:r>
      <w:r>
        <w:t>/ISO</w:t>
      </w:r>
      <w:r w:rsidR="00265317">
        <w:t>’s</w:t>
      </w:r>
      <w:r>
        <w:t xml:space="preserve"> </w:t>
      </w:r>
      <w:r w:rsidR="00265317">
        <w:t>proposed metering requirements</w:t>
      </w:r>
      <w:r>
        <w:t xml:space="preserve"> </w:t>
      </w:r>
      <w:r>
        <w:rPr>
          <w:szCs w:val="26"/>
        </w:rPr>
        <w:t xml:space="preserve">should rely on meter data obtained through compliance with distribution utility or local regulatory authority metering system requirements whenever possible for settlement and auditing purposes.  We further clarify that this requirement also applies to existing telemetry infrastructure.  By using existing infrastructure whenever possible, RTOs/ISOs should </w:t>
      </w:r>
      <w:r w:rsidR="0088251A">
        <w:rPr>
          <w:szCs w:val="26"/>
        </w:rPr>
        <w:t xml:space="preserve">be able to obtain the data they need </w:t>
      </w:r>
      <w:r w:rsidR="000218F2">
        <w:rPr>
          <w:szCs w:val="26"/>
        </w:rPr>
        <w:t xml:space="preserve">and </w:t>
      </w:r>
      <w:r>
        <w:rPr>
          <w:szCs w:val="26"/>
        </w:rPr>
        <w:t xml:space="preserve">avoid proposing new metering and telemetry requirements that </w:t>
      </w:r>
      <w:r w:rsidR="009E7584">
        <w:rPr>
          <w:szCs w:val="26"/>
        </w:rPr>
        <w:t xml:space="preserve">would be duplicative and </w:t>
      </w:r>
      <w:r>
        <w:rPr>
          <w:szCs w:val="26"/>
        </w:rPr>
        <w:t>could</w:t>
      </w:r>
      <w:r w:rsidRPr="00331F89">
        <w:rPr>
          <w:szCs w:val="26"/>
        </w:rPr>
        <w:t xml:space="preserve"> erect unnecessary barriers to entry</w:t>
      </w:r>
      <w:r>
        <w:rPr>
          <w:szCs w:val="26"/>
        </w:rPr>
        <w:t xml:space="preserve"> for distributed energy resource aggregators and individual distributed energy resources participating in an aggregation.  With respect to jurisdictional concerns raised by some commenters, we note</w:t>
      </w:r>
      <w:r>
        <w:t xml:space="preserve"> that any additional RTO/ISO metering and telemetry requirements would not change those required by </w:t>
      </w:r>
      <w:r w:rsidR="009E7584">
        <w:t xml:space="preserve">state or </w:t>
      </w:r>
      <w:r>
        <w:t xml:space="preserve">local regulatory authorities and would be required solely to assist with settlements and audits of activity in </w:t>
      </w:r>
      <w:r w:rsidR="009E7584">
        <w:t>RTO/ISO</w:t>
      </w:r>
      <w:r>
        <w:t xml:space="preserve"> markets, or to provide RTOs/ISOs with the real-time information needed to reliably and efficiently dispatch their systems.</w:t>
      </w:r>
    </w:p>
    <w:p w:rsidRPr="00241A1C" w:rsidR="00ED6F47" w:rsidP="00241A1C" w:rsidRDefault="00A71AF5" w14:paraId="104DFD02" w14:textId="3F372EC9">
      <w:pPr>
        <w:pStyle w:val="FERCparanumber"/>
        <w:rPr>
          <w:szCs w:val="26"/>
        </w:rPr>
      </w:pPr>
      <w:bookmarkStart w:name="_Hlk34735157" w:id="103"/>
      <w:r>
        <w:t xml:space="preserve">In response to concerns about </w:t>
      </w:r>
      <w:r w:rsidR="0018374D">
        <w:t xml:space="preserve">the </w:t>
      </w:r>
      <w:r>
        <w:t>potential costs and burdens</w:t>
      </w:r>
      <w:r w:rsidR="0018374D">
        <w:t xml:space="preserve"> that could be</w:t>
      </w:r>
      <w:r>
        <w:t xml:space="preserve"> imposed on distribution</w:t>
      </w:r>
      <w:r w:rsidDel="009E7584">
        <w:t xml:space="preserve"> </w:t>
      </w:r>
      <w:r>
        <w:t xml:space="preserve">utilities </w:t>
      </w:r>
      <w:r w:rsidR="0096477F">
        <w:t xml:space="preserve">as a result of </w:t>
      </w:r>
      <w:r>
        <w:t xml:space="preserve">the requirement that RTOs/ISOs </w:t>
      </w:r>
      <w:r>
        <w:rPr>
          <w:szCs w:val="26"/>
        </w:rPr>
        <w:t xml:space="preserve">rely on metering and telemetry data obtained through compliance with distribution utility or local regulatory authority metering system requirements whenever possible, we expect that in general, this information will be provided by individual distributed energy resources to distributed energy resource aggregators, and from </w:t>
      </w:r>
      <w:r w:rsidR="0096477F">
        <w:rPr>
          <w:szCs w:val="26"/>
        </w:rPr>
        <w:t xml:space="preserve">distributed energy resource </w:t>
      </w:r>
      <w:r>
        <w:rPr>
          <w:szCs w:val="26"/>
        </w:rPr>
        <w:t xml:space="preserve">aggregators to RTOs/ISOs.  However, to the extent that </w:t>
      </w:r>
      <w:r w:rsidR="005D43F1">
        <w:rPr>
          <w:szCs w:val="26"/>
        </w:rPr>
        <w:t xml:space="preserve">the RTO/ISO proposes that such </w:t>
      </w:r>
      <w:r>
        <w:rPr>
          <w:szCs w:val="26"/>
        </w:rPr>
        <w:t xml:space="preserve">information come from or flow through distribution utilities, we </w:t>
      </w:r>
      <w:r w:rsidR="0096477F">
        <w:rPr>
          <w:szCs w:val="26"/>
        </w:rPr>
        <w:t xml:space="preserve">require </w:t>
      </w:r>
      <w:r>
        <w:rPr>
          <w:szCs w:val="26"/>
        </w:rPr>
        <w:t xml:space="preserve">that RTOs/ISOs coordinate with distribution utilities and </w:t>
      </w:r>
      <w:r w:rsidR="00C265F4">
        <w:rPr>
          <w:szCs w:val="26"/>
        </w:rPr>
        <w:t>relevant electric retail</w:t>
      </w:r>
      <w:r>
        <w:rPr>
          <w:szCs w:val="26"/>
        </w:rPr>
        <w:t xml:space="preserve"> regulatory authorities </w:t>
      </w:r>
      <w:r w:rsidR="0096477F">
        <w:rPr>
          <w:szCs w:val="26"/>
        </w:rPr>
        <w:t xml:space="preserve">to </w:t>
      </w:r>
      <w:r>
        <w:rPr>
          <w:szCs w:val="26"/>
        </w:rPr>
        <w:t xml:space="preserve">establish protocols for sharing </w:t>
      </w:r>
      <w:r w:rsidR="00D768F1">
        <w:rPr>
          <w:szCs w:val="26"/>
        </w:rPr>
        <w:t>metering and telemetry data</w:t>
      </w:r>
      <w:r w:rsidR="005D43F1">
        <w:rPr>
          <w:szCs w:val="26"/>
        </w:rPr>
        <w:t>, and that such protocols</w:t>
      </w:r>
      <w:r>
        <w:rPr>
          <w:szCs w:val="26"/>
        </w:rPr>
        <w:t xml:space="preserve"> minimize costs and other burdens and address concerns raised with respect to privacy and cybersecurity.  </w:t>
      </w:r>
      <w:bookmarkEnd w:id="103"/>
    </w:p>
    <w:p w:rsidRPr="002E4313" w:rsidR="002E4313" w:rsidP="002E4313" w:rsidRDefault="002E4313" w14:paraId="72F80EB3" w14:textId="10813E8A">
      <w:pPr>
        <w:pStyle w:val="FERCparanumber"/>
      </w:pPr>
      <w:r w:rsidRPr="00976A78">
        <w:t>In response to IRC’s request for flexibility to define metering and telemetry requirements outside the RTO/ISO tariffs</w:t>
      </w:r>
      <w:r>
        <w:t>, we find that t</w:t>
      </w:r>
      <w:r w:rsidRPr="00C11E29">
        <w:t xml:space="preserve">he RTO/ISO tariffs should include a basic description of the metering and telemetry practices for distributed energy resource aggregations as well as references to specific documents </w:t>
      </w:r>
      <w:r>
        <w:t xml:space="preserve">that will </w:t>
      </w:r>
      <w:r w:rsidRPr="00C11E29">
        <w:t xml:space="preserve">contain further </w:t>
      </w:r>
      <w:r>
        <w:t xml:space="preserve">technical </w:t>
      </w:r>
      <w:r w:rsidRPr="00C11E29">
        <w:t>details.</w:t>
      </w:r>
      <w:r>
        <w:t xml:space="preserve">  </w:t>
      </w:r>
      <w:r w:rsidRPr="00C11E29">
        <w:t>Decisions as to whether an item should be placed in a tariff or in a business practice manual are guided by the Commission’s rule of reason policy,</w:t>
      </w:r>
      <w:r>
        <w:rPr>
          <w:rStyle w:val="FootnoteReference"/>
        </w:rPr>
        <w:footnoteReference w:id="657"/>
      </w:r>
      <w:r w:rsidRPr="00C11E29">
        <w:t xml:space="preserve"> under which provisions that “significantly affect rates, terms, and conditions” of service, are readily susceptible of specification, and are not generally understood in a contractual agreement must be included in the tariff, while items better classified as implementation details may be included only in the business practice manual.  We find that metering and telemetry requirements significantly affect the terms and conditions of the participation of distributed energy resource aggregations in RTO/ISO markets and, therefore, must be included in the RTO/ISO tariffs.</w:t>
      </w:r>
    </w:p>
    <w:p w:rsidR="00ED6F47" w:rsidP="00576C32" w:rsidRDefault="00ED6F47" w14:paraId="04337AA4" w14:textId="407258E2">
      <w:pPr>
        <w:pStyle w:val="Heading2"/>
        <w:spacing w:line="240" w:lineRule="auto"/>
      </w:pPr>
      <w:bookmarkStart w:name="_bmk62" w:id="104"/>
      <w:r>
        <w:t>C</w:t>
      </w:r>
      <w:bookmarkEnd w:id="104"/>
      <w:r>
        <w:t>oordination</w:t>
      </w:r>
      <w:r w:rsidR="002E614A">
        <w:t xml:space="preserve"> </w:t>
      </w:r>
      <w:r w:rsidR="00095834">
        <w:t>between</w:t>
      </w:r>
      <w:r w:rsidR="006D58F1">
        <w:t xml:space="preserve"> </w:t>
      </w:r>
      <w:r w:rsidR="002E614A">
        <w:t>the RTO/ISO, Aggregator, and Distribution Utility</w:t>
      </w:r>
    </w:p>
    <w:p w:rsidRPr="00EA17B7" w:rsidR="00EA17B7" w:rsidP="00576C32" w:rsidRDefault="00EA17B7" w14:paraId="4CF47777" w14:textId="77777777">
      <w:pPr>
        <w:pStyle w:val="FERCparanumber"/>
        <w:keepNext/>
        <w:numPr>
          <w:ilvl w:val="0"/>
          <w:numId w:val="0"/>
        </w:numPr>
        <w:spacing w:line="240" w:lineRule="auto"/>
      </w:pPr>
    </w:p>
    <w:p w:rsidR="006D58F1" w:rsidP="0033520B" w:rsidRDefault="006D58F1" w14:paraId="57AF4A47" w14:textId="0125BEFC">
      <w:pPr>
        <w:pStyle w:val="Heading3"/>
      </w:pPr>
      <w:bookmarkStart w:name="_bmk63" w:id="105"/>
      <w:r>
        <w:t>M</w:t>
      </w:r>
      <w:bookmarkEnd w:id="105"/>
      <w:r>
        <w:t>arket Rules on Coordination</w:t>
      </w:r>
    </w:p>
    <w:p w:rsidR="00ED6F47" w:rsidP="0033520B" w:rsidRDefault="00ED6F47" w14:paraId="0CE9A834" w14:textId="4720FDA4">
      <w:pPr>
        <w:pStyle w:val="Heading4"/>
      </w:pPr>
      <w:bookmarkStart w:name="_bmk64" w:id="106"/>
      <w:r>
        <w:t>N</w:t>
      </w:r>
      <w:bookmarkEnd w:id="106"/>
      <w:r>
        <w:t>OPR Proposal</w:t>
      </w:r>
    </w:p>
    <w:p w:rsidR="00097C8C" w:rsidP="00C74CC8" w:rsidRDefault="002E614A" w14:paraId="0AA3386B" w14:textId="78DBCF3A">
      <w:pPr>
        <w:pStyle w:val="FERCparanumber"/>
      </w:pPr>
      <w:r>
        <w:t>In the NOPR, the Commission</w:t>
      </w:r>
      <w:r w:rsidRPr="00B3116B">
        <w:t xml:space="preserve"> </w:t>
      </w:r>
      <w:r w:rsidR="002206F8">
        <w:t>noted</w:t>
      </w:r>
      <w:r w:rsidR="00FA5179">
        <w:t xml:space="preserve"> that t</w:t>
      </w:r>
      <w:r w:rsidRPr="00FA5179" w:rsidR="00FA5179">
        <w:t xml:space="preserve">he market rules that each RTO/ISO adopts to facilitate the participation of distributed energy resource aggregations must address coordination between the RTO/ISO, the distributed energy resource aggregator, and the distribution utility to ensure that the participation of these resources in </w:t>
      </w:r>
      <w:r w:rsidR="00FA5179">
        <w:t>RTO/ISO</w:t>
      </w:r>
      <w:r w:rsidRPr="00FA5179" w:rsidR="00FA5179">
        <w:t xml:space="preserve"> markets does not present reliability or safety concerns for the distribution or transmission system.</w:t>
      </w:r>
      <w:r w:rsidR="00FA5179">
        <w:rPr>
          <w:rStyle w:val="FootnoteReference"/>
        </w:rPr>
        <w:footnoteReference w:id="658"/>
      </w:r>
      <w:r w:rsidRPr="00FA5179" w:rsidR="00FA5179">
        <w:t xml:space="preserve"> </w:t>
      </w:r>
      <w:r w:rsidR="00FA5179">
        <w:t xml:space="preserve"> Thus, the Commission </w:t>
      </w:r>
      <w:r w:rsidRPr="00B3116B">
        <w:t>propose</w:t>
      </w:r>
      <w:r>
        <w:t>d</w:t>
      </w:r>
      <w:r w:rsidRPr="00B3116B">
        <w:t xml:space="preserve"> to require each RTO/ISO to revise its tariff to provide for</w:t>
      </w:r>
      <w:r>
        <w:t xml:space="preserve"> </w:t>
      </w:r>
      <w:r w:rsidRPr="00B3116B">
        <w:t>coordination among the RTO/ISO, a distributed energy resource aggregator, and th</w:t>
      </w:r>
      <w:r>
        <w:t xml:space="preserve">e </w:t>
      </w:r>
      <w:r w:rsidRPr="00B3116B">
        <w:t>relevant distribution utilities with respect to (1) the registration of new distributed energy</w:t>
      </w:r>
      <w:r>
        <w:t xml:space="preserve"> </w:t>
      </w:r>
      <w:r w:rsidRPr="00B3116B">
        <w:t>resource aggregations</w:t>
      </w:r>
      <w:r w:rsidR="00D268BE">
        <w:t>;</w:t>
      </w:r>
      <w:r w:rsidRPr="00B3116B">
        <w:t xml:space="preserve"> and (2) ongoing coordination, including operational coordination,</w:t>
      </w:r>
      <w:r>
        <w:t xml:space="preserve"> </w:t>
      </w:r>
      <w:r w:rsidRPr="00B3116B">
        <w:t>between the RTO/ISO, a distributed energy resource aggregator, and the relevant</w:t>
      </w:r>
      <w:r>
        <w:t xml:space="preserve"> </w:t>
      </w:r>
      <w:r w:rsidRPr="00B3116B">
        <w:t xml:space="preserve">distribution utility or utilities. </w:t>
      </w:r>
      <w:r>
        <w:t xml:space="preserve"> </w:t>
      </w:r>
    </w:p>
    <w:p w:rsidRPr="00ED6F47" w:rsidR="00ED6F47" w:rsidP="00C74CC8" w:rsidRDefault="00097C8C" w14:paraId="4A7D2DA2" w14:textId="081BF439">
      <w:pPr>
        <w:pStyle w:val="FERCparanumber"/>
      </w:pPr>
      <w:r>
        <w:t xml:space="preserve">After the </w:t>
      </w:r>
      <w:r w:rsidR="006D20B0">
        <w:t>April 2018</w:t>
      </w:r>
      <w:r>
        <w:t xml:space="preserve"> technical conference, the Commission</w:t>
      </w:r>
      <w:r w:rsidRPr="000D761F">
        <w:t xml:space="preserve"> s</w:t>
      </w:r>
      <w:r>
        <w:t>ought</w:t>
      </w:r>
      <w:r w:rsidRPr="000D761F">
        <w:t xml:space="preserve"> </w:t>
      </w:r>
      <w:r>
        <w:t xml:space="preserve">further </w:t>
      </w:r>
      <w:r w:rsidRPr="000D761F">
        <w:t xml:space="preserve">information </w:t>
      </w:r>
      <w:r w:rsidRPr="00B3116B" w:rsidR="002E614A">
        <w:t xml:space="preserve">on </w:t>
      </w:r>
      <w:r w:rsidR="00FA5179">
        <w:t xml:space="preserve">certain proposals regarding </w:t>
      </w:r>
      <w:r w:rsidRPr="00B3116B" w:rsidR="002E614A">
        <w:t xml:space="preserve">detailed </w:t>
      </w:r>
      <w:r w:rsidR="002E614A">
        <w:t>aspects of the coordination requirements</w:t>
      </w:r>
      <w:r w:rsidRPr="00B3116B" w:rsidR="002E614A">
        <w:t>.</w:t>
      </w:r>
      <w:r>
        <w:rPr>
          <w:rStyle w:val="FootnoteReference"/>
        </w:rPr>
        <w:footnoteReference w:id="659"/>
      </w:r>
    </w:p>
    <w:p w:rsidR="00ED6F47" w:rsidP="0033520B" w:rsidRDefault="00ED6F47" w14:paraId="1BDD24DC" w14:textId="34DB41A0">
      <w:pPr>
        <w:pStyle w:val="Heading4"/>
      </w:pPr>
      <w:bookmarkStart w:name="_bmk65" w:id="107"/>
      <w:r>
        <w:t>C</w:t>
      </w:r>
      <w:bookmarkEnd w:id="107"/>
      <w:r>
        <w:t>omments</w:t>
      </w:r>
    </w:p>
    <w:p w:rsidR="002E614A" w:rsidP="002E614A" w:rsidRDefault="002E614A" w14:paraId="0786504E" w14:textId="23A9D630">
      <w:pPr>
        <w:pStyle w:val="FERCparanumber"/>
      </w:pPr>
      <w:r w:rsidRPr="00716CDF">
        <w:t xml:space="preserve">Many commenters </w:t>
      </w:r>
      <w:r w:rsidR="00D7126B">
        <w:t>support</w:t>
      </w:r>
      <w:r w:rsidRPr="00716CDF">
        <w:t xml:space="preserve"> </w:t>
      </w:r>
      <w:r w:rsidR="0046432B">
        <w:t>the</w:t>
      </w:r>
      <w:r w:rsidRPr="00716CDF">
        <w:t xml:space="preserve"> coordination </w:t>
      </w:r>
      <w:r w:rsidR="0046432B">
        <w:t>processes</w:t>
      </w:r>
      <w:r w:rsidRPr="00716CDF">
        <w:t xml:space="preserve"> proposed in the NOPR </w:t>
      </w:r>
      <w:r w:rsidR="00846C26">
        <w:t xml:space="preserve">because it </w:t>
      </w:r>
      <w:r w:rsidRPr="00716CDF">
        <w:t xml:space="preserve">will ensure that participation of distributed energy resource aggregations in </w:t>
      </w:r>
      <w:r>
        <w:t>RTO/ISO</w:t>
      </w:r>
      <w:r w:rsidRPr="00716CDF">
        <w:t xml:space="preserve"> markets does not compromise </w:t>
      </w:r>
      <w:r w:rsidR="00D33CF6">
        <w:t xml:space="preserve">these markets or </w:t>
      </w:r>
      <w:r w:rsidRPr="00716CDF">
        <w:t>the reliability or safety of the transmission and distribution systems.</w:t>
      </w:r>
      <w:r w:rsidRPr="00716CDF">
        <w:rPr>
          <w:rStyle w:val="FootnoteReference"/>
          <w:szCs w:val="26"/>
        </w:rPr>
        <w:footnoteReference w:id="660"/>
      </w:r>
      <w:r w:rsidRPr="00716CDF">
        <w:t xml:space="preserve">  For example, based on </w:t>
      </w:r>
      <w:r w:rsidR="009134A7">
        <w:t>its</w:t>
      </w:r>
      <w:r w:rsidRPr="00716CDF" w:rsidR="009134A7">
        <w:t xml:space="preserve"> </w:t>
      </w:r>
      <w:r w:rsidRPr="00716CDF">
        <w:t xml:space="preserve">experience with implementing CAISO’s </w:t>
      </w:r>
      <w:bookmarkStart w:name="_Hlk32998649" w:id="108"/>
      <w:r w:rsidRPr="00716CDF">
        <w:t xml:space="preserve">Distributed Energy Resource Provider </w:t>
      </w:r>
      <w:bookmarkEnd w:id="108"/>
      <w:r w:rsidRPr="00716CDF">
        <w:t>framework, Pacific Gas &amp; Electric state</w:t>
      </w:r>
      <w:r>
        <w:t>s</w:t>
      </w:r>
      <w:r w:rsidRPr="00716CDF">
        <w:t xml:space="preserve"> that it is vitally important that RTOs/ISOs coordinate with distribution utilities with respect to both registration of distributed energy resource aggregations and their ongoing operation</w:t>
      </w:r>
      <w:r w:rsidRPr="00EF634D">
        <w:t>.</w:t>
      </w:r>
      <w:r w:rsidRPr="00EF634D">
        <w:rPr>
          <w:rStyle w:val="FootnoteReference"/>
          <w:szCs w:val="26"/>
        </w:rPr>
        <w:footnoteReference w:id="661"/>
      </w:r>
      <w:r w:rsidRPr="00EF634D">
        <w:t xml:space="preserve"> </w:t>
      </w:r>
      <w:r w:rsidRPr="00716CDF">
        <w:rPr>
          <w:highlight w:val="yellow"/>
        </w:rPr>
        <w:t xml:space="preserve"> </w:t>
      </w:r>
    </w:p>
    <w:p w:rsidRPr="009E3304" w:rsidR="002E614A" w:rsidP="002E614A" w:rsidRDefault="002E614A" w14:paraId="46C373A9" w14:textId="76479242">
      <w:pPr>
        <w:pStyle w:val="FERCparanumber"/>
      </w:pPr>
      <w:r w:rsidRPr="00836009">
        <w:t xml:space="preserve">Advanced Energy Economy </w:t>
      </w:r>
      <w:r w:rsidR="00E66167">
        <w:t>states that it</w:t>
      </w:r>
      <w:r w:rsidRPr="00836009">
        <w:t xml:space="preserve"> recognizes that</w:t>
      </w:r>
      <w:r>
        <w:t xml:space="preserve"> the RTOs/ISOs</w:t>
      </w:r>
      <w:r w:rsidRPr="00836009">
        <w:t xml:space="preserve"> need visibility </w:t>
      </w:r>
      <w:r w:rsidR="009134A7">
        <w:t>into</w:t>
      </w:r>
      <w:r w:rsidRPr="00836009">
        <w:t xml:space="preserve"> distributed energy resource operations and that coordination among the RTO/ISO, the distribution utility, and distributed energy resource aggregators is necessary to ensure reliable operations.</w:t>
      </w:r>
      <w:r>
        <w:rPr>
          <w:rStyle w:val="FootnoteReference"/>
        </w:rPr>
        <w:footnoteReference w:id="662"/>
      </w:r>
      <w:r w:rsidRPr="00836009">
        <w:t xml:space="preserve">  Advanced Energy Economy asserts that these visibility and operational issues are surmountable and </w:t>
      </w:r>
      <w:r w:rsidR="00B665AA">
        <w:t xml:space="preserve">that </w:t>
      </w:r>
      <w:r w:rsidRPr="00836009">
        <w:t>certain RTOs/ISOs (particularly CAISO and ISO-NE) have made great progress in developing standards and rules to address these issues.  Advanced Energy Economy states that fully integrating advanced energy technologies that are already available and growing rapidly will only enhance the ability to quickly address visibility and operational issues.</w:t>
      </w:r>
      <w:r w:rsidDel="00604D9A" w:rsidR="00604D9A">
        <w:rPr>
          <w:rStyle w:val="FootnoteReference"/>
        </w:rPr>
        <w:t xml:space="preserve"> </w:t>
      </w:r>
    </w:p>
    <w:p w:rsidRPr="00ED6F47" w:rsidR="009608A7" w:rsidP="009608A7" w:rsidRDefault="00DE6A6E" w14:paraId="1D4EC745" w14:textId="32C2E4BD">
      <w:pPr>
        <w:pStyle w:val="FERCparanumber"/>
      </w:pPr>
      <w:r>
        <w:t xml:space="preserve">Commenters </w:t>
      </w:r>
      <w:r w:rsidR="00917736">
        <w:t>note</w:t>
      </w:r>
      <w:r>
        <w:t xml:space="preserve"> that coordination would be further enhanced with the </w:t>
      </w:r>
      <w:r w:rsidR="001706CF">
        <w:t>development</w:t>
      </w:r>
      <w:r>
        <w:t xml:space="preserve"> of distribution system operators.</w:t>
      </w:r>
      <w:r w:rsidR="001A4850">
        <w:rPr>
          <w:rStyle w:val="FootnoteReference"/>
        </w:rPr>
        <w:footnoteReference w:id="663"/>
      </w:r>
      <w:r>
        <w:t xml:space="preserve">  </w:t>
      </w:r>
      <w:r w:rsidRPr="00F87175" w:rsidR="009608A7">
        <w:t>PJM believes that value may be added if an RTO/ISO were to</w:t>
      </w:r>
      <w:r w:rsidR="009608A7">
        <w:t xml:space="preserve"> coordinate</w:t>
      </w:r>
      <w:r w:rsidRPr="00F87175" w:rsidR="009608A7">
        <w:t xml:space="preserve"> with a distribution system operator</w:t>
      </w:r>
      <w:r w:rsidR="001706CF">
        <w:t>,</w:t>
      </w:r>
      <w:r w:rsidR="009608A7">
        <w:t xml:space="preserve"> </w:t>
      </w:r>
      <w:r w:rsidR="006B5E0B">
        <w:t>b</w:t>
      </w:r>
      <w:r w:rsidR="001706CF">
        <w:t>ut states that</w:t>
      </w:r>
      <w:r w:rsidRPr="00F87175" w:rsidR="009608A7">
        <w:t xml:space="preserve"> without a true distribution system operator operating in the PJM </w:t>
      </w:r>
      <w:r w:rsidR="009608A7">
        <w:t>r</w:t>
      </w:r>
      <w:r w:rsidRPr="00F87175" w:rsidR="009608A7">
        <w:t>egion (or anywhere else in the country)</w:t>
      </w:r>
      <w:r w:rsidR="001706CF">
        <w:t xml:space="preserve"> </w:t>
      </w:r>
      <w:r w:rsidR="009608A7">
        <w:t>it</w:t>
      </w:r>
      <w:r w:rsidRPr="00F87175" w:rsidR="009608A7">
        <w:t xml:space="preserve"> </w:t>
      </w:r>
      <w:r w:rsidR="009608A7">
        <w:t>cannot</w:t>
      </w:r>
      <w:r w:rsidRPr="00F87175" w:rsidR="009608A7">
        <w:t xml:space="preserve"> opine on the specific benefits that </w:t>
      </w:r>
      <w:r w:rsidR="009608A7">
        <w:t>such coordination could achieve</w:t>
      </w:r>
      <w:r w:rsidRPr="00F87175" w:rsidR="009608A7">
        <w:t>.</w:t>
      </w:r>
      <w:r w:rsidRPr="00F87175" w:rsidR="009608A7">
        <w:rPr>
          <w:rStyle w:val="FootnoteReference"/>
          <w:szCs w:val="26"/>
        </w:rPr>
        <w:footnoteReference w:id="664"/>
      </w:r>
      <w:r w:rsidRPr="00F87175" w:rsidR="009608A7">
        <w:t xml:space="preserve">  SoCal Edison</w:t>
      </w:r>
      <w:r w:rsidR="009608A7">
        <w:t xml:space="preserve"> notes </w:t>
      </w:r>
      <w:r w:rsidRPr="00F87175" w:rsidR="009608A7">
        <w:t xml:space="preserve">that, in California, distribution utilities are already performing the initial functions </w:t>
      </w:r>
      <w:r w:rsidR="009608A7">
        <w:t>of</w:t>
      </w:r>
      <w:r w:rsidRPr="00F87175" w:rsidR="009608A7">
        <w:t xml:space="preserve"> a distribut</w:t>
      </w:r>
      <w:r w:rsidR="009608A7">
        <w:t>ion</w:t>
      </w:r>
      <w:r w:rsidRPr="00F87175" w:rsidR="009608A7">
        <w:t xml:space="preserve"> system operator and </w:t>
      </w:r>
      <w:r w:rsidR="009608A7">
        <w:t>that the utility is</w:t>
      </w:r>
      <w:r w:rsidRPr="00F87175" w:rsidR="009608A7">
        <w:t xml:space="preserve"> uniquely situated to provide this role in the future.</w:t>
      </w:r>
      <w:r w:rsidRPr="00F87175" w:rsidR="009608A7">
        <w:rPr>
          <w:rStyle w:val="FootnoteReference"/>
          <w:szCs w:val="26"/>
        </w:rPr>
        <w:footnoteReference w:id="665"/>
      </w:r>
    </w:p>
    <w:p w:rsidR="002E614A" w:rsidP="002E614A" w:rsidRDefault="002E614A" w14:paraId="5339047E" w14:textId="579AF303">
      <w:pPr>
        <w:pStyle w:val="FERCparanumber"/>
      </w:pPr>
      <w:r w:rsidRPr="00716CDF">
        <w:t>While supportive of the coordination requirements in the NOPR, Mensah argues that the cost of registering an aggregation as well as ongoing operational coordination should not place any unnecessary burden on distributed energy resource aggregations.</w:t>
      </w:r>
      <w:r w:rsidRPr="00716CDF">
        <w:rPr>
          <w:rStyle w:val="FootnoteReference"/>
          <w:szCs w:val="26"/>
        </w:rPr>
        <w:footnoteReference w:id="666"/>
      </w:r>
      <w:r>
        <w:t xml:space="preserve"> </w:t>
      </w:r>
    </w:p>
    <w:p w:rsidR="00ED6F47" w:rsidP="007B2629" w:rsidRDefault="00ED6F47" w14:paraId="00238620" w14:textId="67977217">
      <w:pPr>
        <w:pStyle w:val="Heading4"/>
      </w:pPr>
      <w:bookmarkStart w:name="_bmk66" w:id="109"/>
      <w:r>
        <w:t>C</w:t>
      </w:r>
      <w:bookmarkEnd w:id="109"/>
      <w:r>
        <w:t>ommission Determination</w:t>
      </w:r>
    </w:p>
    <w:p w:rsidR="002E614A" w:rsidP="002E614A" w:rsidRDefault="0030615F" w14:paraId="74C92BD2" w14:textId="2CF794E1">
      <w:pPr>
        <w:pStyle w:val="FERCparanumber"/>
      </w:pPr>
      <w:r>
        <w:t>We</w:t>
      </w:r>
      <w:r w:rsidR="002E614A">
        <w:t xml:space="preserve"> adopt the NOPR proposal, as modified and clarified below, and add </w:t>
      </w:r>
      <w:r w:rsidR="00202177">
        <w:t xml:space="preserve">§ </w:t>
      </w:r>
      <w:r w:rsidR="002E614A">
        <w:t>35.28(g)(1</w:t>
      </w:r>
      <w:r w:rsidR="00CD5DB1">
        <w:t>2</w:t>
      </w:r>
      <w:r w:rsidR="002E614A">
        <w:t>)(ii)(g) to the Commission’s regulations t</w:t>
      </w:r>
      <w:r w:rsidR="001F29BC">
        <w:t>o</w:t>
      </w:r>
      <w:r w:rsidR="002E614A">
        <w:t xml:space="preserve"> require each RTO/ISO to </w:t>
      </w:r>
      <w:r w:rsidR="00F02701">
        <w:t xml:space="preserve">revise its tariff to </w:t>
      </w:r>
      <w:r w:rsidR="002E614A">
        <w:t xml:space="preserve">establish market rules </w:t>
      </w:r>
      <w:r w:rsidR="00BE73C3">
        <w:t>that address</w:t>
      </w:r>
      <w:r w:rsidR="002E614A">
        <w:t xml:space="preserve"> coordination between the RTO/ISO, the distributed energy resource aggregator, the distribution utility, and the relevant </w:t>
      </w:r>
      <w:r w:rsidR="007829DE">
        <w:t>electric retail regulatory authorities</w:t>
      </w:r>
      <w:r w:rsidR="002E614A">
        <w:t>.</w:t>
      </w:r>
    </w:p>
    <w:p w:rsidR="008B44D5" w:rsidP="002E614A" w:rsidRDefault="0030615F" w14:paraId="22679AF6" w14:textId="249BAD3B">
      <w:pPr>
        <w:pStyle w:val="FERCparanumber"/>
      </w:pPr>
      <w:r>
        <w:t>We</w:t>
      </w:r>
      <w:r w:rsidR="002E614A">
        <w:t xml:space="preserve"> agree with commenters that coordination requirements should not create undue barriers to entry for distributed energy resource aggregations.  However, </w:t>
      </w:r>
      <w:r w:rsidR="00F708F4">
        <w:t xml:space="preserve">we must also </w:t>
      </w:r>
      <w:r w:rsidR="00C27318">
        <w:t xml:space="preserve">consider </w:t>
      </w:r>
      <w:r w:rsidR="008B44D5">
        <w:t>the substantial role</w:t>
      </w:r>
      <w:r w:rsidR="00F708F4">
        <w:t xml:space="preserve"> </w:t>
      </w:r>
      <w:r w:rsidR="008A60A8">
        <w:t>of</w:t>
      </w:r>
      <w:r w:rsidRPr="008B44D5" w:rsidR="008B44D5">
        <w:t xml:space="preserve"> distribution utilit</w:t>
      </w:r>
      <w:r w:rsidR="008B44D5">
        <w:t>ies</w:t>
      </w:r>
      <w:r w:rsidRPr="008B44D5" w:rsidR="008B44D5">
        <w:t xml:space="preserve"> and state and local regulators</w:t>
      </w:r>
      <w:r w:rsidR="002E614A">
        <w:t xml:space="preserve"> </w:t>
      </w:r>
      <w:r w:rsidR="008B44D5">
        <w:t>in</w:t>
      </w:r>
      <w:r w:rsidR="002E614A">
        <w:t xml:space="preserve"> ensuring</w:t>
      </w:r>
      <w:r w:rsidRPr="009E3304" w:rsidR="002E614A">
        <w:t xml:space="preserve"> the safety </w:t>
      </w:r>
      <w:r w:rsidR="002E614A">
        <w:t xml:space="preserve">and reliability </w:t>
      </w:r>
      <w:r w:rsidRPr="009E3304" w:rsidR="002E614A">
        <w:t>of the distribution system.</w:t>
      </w:r>
      <w:r w:rsidR="002E614A">
        <w:t xml:space="preserve">  </w:t>
      </w:r>
      <w:r w:rsidR="008B44D5">
        <w:t xml:space="preserve">We believe that the reforms adopted herein appropriately balance those needs.  </w:t>
      </w:r>
    </w:p>
    <w:p w:rsidRPr="008D1463" w:rsidR="008D1463" w:rsidP="002E614A" w:rsidRDefault="002E614A" w14:paraId="3800D331" w14:textId="6EE81545">
      <w:pPr>
        <w:pStyle w:val="FERCparanumber"/>
      </w:pPr>
      <w:r>
        <w:t xml:space="preserve">Further, as discussed in </w:t>
      </w:r>
      <w:r w:rsidR="006A4190">
        <w:t>Section IV.H.4</w:t>
      </w:r>
      <w:r>
        <w:t xml:space="preserve"> below,</w:t>
      </w:r>
      <w:r>
        <w:rPr>
          <w:rStyle w:val="FootnoteReference"/>
          <w:szCs w:val="26"/>
        </w:rPr>
        <w:footnoteReference w:id="667"/>
      </w:r>
      <w:r>
        <w:t xml:space="preserve"> although the </w:t>
      </w:r>
      <w:r w:rsidR="008B44D5">
        <w:t xml:space="preserve">NOPR did not discuss the </w:t>
      </w:r>
      <w:r>
        <w:t xml:space="preserve">role of state and local regulatory authorities in coordination efforts, we </w:t>
      </w:r>
      <w:r w:rsidR="00F66EAC">
        <w:t>recognize</w:t>
      </w:r>
      <w:r w:rsidR="006D3338">
        <w:t xml:space="preserve"> </w:t>
      </w:r>
      <w:r>
        <w:t xml:space="preserve">that state and local regulatory authorities have a key role to play in such coordination efforts.  Therefore, we have modified the NOPR proposal to ensure that </w:t>
      </w:r>
      <w:r w:rsidR="008B44D5">
        <w:t xml:space="preserve">the </w:t>
      </w:r>
      <w:r>
        <w:t>RTO/ISO</w:t>
      </w:r>
      <w:r w:rsidR="003F5986">
        <w:t>s</w:t>
      </w:r>
      <w:r>
        <w:t xml:space="preserve"> </w:t>
      </w:r>
      <w:r w:rsidR="008B44D5">
        <w:t xml:space="preserve">also </w:t>
      </w:r>
      <w:r>
        <w:t>coordinat</w:t>
      </w:r>
      <w:r w:rsidR="008B44D5">
        <w:t>e</w:t>
      </w:r>
      <w:r>
        <w:t xml:space="preserve"> </w:t>
      </w:r>
      <w:r w:rsidR="008B44D5">
        <w:t>with</w:t>
      </w:r>
      <w:r>
        <w:t xml:space="preserve"> these entities.</w:t>
      </w:r>
    </w:p>
    <w:p w:rsidRPr="00ED6F47" w:rsidR="00ED6F47" w:rsidP="00B0583B" w:rsidRDefault="00ED6F47" w14:paraId="31EFAA39" w14:textId="3F2CE567">
      <w:pPr>
        <w:pStyle w:val="Heading3"/>
      </w:pPr>
      <w:bookmarkStart w:name="_bmk67" w:id="110"/>
      <w:r>
        <w:t>R</w:t>
      </w:r>
      <w:bookmarkEnd w:id="110"/>
      <w:r>
        <w:t>ole of Distribution Utilities</w:t>
      </w:r>
    </w:p>
    <w:p w:rsidR="00ED6F47" w:rsidP="00ED6F47" w:rsidRDefault="00ED6F47" w14:paraId="6BA06A97" w14:textId="23BDBCCF">
      <w:pPr>
        <w:pStyle w:val="Heading4"/>
      </w:pPr>
      <w:bookmarkStart w:name="_bmk68" w:id="111"/>
      <w:r>
        <w:t>N</w:t>
      </w:r>
      <w:bookmarkEnd w:id="111"/>
      <w:r>
        <w:t>OPR Proposal</w:t>
      </w:r>
    </w:p>
    <w:p w:rsidRPr="00ED6F47" w:rsidR="00ED6F47" w:rsidP="002E614A" w:rsidRDefault="002E614A" w14:paraId="41011D54" w14:textId="64B0C2D7">
      <w:pPr>
        <w:pStyle w:val="FERCparanumber"/>
      </w:pPr>
      <w:r>
        <w:t>In the NOPR, t</w:t>
      </w:r>
      <w:r w:rsidRPr="0071268C">
        <w:t xml:space="preserve">he Commission proposed that </w:t>
      </w:r>
      <w:r>
        <w:t xml:space="preserve">the market rules on </w:t>
      </w:r>
      <w:r w:rsidRPr="0071268C">
        <w:t>coordination provide the relevant distribution utility or utilities with the opportunity to review the list of individual resources that are located on their distribution system</w:t>
      </w:r>
      <w:r w:rsidR="00F66EAC">
        <w:t>s and</w:t>
      </w:r>
      <w:r w:rsidRPr="0071268C">
        <w:t xml:space="preserve"> that enroll in a </w:t>
      </w:r>
      <w:r>
        <w:t>distributed energy resource</w:t>
      </w:r>
      <w:r w:rsidRPr="0071268C">
        <w:t xml:space="preserve"> aggregation before those resources may participate in </w:t>
      </w:r>
      <w:r w:rsidR="00CC555C">
        <w:t>RTO/ISO</w:t>
      </w:r>
      <w:r w:rsidRPr="0071268C">
        <w:t xml:space="preserve"> markets through the aggregation.</w:t>
      </w:r>
      <w:r w:rsidR="001D077C">
        <w:rPr>
          <w:rStyle w:val="FootnoteReference"/>
        </w:rPr>
        <w:footnoteReference w:id="668"/>
      </w:r>
      <w:r w:rsidRPr="0071268C">
        <w:t xml:space="preserve">  The Commission explained that the purpose of this coordination would be to ensure that all of the individual resources in the </w:t>
      </w:r>
      <w:r>
        <w:t>distributed energy resource</w:t>
      </w:r>
      <w:r w:rsidRPr="0071268C">
        <w:t xml:space="preserve"> aggregation are technically capable of providing services to the RTO/ISO through the aggregator and are eligible to be part of the aggregation.</w:t>
      </w:r>
      <w:r w:rsidR="005908BC">
        <w:rPr>
          <w:rStyle w:val="FootnoteReference"/>
        </w:rPr>
        <w:footnoteReference w:id="669"/>
      </w:r>
      <w:r w:rsidRPr="0071268C">
        <w:t xml:space="preserve">  The Commission </w:t>
      </w:r>
      <w:r>
        <w:t xml:space="preserve">further </w:t>
      </w:r>
      <w:r w:rsidRPr="0071268C">
        <w:t xml:space="preserve">explained that the opportunity for the relevant distribution utility to review the list of these resources would allow them to assess whether the resources would be able to respond to RTO/ISO dispatch instructions without posing any significant risk to the distribution system and to ensure these resources are not participating in any other retail compensation programs.  The Commission proposed to give the relevant distribution utility or utilities the opportunity to report such </w:t>
      </w:r>
      <w:r>
        <w:t>concerns or issues</w:t>
      </w:r>
      <w:r w:rsidRPr="0071268C">
        <w:t xml:space="preserve"> to the RTO/ISO for its consideration prior to the RTO/ISO allowing the new or modified </w:t>
      </w:r>
      <w:r>
        <w:t>distributed energy resource</w:t>
      </w:r>
      <w:r w:rsidRPr="0071268C">
        <w:t xml:space="preserve"> aggregation to participate in the organized wholesale electric market.</w:t>
      </w:r>
      <w:r w:rsidRPr="007A657D" w:rsidDel="000D2E1E" w:rsidR="000D2E1E">
        <w:rPr>
          <w:rStyle w:val="FootnoteReference"/>
        </w:rPr>
        <w:t xml:space="preserve"> </w:t>
      </w:r>
    </w:p>
    <w:p w:rsidR="00ED6F47" w:rsidP="00ED6F47" w:rsidRDefault="00ED6F47" w14:paraId="0C5006EA" w14:textId="77777777">
      <w:pPr>
        <w:pStyle w:val="Heading4"/>
      </w:pPr>
      <w:bookmarkStart w:name="_bmk69" w:id="112"/>
      <w:r>
        <w:t>C</w:t>
      </w:r>
      <w:bookmarkEnd w:id="112"/>
      <w:r>
        <w:t>omments</w:t>
      </w:r>
    </w:p>
    <w:p w:rsidRPr="0071268C" w:rsidR="002E614A" w:rsidP="002E614A" w:rsidRDefault="008D0EF4" w14:paraId="4D6FEC0F" w14:textId="3FF2923C">
      <w:pPr>
        <w:pStyle w:val="FERCparanumber"/>
        <w:autoSpaceDE w:val="0"/>
        <w:autoSpaceDN w:val="0"/>
        <w:adjustRightInd w:val="0"/>
      </w:pPr>
      <w:r>
        <w:t>Numerous</w:t>
      </w:r>
      <w:r w:rsidRPr="0071268C" w:rsidR="002E614A">
        <w:t xml:space="preserve"> commenters generally support the NOPR proposal for distribution utility review</w:t>
      </w:r>
      <w:r w:rsidR="002E614A">
        <w:t>,</w:t>
      </w:r>
      <w:r w:rsidRPr="00367C29" w:rsidR="002E614A">
        <w:rPr>
          <w:rStyle w:val="FootnoteReference"/>
        </w:rPr>
        <w:footnoteReference w:id="670"/>
      </w:r>
      <w:r w:rsidRPr="0071268C" w:rsidR="002E614A">
        <w:t xml:space="preserve"> </w:t>
      </w:r>
      <w:r w:rsidR="002E614A">
        <w:t xml:space="preserve">but </w:t>
      </w:r>
      <w:r w:rsidRPr="0071268C" w:rsidR="002E614A">
        <w:t xml:space="preserve">differ about the scope and the timing of this review.  </w:t>
      </w:r>
    </w:p>
    <w:p w:rsidR="002E614A" w:rsidP="002E614A" w:rsidRDefault="002E614A" w14:paraId="59BFE519" w14:textId="0ABDC43A">
      <w:pPr>
        <w:pStyle w:val="FERCparanumber"/>
        <w:autoSpaceDE w:val="0"/>
        <w:autoSpaceDN w:val="0"/>
        <w:adjustRightInd w:val="0"/>
      </w:pPr>
      <w:r w:rsidRPr="0071268C">
        <w:t xml:space="preserve">While generally supportive of the NOPR proposal, several distribution utilities voice a broad range of concerns about their role in coordination and the impact of </w:t>
      </w:r>
      <w:r>
        <w:t>distributed energy resource</w:t>
      </w:r>
      <w:r w:rsidRPr="0071268C">
        <w:t xml:space="preserve"> aggregation</w:t>
      </w:r>
      <w:r w:rsidR="00B4619F">
        <w:t>s</w:t>
      </w:r>
      <w:r w:rsidRPr="0071268C">
        <w:t xml:space="preserve"> on their distribution systems.  In particular, distribution utilities </w:t>
      </w:r>
      <w:r w:rsidR="00143621">
        <w:t xml:space="preserve">generally </w:t>
      </w:r>
      <w:r w:rsidRPr="0071268C">
        <w:t>argue for an even greater and deci</w:t>
      </w:r>
      <w:r w:rsidR="004960B8">
        <w:t>sion-making</w:t>
      </w:r>
      <w:r w:rsidRPr="0071268C">
        <w:t xml:space="preserve"> role in reviewing </w:t>
      </w:r>
      <w:r>
        <w:t>distributed energy resource</w:t>
      </w:r>
      <w:r w:rsidRPr="0071268C">
        <w:t xml:space="preserve"> registrations.</w:t>
      </w:r>
      <w:r w:rsidRPr="00367C29">
        <w:rPr>
          <w:rStyle w:val="FootnoteReference"/>
        </w:rPr>
        <w:footnoteReference w:id="671"/>
      </w:r>
      <w:r w:rsidRPr="0071268C">
        <w:t xml:space="preserve">  </w:t>
      </w:r>
      <w:r w:rsidR="00D76490">
        <w:t>NRECA</w:t>
      </w:r>
      <w:r>
        <w:t xml:space="preserve"> </w:t>
      </w:r>
      <w:r w:rsidRPr="0071268C">
        <w:t>argue</w:t>
      </w:r>
      <w:r w:rsidR="00D76490">
        <w:t>s</w:t>
      </w:r>
      <w:r w:rsidRPr="0071268C">
        <w:t xml:space="preserve"> </w:t>
      </w:r>
      <w:r w:rsidR="002A76C0">
        <w:t>for</w:t>
      </w:r>
      <w:r w:rsidRPr="0071268C">
        <w:t xml:space="preserve"> distribution utility review of individual </w:t>
      </w:r>
      <w:r>
        <w:t>distributed energy resource</w:t>
      </w:r>
      <w:r w:rsidRPr="0071268C">
        <w:t xml:space="preserve"> participation in </w:t>
      </w:r>
      <w:r>
        <w:t>distributed energy resource</w:t>
      </w:r>
      <w:r w:rsidRPr="0071268C">
        <w:t xml:space="preserve"> aggregations before the resources participate in RTO/ISO market</w:t>
      </w:r>
      <w:r w:rsidR="002573CB">
        <w:t>s</w:t>
      </w:r>
      <w:r w:rsidRPr="0071268C">
        <w:t>.</w:t>
      </w:r>
      <w:r w:rsidRPr="00367C29">
        <w:rPr>
          <w:rStyle w:val="FootnoteReference"/>
        </w:rPr>
        <w:footnoteReference w:id="672"/>
      </w:r>
      <w:r w:rsidRPr="0071268C">
        <w:t xml:space="preserve">  </w:t>
      </w:r>
      <w:r>
        <w:t xml:space="preserve">Additional commenters </w:t>
      </w:r>
      <w:r w:rsidRPr="0071268C">
        <w:t>argue that distribution utilities and RTOs/ISOs must be afforded enough time to perform impact studies</w:t>
      </w:r>
      <w:r>
        <w:t>, preferably using study parameters adopted and implemented by state and local regulators,</w:t>
      </w:r>
      <w:r w:rsidRPr="0071268C">
        <w:t xml:space="preserve"> for each distributed energy resource and for the aggregation to ensure safe and reliable grid operation</w:t>
      </w:r>
      <w:r w:rsidR="00B23574">
        <w:t>,</w:t>
      </w:r>
      <w:r w:rsidRPr="00367C29">
        <w:rPr>
          <w:rStyle w:val="FootnoteReference"/>
        </w:rPr>
        <w:footnoteReference w:id="673"/>
      </w:r>
      <w:r w:rsidRPr="0071268C">
        <w:t xml:space="preserve"> </w:t>
      </w:r>
      <w:r w:rsidR="00B23574">
        <w:t xml:space="preserve">and other commenters specifically </w:t>
      </w:r>
      <w:r w:rsidRPr="0071268C" w:rsidR="00B23574">
        <w:t xml:space="preserve">request that the Commission address the timing of the distribution utility review in the </w:t>
      </w:r>
      <w:r w:rsidR="00BD1A66">
        <w:t>f</w:t>
      </w:r>
      <w:r w:rsidRPr="0071268C" w:rsidR="00B23574">
        <w:t xml:space="preserve">inal </w:t>
      </w:r>
      <w:r w:rsidR="00BD1A66">
        <w:t>r</w:t>
      </w:r>
      <w:r w:rsidRPr="0071268C" w:rsidR="00B23574">
        <w:t>ule.</w:t>
      </w:r>
      <w:r w:rsidRPr="00367C29" w:rsidR="00B23574">
        <w:rPr>
          <w:rStyle w:val="FootnoteReference"/>
        </w:rPr>
        <w:footnoteReference w:id="674"/>
      </w:r>
      <w:r w:rsidRPr="0071268C">
        <w:t xml:space="preserve">  MISO Transmission Owners request that any final rule require distribution utility approval of any aggregation arrangement to ensure that all of the appropriate distribution utility requirements for interconnection and other relevant regulations and processes have been met.</w:t>
      </w:r>
      <w:r w:rsidRPr="007A657D">
        <w:rPr>
          <w:rStyle w:val="FootnoteReference"/>
        </w:rPr>
        <w:footnoteReference w:id="675"/>
      </w:r>
      <w:r w:rsidRPr="0071268C">
        <w:t xml:space="preserve">  NRECA asserts that distribution utilities need detailed information in order to assess whether </w:t>
      </w:r>
      <w:r>
        <w:t>distributed energy resource</w:t>
      </w:r>
      <w:r w:rsidRPr="0071268C">
        <w:t xml:space="preserve"> participation is beneficial.</w:t>
      </w:r>
      <w:r w:rsidRPr="00367C29">
        <w:rPr>
          <w:rStyle w:val="FootnoteReference"/>
        </w:rPr>
        <w:footnoteReference w:id="676"/>
      </w:r>
      <w:r w:rsidRPr="0071268C">
        <w:t xml:space="preserve">  </w:t>
      </w:r>
    </w:p>
    <w:p w:rsidRPr="0071268C" w:rsidR="002E614A" w:rsidP="002E614A" w:rsidRDefault="002E614A" w14:paraId="31C4CE45" w14:textId="50518B64">
      <w:pPr>
        <w:pStyle w:val="FERCparanumber"/>
        <w:autoSpaceDE w:val="0"/>
        <w:autoSpaceDN w:val="0"/>
        <w:adjustRightInd w:val="0"/>
      </w:pPr>
      <w:r w:rsidRPr="0071268C">
        <w:t xml:space="preserve">Moreover, several distribution utilities </w:t>
      </w:r>
      <w:r>
        <w:t xml:space="preserve">seek more than review capability and </w:t>
      </w:r>
      <w:r w:rsidRPr="0071268C">
        <w:t xml:space="preserve">assert that the distribution utility’s consent to the participation of a </w:t>
      </w:r>
      <w:r>
        <w:t>distributed energy resource</w:t>
      </w:r>
      <w:r w:rsidRPr="0071268C">
        <w:t xml:space="preserve"> in a</w:t>
      </w:r>
      <w:r w:rsidR="003D416B">
        <w:t>n</w:t>
      </w:r>
      <w:r w:rsidRPr="0071268C">
        <w:t xml:space="preserve"> aggregation is a necessary prerequisite before the aggregation may operate.</w:t>
      </w:r>
      <w:r w:rsidRPr="00367C29">
        <w:rPr>
          <w:rStyle w:val="FootnoteReference"/>
        </w:rPr>
        <w:footnoteReference w:id="677"/>
      </w:r>
      <w:r w:rsidRPr="0071268C">
        <w:t xml:space="preserve">  According to these commenters, distribution utilities, who have the knowledge and understanding of distribution system challenges, should have the authority to make decisions regarding the participation of </w:t>
      </w:r>
      <w:r w:rsidR="00994196">
        <w:t xml:space="preserve">a </w:t>
      </w:r>
      <w:r>
        <w:t>distributed energy resource</w:t>
      </w:r>
      <w:r w:rsidRPr="0071268C">
        <w:t xml:space="preserve"> aggregation.</w:t>
      </w:r>
      <w:r w:rsidRPr="00367C29">
        <w:rPr>
          <w:rStyle w:val="FootnoteReference"/>
        </w:rPr>
        <w:footnoteReference w:id="678"/>
      </w:r>
      <w:r w:rsidRPr="0071268C">
        <w:t xml:space="preserve">  EEI further argues that distribution utilities must be able to restrict participation until the reliability and/or safety issue is addressed, and must be notified in real-time if a resource that is connected to its distribution system joins a </w:t>
      </w:r>
      <w:r>
        <w:t>distributed energy resource</w:t>
      </w:r>
      <w:r w:rsidRPr="0071268C">
        <w:t xml:space="preserve"> aggregation.</w:t>
      </w:r>
      <w:r w:rsidRPr="00367C29">
        <w:rPr>
          <w:rStyle w:val="FootnoteReference"/>
        </w:rPr>
        <w:footnoteReference w:id="679"/>
      </w:r>
      <w:r w:rsidRPr="0071268C">
        <w:t xml:space="preserve">  </w:t>
      </w:r>
      <w:r>
        <w:t xml:space="preserve">  </w:t>
      </w:r>
      <w:r w:rsidRPr="0071268C">
        <w:t xml:space="preserve">    </w:t>
      </w:r>
    </w:p>
    <w:p w:rsidR="002E614A" w:rsidP="002E614A" w:rsidRDefault="002E614A" w14:paraId="6629ECE7" w14:textId="2D1D9D0B">
      <w:pPr>
        <w:pStyle w:val="FERCparanumber"/>
        <w:autoSpaceDE w:val="0"/>
        <w:autoSpaceDN w:val="0"/>
        <w:adjustRightInd w:val="0"/>
      </w:pPr>
      <w:r w:rsidRPr="0071268C">
        <w:t>Electric storage resource developers and advocates support the NOPR proposal</w:t>
      </w:r>
      <w:r>
        <w:t>,</w:t>
      </w:r>
      <w:r w:rsidRPr="0071268C">
        <w:t xml:space="preserve"> but raise concerns about the proposed distribution utility review process.</w:t>
      </w:r>
      <w:r w:rsidRPr="00367C29">
        <w:rPr>
          <w:rStyle w:val="FootnoteReference"/>
        </w:rPr>
        <w:footnoteReference w:id="680"/>
      </w:r>
      <w:r w:rsidRPr="0071268C">
        <w:t xml:space="preserve">  They are concerned that distribution utility review will act as a barrier by providing the distribution utility a “gatekeeper” role.</w:t>
      </w:r>
      <w:r w:rsidRPr="00367C29">
        <w:rPr>
          <w:rStyle w:val="FootnoteReference"/>
        </w:rPr>
        <w:footnoteReference w:id="681"/>
      </w:r>
      <w:r w:rsidRPr="0071268C">
        <w:t xml:space="preserve">  </w:t>
      </w:r>
      <w:r>
        <w:t xml:space="preserve">Furthermore, </w:t>
      </w:r>
      <w:r w:rsidR="004815E2">
        <w:t xml:space="preserve">some </w:t>
      </w:r>
      <w:r>
        <w:t>c</w:t>
      </w:r>
      <w:r w:rsidRPr="0071268C">
        <w:t xml:space="preserve">ommenters argue that distribution utilities do not have the right or the jurisdiction to veto what </w:t>
      </w:r>
      <w:r>
        <w:t>distributed energy resource</w:t>
      </w:r>
      <w:r w:rsidRPr="0071268C">
        <w:t>s may join aggregations or what aggregations may participate in organized wholesale electric markets.</w:t>
      </w:r>
      <w:r w:rsidRPr="00367C29">
        <w:rPr>
          <w:rStyle w:val="FootnoteReference"/>
        </w:rPr>
        <w:footnoteReference w:id="682"/>
      </w:r>
      <w:r w:rsidRPr="0071268C">
        <w:t xml:space="preserve"> </w:t>
      </w:r>
      <w:r>
        <w:t xml:space="preserve"> </w:t>
      </w:r>
      <w:r w:rsidRPr="00D2125F">
        <w:rPr>
          <w:szCs w:val="26"/>
        </w:rPr>
        <w:t xml:space="preserve">Advanced Energy Management states that giving distribution utilities discretionary authority to approve </w:t>
      </w:r>
      <w:r>
        <w:rPr>
          <w:szCs w:val="26"/>
        </w:rPr>
        <w:t>distributed energy resource</w:t>
      </w:r>
      <w:r w:rsidRPr="00D2125F">
        <w:rPr>
          <w:szCs w:val="26"/>
        </w:rPr>
        <w:t>s “could usurp FERC’s clear jurisdiction over the conditions for wholesale market eligibility.”</w:t>
      </w:r>
      <w:r w:rsidRPr="00367C29">
        <w:rPr>
          <w:rStyle w:val="FootnoteReference"/>
        </w:rPr>
        <w:footnoteReference w:id="683"/>
      </w:r>
      <w:r w:rsidRPr="00D2125F">
        <w:rPr>
          <w:szCs w:val="26"/>
        </w:rPr>
        <w:t xml:space="preserve">  </w:t>
      </w:r>
      <w:r w:rsidRPr="0071268C">
        <w:t xml:space="preserve">Similarly, </w:t>
      </w:r>
      <w:r w:rsidRPr="00D2125F">
        <w:rPr>
          <w:szCs w:val="26"/>
        </w:rPr>
        <w:t>S</w:t>
      </w:r>
      <w:r w:rsidR="006C61F3">
        <w:rPr>
          <w:szCs w:val="26"/>
        </w:rPr>
        <w:t>EIA</w:t>
      </w:r>
      <w:r w:rsidRPr="00D2125F">
        <w:rPr>
          <w:szCs w:val="26"/>
        </w:rPr>
        <w:t xml:space="preserve"> suggests that the discretion of distribution utilities should be limited to violations of interconnection agreements and that it would be inappropriate for distribution utilities to have veto rights over </w:t>
      </w:r>
      <w:r>
        <w:rPr>
          <w:szCs w:val="26"/>
        </w:rPr>
        <w:t>distributed energy resource</w:t>
      </w:r>
      <w:r w:rsidRPr="00D2125F">
        <w:rPr>
          <w:szCs w:val="26"/>
        </w:rPr>
        <w:t xml:space="preserve"> participation.</w:t>
      </w:r>
      <w:r w:rsidRPr="00367C29">
        <w:rPr>
          <w:rStyle w:val="FootnoteReference"/>
        </w:rPr>
        <w:footnoteReference w:id="684"/>
      </w:r>
      <w:r w:rsidRPr="00D2125F">
        <w:rPr>
          <w:szCs w:val="26"/>
        </w:rPr>
        <w:t xml:space="preserve">  </w:t>
      </w:r>
      <w:r w:rsidRPr="0071268C">
        <w:t>S</w:t>
      </w:r>
      <w:r w:rsidR="006C61F3">
        <w:t>EIA</w:t>
      </w:r>
      <w:r w:rsidRPr="0071268C">
        <w:t xml:space="preserve"> further draws a distinction between </w:t>
      </w:r>
      <w:r w:rsidR="004815E2">
        <w:t>existing</w:t>
      </w:r>
      <w:r w:rsidRPr="0071268C" w:rsidR="004815E2">
        <w:t xml:space="preserve"> </w:t>
      </w:r>
      <w:r w:rsidRPr="0071268C">
        <w:t xml:space="preserve">and new </w:t>
      </w:r>
      <w:r>
        <w:t>distributed energy resource</w:t>
      </w:r>
      <w:r w:rsidRPr="0071268C">
        <w:t>s.  For</w:t>
      </w:r>
      <w:r w:rsidRPr="0071268C" w:rsidDel="004815E2">
        <w:t xml:space="preserve"> </w:t>
      </w:r>
      <w:r w:rsidR="004815E2">
        <w:t>existing</w:t>
      </w:r>
      <w:r w:rsidRPr="0071268C">
        <w:t xml:space="preserve"> </w:t>
      </w:r>
      <w:r>
        <w:t>distributed energy resource</w:t>
      </w:r>
      <w:r w:rsidRPr="0071268C">
        <w:t xml:space="preserve">s that are already operating on the grid, so long as the </w:t>
      </w:r>
      <w:r>
        <w:t>distributed energy resource</w:t>
      </w:r>
      <w:r w:rsidRPr="0071268C">
        <w:t xml:space="preserve"> does not modify the generation system outside of what has already been approved, S</w:t>
      </w:r>
      <w:r w:rsidR="006C61F3">
        <w:t>EIA</w:t>
      </w:r>
      <w:r w:rsidRPr="0071268C">
        <w:t xml:space="preserve"> recommends that the Commission ensure that there is a streamlined process to ensure that the </w:t>
      </w:r>
      <w:r w:rsidR="00792A3E">
        <w:t>existing</w:t>
      </w:r>
      <w:r w:rsidRPr="0071268C" w:rsidR="00792A3E">
        <w:t xml:space="preserve"> </w:t>
      </w:r>
      <w:r>
        <w:t>distributed energy resource</w:t>
      </w:r>
      <w:r w:rsidRPr="0071268C">
        <w:t xml:space="preserve">s can participate through </w:t>
      </w:r>
      <w:r w:rsidR="00C74CC8">
        <w:t>a</w:t>
      </w:r>
      <w:r w:rsidRPr="0071268C">
        <w:t xml:space="preserve"> </w:t>
      </w:r>
      <w:r>
        <w:t>distributed energy resource</w:t>
      </w:r>
      <w:r w:rsidRPr="0071268C">
        <w:t xml:space="preserve"> </w:t>
      </w:r>
      <w:r w:rsidR="00EC6231">
        <w:t>a</w:t>
      </w:r>
      <w:r w:rsidRPr="0071268C">
        <w:t xml:space="preserve">ggregator participation model.    </w:t>
      </w:r>
    </w:p>
    <w:p w:rsidRPr="0071268C" w:rsidR="002E614A" w:rsidP="002E614A" w:rsidRDefault="002E614A" w14:paraId="4993B8F8" w14:textId="00A5803D">
      <w:pPr>
        <w:pStyle w:val="FERCparanumber"/>
        <w:autoSpaceDE w:val="0"/>
        <w:autoSpaceDN w:val="0"/>
        <w:adjustRightInd w:val="0"/>
      </w:pPr>
      <w:r>
        <w:t>Commenters in support of the NOPR proposal</w:t>
      </w:r>
      <w:r w:rsidRPr="0071268C">
        <w:t xml:space="preserve"> urge the Commission to include limits on the scope of this review or adopt specific parameters for this review.  Global Cold Chain Alliance and Viking Cold Solutions </w:t>
      </w:r>
      <w:r>
        <w:t>raise</w:t>
      </w:r>
      <w:r w:rsidRPr="0071268C">
        <w:t xml:space="preserve"> concern</w:t>
      </w:r>
      <w:r>
        <w:t>s</w:t>
      </w:r>
      <w:r w:rsidRPr="0071268C">
        <w:t xml:space="preserve"> about distribution review processes that prevent development and adoption of new technologies.</w:t>
      </w:r>
      <w:r w:rsidRPr="00367C29">
        <w:rPr>
          <w:rStyle w:val="FootnoteReference"/>
        </w:rPr>
        <w:footnoteReference w:id="685"/>
      </w:r>
      <w:r>
        <w:t xml:space="preserve"> </w:t>
      </w:r>
      <w:r w:rsidRPr="0071268C">
        <w:t xml:space="preserve">Advanced Energy Management and Advanced Energy Economy </w:t>
      </w:r>
      <w:r>
        <w:t xml:space="preserve">further </w:t>
      </w:r>
      <w:r w:rsidRPr="0071268C">
        <w:t xml:space="preserve">argue that distribution utilities should (1) be required to </w:t>
      </w:r>
      <w:r w:rsidR="00143621">
        <w:t>identify</w:t>
      </w:r>
      <w:r w:rsidRPr="0071268C" w:rsidR="00143621">
        <w:t xml:space="preserve"> </w:t>
      </w:r>
      <w:r w:rsidRPr="0071268C">
        <w:t xml:space="preserve">to RTOs/ISOs specific areas of their network where they have limited ability </w:t>
      </w:r>
      <w:r w:rsidR="00143621">
        <w:t>to accommodate</w:t>
      </w:r>
      <w:r w:rsidRPr="0071268C" w:rsidR="00143621">
        <w:t xml:space="preserve"> </w:t>
      </w:r>
      <w:r w:rsidRPr="0071268C">
        <w:t xml:space="preserve">additional distributed energy resource registrations, with a notification requirement only when the local ability has been exceeded; (2) </w:t>
      </w:r>
      <w:r w:rsidR="00143621">
        <w:t xml:space="preserve">allow customers and their distributed energy resource aggregators to see information provided by the utility </w:t>
      </w:r>
      <w:r w:rsidRPr="0071268C">
        <w:t xml:space="preserve">if the RTO/ISO </w:t>
      </w:r>
      <w:r w:rsidR="00143621">
        <w:t>uses that information in a decision</w:t>
      </w:r>
      <w:r w:rsidRPr="0071268C">
        <w:t xml:space="preserve"> to prohibit a distribut</w:t>
      </w:r>
      <w:r w:rsidR="00143418">
        <w:t>ed</w:t>
      </w:r>
      <w:r w:rsidRPr="0071268C">
        <w:t xml:space="preserve"> energy resource registration, and </w:t>
      </w:r>
      <w:r w:rsidR="00143621">
        <w:t>provide</w:t>
      </w:r>
      <w:r w:rsidRPr="0071268C">
        <w:t xml:space="preserve"> the ability to appeal </w:t>
      </w:r>
      <w:r w:rsidR="00143621">
        <w:t xml:space="preserve">such a </w:t>
      </w:r>
      <w:r w:rsidRPr="0071268C">
        <w:t>rejection; and (3) be prohibited from registering customers in their own distributed energy resource aggregations that they had previously disqualified for reliability reasons.</w:t>
      </w:r>
      <w:r w:rsidRPr="00367C29">
        <w:rPr>
          <w:rStyle w:val="FootnoteReference"/>
        </w:rPr>
        <w:footnoteReference w:id="686"/>
      </w:r>
      <w:r w:rsidRPr="0071268C">
        <w:t xml:space="preserve">  Advanced Energy Management also recommends that there should be no requirement for distribution utilities to review distributed energy resource registrations unless the customers are exporting to the grid.</w:t>
      </w:r>
      <w:r w:rsidRPr="00367C29">
        <w:rPr>
          <w:rStyle w:val="FootnoteReference"/>
        </w:rPr>
        <w:footnoteReference w:id="687"/>
      </w:r>
      <w:r w:rsidRPr="0071268C">
        <w:t xml:space="preserve">  After </w:t>
      </w:r>
      <w:r w:rsidRPr="00B3310E">
        <w:t>a specific timeline of review</w:t>
      </w:r>
      <w:r w:rsidRPr="0071268C">
        <w:t xml:space="preserve">, Advanced Energy Management and Tesla recommend that the distribution utility still be given the opportunity to notify the RTO/ISO if the </w:t>
      </w:r>
      <w:r>
        <w:t>distributed energy resource</w:t>
      </w:r>
      <w:r w:rsidRPr="0071268C">
        <w:t xml:space="preserve"> </w:t>
      </w:r>
      <w:r w:rsidR="00FF192F">
        <w:t>does</w:t>
      </w:r>
      <w:r w:rsidRPr="0071268C" w:rsidR="00FF192F">
        <w:t xml:space="preserve"> </w:t>
      </w:r>
      <w:r w:rsidRPr="0071268C">
        <w:t xml:space="preserve">not have the necessary interconnection agreements or </w:t>
      </w:r>
      <w:r w:rsidR="004551BF">
        <w:t xml:space="preserve">is </w:t>
      </w:r>
      <w:r w:rsidRPr="0071268C">
        <w:t>participating in a retail tariff that did not allow wholesale participation.</w:t>
      </w:r>
      <w:r w:rsidRPr="00367C29">
        <w:rPr>
          <w:rStyle w:val="FootnoteReference"/>
        </w:rPr>
        <w:footnoteReference w:id="688"/>
      </w:r>
      <w:r w:rsidRPr="0071268C">
        <w:t xml:space="preserve"> </w:t>
      </w:r>
      <w:r w:rsidR="000C164C">
        <w:t xml:space="preserve"> </w:t>
      </w:r>
      <w:r w:rsidRPr="0071268C">
        <w:t xml:space="preserve">In these limited “exception only” models, distribution utilities are not provided the ability to approve </w:t>
      </w:r>
      <w:r>
        <w:t>distributed energy resource</w:t>
      </w:r>
      <w:r w:rsidRPr="0071268C">
        <w:t xml:space="preserve"> participation in </w:t>
      </w:r>
      <w:r w:rsidR="000C164C">
        <w:t>Commission</w:t>
      </w:r>
      <w:r w:rsidRPr="0071268C">
        <w:t>-jurisdictional markets, but may review and raise objections.</w:t>
      </w:r>
      <w:r w:rsidRPr="00367C29">
        <w:rPr>
          <w:rStyle w:val="FootnoteReference"/>
        </w:rPr>
        <w:footnoteReference w:id="689"/>
      </w:r>
      <w:r w:rsidRPr="0071268C">
        <w:t xml:space="preserve">  Advanced Energy Management and Stem state that distribution utilities should exercise their authority prior to a </w:t>
      </w:r>
      <w:r>
        <w:t>distributed energy resource</w:t>
      </w:r>
      <w:r w:rsidRPr="0071268C">
        <w:t xml:space="preserve">’s registration in a RTO/ISO by defining non-discriminatory interconnection procedures that ensure the distribution grid can accommodate </w:t>
      </w:r>
      <w:r>
        <w:t>distributed energy resource</w:t>
      </w:r>
      <w:r w:rsidRPr="0071268C">
        <w:t xml:space="preserve">s, whether or not a </w:t>
      </w:r>
      <w:r>
        <w:t>distributed energy resource</w:t>
      </w:r>
      <w:r w:rsidRPr="0071268C">
        <w:t xml:space="preserve"> aggregation participated in a wholesale transaction.</w:t>
      </w:r>
      <w:r w:rsidRPr="00367C29">
        <w:rPr>
          <w:rStyle w:val="FootnoteReference"/>
        </w:rPr>
        <w:footnoteReference w:id="690"/>
      </w:r>
      <w:r w:rsidRPr="0071268C">
        <w:t xml:space="preserve">  </w:t>
      </w:r>
    </w:p>
    <w:p w:rsidRPr="00AC20F1" w:rsidR="002E614A" w:rsidP="002E614A" w:rsidRDefault="002E614A" w14:paraId="432BE7EC" w14:textId="02DBDB6E">
      <w:pPr>
        <w:pStyle w:val="FERCparanumber"/>
        <w:autoSpaceDE w:val="0"/>
        <w:autoSpaceDN w:val="0"/>
        <w:adjustRightInd w:val="0"/>
        <w:rPr>
          <w:b/>
        </w:rPr>
      </w:pPr>
      <w:r>
        <w:t>Multiple commenters suggest specific review criteria</w:t>
      </w:r>
      <w:r w:rsidR="00685D57">
        <w:t xml:space="preserve"> that the distribution utilities should adhere to</w:t>
      </w:r>
      <w:r>
        <w:t xml:space="preserve">.  Several </w:t>
      </w:r>
      <w:r w:rsidRPr="0071268C">
        <w:t>commenters assert that</w:t>
      </w:r>
      <w:r w:rsidR="00143621">
        <w:t xml:space="preserve"> any</w:t>
      </w:r>
      <w:r w:rsidRPr="0071268C">
        <w:t xml:space="preserve"> denial of participation in </w:t>
      </w:r>
      <w:r>
        <w:t>distributed energy resource</w:t>
      </w:r>
      <w:r w:rsidRPr="0071268C">
        <w:t xml:space="preserve"> aggregation should only be based on specif</w:t>
      </w:r>
      <w:r w:rsidR="00120313">
        <w:t>ied</w:t>
      </w:r>
      <w:r w:rsidRPr="0071268C">
        <w:t xml:space="preserve"> operational coordination and reliability concerns, such as violation of state-regulated interconnection protocols and agreements that address binding distribution system constraints and reflect non-discriminatory agreements on exporting energy to the grid, or reflect customers who already participate in tariffs or other agreements that disallow wholesale participation.</w:t>
      </w:r>
      <w:r w:rsidRPr="00367C29">
        <w:rPr>
          <w:rStyle w:val="FootnoteReference"/>
        </w:rPr>
        <w:footnoteReference w:id="691"/>
      </w:r>
      <w:r w:rsidRPr="0071268C">
        <w:t xml:space="preserve">  NRECA offers the following criteria:  that the participation of a </w:t>
      </w:r>
      <w:r>
        <w:t>distributed energy resource</w:t>
      </w:r>
      <w:r w:rsidRPr="0071268C">
        <w:t xml:space="preserve"> in an aggregation will not create any safety, reliability or power quality concerns on their systems, and that implementation of </w:t>
      </w:r>
      <w:r>
        <w:t>distributed energy resource</w:t>
      </w:r>
      <w:r w:rsidRPr="0071268C">
        <w:t xml:space="preserve"> aggregation will conform to the requirements of the IEEE standards.</w:t>
      </w:r>
      <w:r w:rsidRPr="00367C29">
        <w:rPr>
          <w:rStyle w:val="FootnoteReference"/>
        </w:rPr>
        <w:footnoteReference w:id="692"/>
      </w:r>
      <w:r w:rsidRPr="0071268C">
        <w:t xml:space="preserve">  NYISO Indicated Transmission Owners suggest that any interconnection agreement for a </w:t>
      </w:r>
      <w:r>
        <w:t>distributed energy resource</w:t>
      </w:r>
      <w:r w:rsidRPr="0071268C">
        <w:t xml:space="preserve"> participating in an aggregation </w:t>
      </w:r>
      <w:r>
        <w:t xml:space="preserve">must </w:t>
      </w:r>
      <w:r w:rsidRPr="0071268C">
        <w:t xml:space="preserve">demonstrate the ability of an individual </w:t>
      </w:r>
      <w:r>
        <w:t>distributed energy resource</w:t>
      </w:r>
      <w:r w:rsidRPr="0071268C">
        <w:t xml:space="preserve"> to (</w:t>
      </w:r>
      <w:r w:rsidR="00143621">
        <w:t>1</w:t>
      </w:r>
      <w:r w:rsidRPr="0071268C">
        <w:t>) participate in an aggregation</w:t>
      </w:r>
      <w:r w:rsidR="001A1301">
        <w:t>;</w:t>
      </w:r>
      <w:r w:rsidRPr="0071268C">
        <w:t xml:space="preserve"> (</w:t>
      </w:r>
      <w:r w:rsidR="00143621">
        <w:t>2</w:t>
      </w:r>
      <w:r w:rsidRPr="0071268C">
        <w:t>) communicate essential information to the distribution system operator and RTO/ISO using RTO/ISO communication and operating protocols, as appropriate</w:t>
      </w:r>
      <w:r w:rsidR="00CC2A65">
        <w:t>;</w:t>
      </w:r>
      <w:r w:rsidRPr="0071268C">
        <w:t xml:space="preserve"> and </w:t>
      </w:r>
      <w:r w:rsidR="00BC32A0">
        <w:t>(</w:t>
      </w:r>
      <w:r w:rsidR="00143621">
        <w:t>3</w:t>
      </w:r>
      <w:r w:rsidR="00BC32A0">
        <w:t xml:space="preserve">) </w:t>
      </w:r>
      <w:r w:rsidRPr="0071268C">
        <w:t>meet RTO/ISO performance standards.</w:t>
      </w:r>
      <w:r w:rsidRPr="00367C29">
        <w:rPr>
          <w:rStyle w:val="FootnoteReference"/>
        </w:rPr>
        <w:footnoteReference w:id="693"/>
      </w:r>
      <w:r w:rsidRPr="0071268C">
        <w:t xml:space="preserve">  P</w:t>
      </w:r>
      <w:r>
        <w:t>acific Gas &amp; Electric</w:t>
      </w:r>
      <w:r w:rsidRPr="0071268C">
        <w:t xml:space="preserve"> recommends </w:t>
      </w:r>
      <w:r w:rsidR="00143621">
        <w:t>that</w:t>
      </w:r>
      <w:r w:rsidRPr="0071268C">
        <w:t xml:space="preserve"> an individual </w:t>
      </w:r>
      <w:r>
        <w:t>distributed energy resource</w:t>
      </w:r>
      <w:r w:rsidR="00143621">
        <w:t xml:space="preserve"> wishing</w:t>
      </w:r>
      <w:r w:rsidRPr="0071268C">
        <w:t xml:space="preserve"> to participate in an aggregation</w:t>
      </w:r>
      <w:r w:rsidR="004F32DB">
        <w:t xml:space="preserve"> </w:t>
      </w:r>
      <w:r w:rsidRPr="0071268C">
        <w:t>(</w:t>
      </w:r>
      <w:r w:rsidR="00143621">
        <w:t>1</w:t>
      </w:r>
      <w:r w:rsidRPr="0071268C">
        <w:t>) will not cause voltage problems or overload existing equipment; (</w:t>
      </w:r>
      <w:r w:rsidR="00143621">
        <w:t>2</w:t>
      </w:r>
      <w:r w:rsidRPr="0071268C">
        <w:t xml:space="preserve">) is able to comply with requirements in its individual interconnection agreement when operated in </w:t>
      </w:r>
      <w:r w:rsidR="00961742">
        <w:t xml:space="preserve">the </w:t>
      </w:r>
      <w:r w:rsidRPr="0071268C">
        <w:t>aggregate; and (</w:t>
      </w:r>
      <w:r w:rsidR="00143621">
        <w:t>3</w:t>
      </w:r>
      <w:r w:rsidRPr="0071268C">
        <w:t xml:space="preserve">) is not already participating in another </w:t>
      </w:r>
      <w:r>
        <w:t>distributed energy resource</w:t>
      </w:r>
      <w:r w:rsidRPr="0071268C">
        <w:t xml:space="preserve"> aggregation.</w:t>
      </w:r>
      <w:r w:rsidRPr="00367C29">
        <w:rPr>
          <w:rStyle w:val="FootnoteReference"/>
        </w:rPr>
        <w:footnoteReference w:id="694"/>
      </w:r>
      <w:r w:rsidRPr="0071268C">
        <w:t xml:space="preserve">  EEI argues that the criteria to determine </w:t>
      </w:r>
      <w:r>
        <w:t>distributed energy resource</w:t>
      </w:r>
      <w:r w:rsidRPr="0071268C">
        <w:t xml:space="preserve"> participation should be “good utility practice.”</w:t>
      </w:r>
      <w:r w:rsidRPr="00367C29">
        <w:rPr>
          <w:rStyle w:val="FootnoteReference"/>
        </w:rPr>
        <w:footnoteReference w:id="695"/>
      </w:r>
      <w:r w:rsidRPr="0071268C">
        <w:t xml:space="preserve">  </w:t>
      </w:r>
      <w:r w:rsidRPr="0071268C" w:rsidR="008A3C8B">
        <w:t>In a similar vein, several commenters request clear standards or guidelines for distribution utility review</w:t>
      </w:r>
      <w:r w:rsidR="001A5874">
        <w:t xml:space="preserve">, </w:t>
      </w:r>
      <w:r w:rsidR="00057220">
        <w:t>while APPA</w:t>
      </w:r>
      <w:r w:rsidR="00374B7E">
        <w:t xml:space="preserve"> </w:t>
      </w:r>
      <w:r w:rsidR="00CB3E79">
        <w:t xml:space="preserve">conversely </w:t>
      </w:r>
      <w:r w:rsidR="00374B7E">
        <w:t xml:space="preserve">urges the Commission to </w:t>
      </w:r>
      <w:r w:rsidR="00786A95">
        <w:t>allow for flexibility in the criteria adopted</w:t>
      </w:r>
      <w:r w:rsidR="00CB3E79">
        <w:t xml:space="preserve"> by distribution utilities</w:t>
      </w:r>
      <w:r w:rsidRPr="0071268C" w:rsidR="008A3C8B">
        <w:t>.</w:t>
      </w:r>
      <w:r w:rsidR="009D1BAF">
        <w:rPr>
          <w:rStyle w:val="FootnoteReference"/>
        </w:rPr>
        <w:footnoteReference w:id="696"/>
      </w:r>
    </w:p>
    <w:p w:rsidRPr="0071268C" w:rsidR="002E614A" w:rsidP="002E614A" w:rsidRDefault="002E614A" w14:paraId="066D1CCF" w14:textId="6D3B77EB">
      <w:pPr>
        <w:pStyle w:val="FERCparanumber"/>
        <w:autoSpaceDE w:val="0"/>
        <w:autoSpaceDN w:val="0"/>
        <w:adjustRightInd w:val="0"/>
        <w:rPr>
          <w:b/>
        </w:rPr>
      </w:pPr>
      <w:r w:rsidRPr="0071268C">
        <w:t xml:space="preserve">Stem and Tesla/SolarCity do not support the NOPR proposal on distribution utility review and recommend </w:t>
      </w:r>
      <w:r w:rsidR="008D0EF4">
        <w:t xml:space="preserve">that </w:t>
      </w:r>
      <w:r w:rsidRPr="0071268C">
        <w:t xml:space="preserve">limits be placed on this review if the Commission chooses to include the requirement in </w:t>
      </w:r>
      <w:r w:rsidR="00AE164C">
        <w:t>a final rule</w:t>
      </w:r>
      <w:r w:rsidRPr="0071268C">
        <w:t xml:space="preserve">.  Stem argues that the Commission should </w:t>
      </w:r>
      <w:r>
        <w:t xml:space="preserve">not </w:t>
      </w:r>
      <w:r w:rsidRPr="0071268C">
        <w:t xml:space="preserve">give local distribution utilities carte blanche to deny a distributed energy resource eligibility to participate in </w:t>
      </w:r>
      <w:r>
        <w:t>a distributed energy resource aggregation, RTO/ISO</w:t>
      </w:r>
      <w:r w:rsidRPr="0071268C">
        <w:t xml:space="preserve"> markets, or other participation model.</w:t>
      </w:r>
      <w:r w:rsidRPr="00367C29">
        <w:rPr>
          <w:rStyle w:val="FootnoteReference"/>
        </w:rPr>
        <w:footnoteReference w:id="697"/>
      </w:r>
      <w:r w:rsidRPr="0071268C">
        <w:t xml:space="preserve">  Stem recommends an alternative default approach that allows participation unless the local utility provides a specific, credible safety or reliability risk.</w:t>
      </w:r>
      <w:r w:rsidRPr="00367C29">
        <w:rPr>
          <w:rStyle w:val="FootnoteReference"/>
        </w:rPr>
        <w:footnoteReference w:id="698"/>
      </w:r>
      <w:r w:rsidRPr="0071268C">
        <w:t xml:space="preserve">  Tesla/SolarCity argue that having an appropriate level of communication between the RTO/ISO and distribution utility eliminates the need for distribution utilit</w:t>
      </w:r>
      <w:r>
        <w:t xml:space="preserve">y </w:t>
      </w:r>
      <w:r w:rsidRPr="0071268C">
        <w:t>review.</w:t>
      </w:r>
      <w:r w:rsidRPr="00367C29">
        <w:rPr>
          <w:rStyle w:val="FootnoteReference"/>
        </w:rPr>
        <w:footnoteReference w:id="699"/>
      </w:r>
    </w:p>
    <w:p w:rsidRPr="0071268C" w:rsidR="002E614A" w:rsidP="002E614A" w:rsidRDefault="001C5B93" w14:paraId="22F6DD09" w14:textId="17E5BD09">
      <w:pPr>
        <w:pStyle w:val="FERCparanumber"/>
        <w:autoSpaceDE w:val="0"/>
        <w:autoSpaceDN w:val="0"/>
        <w:adjustRightInd w:val="0"/>
      </w:pPr>
      <w:r>
        <w:t>Commenters also express differing opinions on t</w:t>
      </w:r>
      <w:r w:rsidRPr="0071268C" w:rsidR="002E614A">
        <w:t xml:space="preserve">he length of time required to conduct the review of </w:t>
      </w:r>
      <w:r w:rsidR="002E614A">
        <w:t>distributed energy resource</w:t>
      </w:r>
      <w:r w:rsidRPr="0071268C" w:rsidR="002E614A">
        <w:t xml:space="preserve"> participation.  </w:t>
      </w:r>
      <w:r w:rsidR="009C136D">
        <w:t>Several</w:t>
      </w:r>
      <w:r w:rsidRPr="0071268C" w:rsidR="002E614A">
        <w:t xml:space="preserve"> distribution utilities </w:t>
      </w:r>
      <w:r w:rsidR="002E614A">
        <w:t xml:space="preserve">recommend that </w:t>
      </w:r>
      <w:r w:rsidR="0010502B">
        <w:t>a reasonable timetable</w:t>
      </w:r>
      <w:r w:rsidR="009C136D">
        <w:t xml:space="preserve"> or</w:t>
      </w:r>
      <w:r w:rsidR="002E614A">
        <w:t xml:space="preserve"> no time limits be established for review, and </w:t>
      </w:r>
      <w:r w:rsidRPr="0071268C" w:rsidR="002E614A">
        <w:t xml:space="preserve">argue that sufficient time is needed for review and/or consultation between the </w:t>
      </w:r>
      <w:r w:rsidR="002E614A">
        <w:t>distributed energy resource</w:t>
      </w:r>
      <w:r w:rsidRPr="0071268C" w:rsidR="002E614A">
        <w:t xml:space="preserve"> aggregator and distribution utility to ensure the distribution grid can be operated in a safe and reliable manner during the aggregated </w:t>
      </w:r>
      <w:r w:rsidR="002E614A">
        <w:t>distributed energy resource</w:t>
      </w:r>
      <w:r w:rsidRPr="0071268C" w:rsidR="002E614A">
        <w:t xml:space="preserve"> operating conditions.</w:t>
      </w:r>
      <w:r w:rsidRPr="00367C29" w:rsidR="002E614A">
        <w:rPr>
          <w:rStyle w:val="FootnoteReference"/>
        </w:rPr>
        <w:footnoteReference w:id="700"/>
      </w:r>
      <w:r w:rsidRPr="0071268C" w:rsidR="002E614A">
        <w:t xml:space="preserve">  </w:t>
      </w:r>
      <w:r w:rsidR="002E614A">
        <w:t>Distributed energy resource</w:t>
      </w:r>
      <w:r w:rsidRPr="0071268C" w:rsidR="002E614A">
        <w:t xml:space="preserve"> providers, such as Stem, take the opposite view and assert that RTOs and ISOs are not obligated to wait for the distribution utility to review the registration of a </w:t>
      </w:r>
      <w:r w:rsidR="002E614A">
        <w:t>distributed energy resource</w:t>
      </w:r>
      <w:r w:rsidRPr="0071268C" w:rsidR="002E614A">
        <w:t xml:space="preserve"> if the </w:t>
      </w:r>
      <w:r w:rsidR="002E614A">
        <w:t>distributed energy resource</w:t>
      </w:r>
      <w:r w:rsidRPr="0071268C" w:rsidR="002E614A">
        <w:t xml:space="preserve"> can prove it has completed </w:t>
      </w:r>
      <w:r w:rsidR="002E614A">
        <w:t xml:space="preserve">an </w:t>
      </w:r>
      <w:r w:rsidRPr="0071268C" w:rsidR="002E614A">
        <w:t>applicable state-level interconnection process.</w:t>
      </w:r>
      <w:r w:rsidRPr="00367C29" w:rsidR="002E614A">
        <w:rPr>
          <w:rStyle w:val="FootnoteReference"/>
        </w:rPr>
        <w:footnoteReference w:id="701"/>
      </w:r>
      <w:r w:rsidRPr="0071268C" w:rsidR="002E614A">
        <w:t xml:space="preserve">  Nevertheless, </w:t>
      </w:r>
      <w:r w:rsidR="005256E1">
        <w:t>several commenters</w:t>
      </w:r>
      <w:r w:rsidRPr="0071268C" w:rsidR="002E614A">
        <w:t xml:space="preserve"> agree that it would be reasonable for an </w:t>
      </w:r>
      <w:r w:rsidR="0012121B">
        <w:t>RTO/</w:t>
      </w:r>
      <w:r w:rsidRPr="0071268C" w:rsidR="002E614A">
        <w:t xml:space="preserve">ISO to pause registration of a </w:t>
      </w:r>
      <w:r w:rsidR="002E614A">
        <w:t>distributed energy resource</w:t>
      </w:r>
      <w:r w:rsidRPr="0071268C" w:rsidR="002E614A">
        <w:t xml:space="preserve"> to provide time (e.g., 10 days or CAISO’s 30</w:t>
      </w:r>
      <w:r w:rsidR="008C6E64">
        <w:t>-</w:t>
      </w:r>
      <w:r w:rsidRPr="0071268C" w:rsidR="002E614A">
        <w:t xml:space="preserve">day timeline) for the distribution utility to ensure that sufficient interconnection procedures </w:t>
      </w:r>
      <w:r w:rsidR="008C6E64">
        <w:t>have</w:t>
      </w:r>
      <w:r w:rsidRPr="0071268C" w:rsidR="008C6E64">
        <w:t xml:space="preserve"> </w:t>
      </w:r>
      <w:r w:rsidRPr="0071268C" w:rsidR="002E614A">
        <w:t>been followed and approved interconnection agreements are in place, but they do not recommend the Commission requir</w:t>
      </w:r>
      <w:r w:rsidR="00412AD5">
        <w:t>e</w:t>
      </w:r>
      <w:r w:rsidRPr="0071268C" w:rsidR="002E614A">
        <w:t xml:space="preserve"> a specific timeline.</w:t>
      </w:r>
      <w:r w:rsidRPr="00367C29" w:rsidR="002E614A">
        <w:rPr>
          <w:rStyle w:val="FootnoteReference"/>
        </w:rPr>
        <w:footnoteReference w:id="702"/>
      </w:r>
      <w:r w:rsidRPr="0071268C" w:rsidR="002E614A">
        <w:t xml:space="preserve">  Icetec specifically requests that RTO/ISO rules be developed on the procedures and timelines for distribution-level studies if there is no state and local regulatory tariff governing these studies.</w:t>
      </w:r>
      <w:r w:rsidRPr="00367C29" w:rsidR="002E614A">
        <w:rPr>
          <w:rStyle w:val="FootnoteReference"/>
        </w:rPr>
        <w:footnoteReference w:id="703"/>
      </w:r>
    </w:p>
    <w:p w:rsidRPr="0071268C" w:rsidR="002E614A" w:rsidP="002E614A" w:rsidRDefault="002E614A" w14:paraId="738A5FB5" w14:textId="527EAFBD">
      <w:pPr>
        <w:pStyle w:val="FERCparanumber"/>
        <w:autoSpaceDE w:val="0"/>
        <w:autoSpaceDN w:val="0"/>
        <w:adjustRightInd w:val="0"/>
      </w:pPr>
      <w:r w:rsidRPr="0071268C">
        <w:t>RTOs/ISOs support the NOPR proposal but raise questions about their role in aggregation approvals and dispute resolution, communication system requirements, and the extent of the coordination proposed by the Commission.</w:t>
      </w:r>
      <w:r w:rsidRPr="00367C29">
        <w:rPr>
          <w:rStyle w:val="FootnoteReference"/>
        </w:rPr>
        <w:footnoteReference w:id="704"/>
      </w:r>
      <w:r w:rsidRPr="0071268C">
        <w:t xml:space="preserve">  PJM argue</w:t>
      </w:r>
      <w:r>
        <w:t>s</w:t>
      </w:r>
      <w:r w:rsidRPr="0071268C">
        <w:t xml:space="preserve"> that the registration process and timing </w:t>
      </w:r>
      <w:r w:rsidR="00274387">
        <w:t xml:space="preserve">needed </w:t>
      </w:r>
      <w:r w:rsidRPr="0071268C">
        <w:t>to participate in an RTO</w:t>
      </w:r>
      <w:r w:rsidR="003855AA">
        <w:t>/</w:t>
      </w:r>
      <w:r w:rsidRPr="0071268C">
        <w:t xml:space="preserve">ISO market should be straight forward, predictable, and transparent, and that any basis for the RTO/ISO to prohibit wholesale market participation should be set forth in </w:t>
      </w:r>
      <w:r w:rsidR="00274387">
        <w:t>its</w:t>
      </w:r>
      <w:r w:rsidRPr="0071268C">
        <w:t xml:space="preserve"> tariff.</w:t>
      </w:r>
      <w:r w:rsidRPr="00367C29">
        <w:rPr>
          <w:rStyle w:val="FootnoteReference"/>
        </w:rPr>
        <w:footnoteReference w:id="705"/>
      </w:r>
      <w:r w:rsidRPr="0071268C">
        <w:t xml:space="preserve"> </w:t>
      </w:r>
      <w:r w:rsidR="000A7394">
        <w:t xml:space="preserve"> CAISO, IRC, and </w:t>
      </w:r>
      <w:r w:rsidRPr="0071268C">
        <w:t xml:space="preserve">PJM would </w:t>
      </w:r>
      <w:r>
        <w:t xml:space="preserve">also </w:t>
      </w:r>
      <w:r w:rsidRPr="0071268C">
        <w:t xml:space="preserve">like the Commission to provide guidance on how and where disputes between the RTO/ISO and distribution utilities regarding coordination of </w:t>
      </w:r>
      <w:r>
        <w:t>distributed energy resource</w:t>
      </w:r>
      <w:r w:rsidRPr="0071268C">
        <w:t>s are to be resolved.</w:t>
      </w:r>
      <w:r w:rsidR="00B70674">
        <w:rPr>
          <w:rStyle w:val="FootnoteReference"/>
        </w:rPr>
        <w:footnoteReference w:id="706"/>
      </w:r>
      <w:r w:rsidRPr="0071268C">
        <w:t xml:space="preserve">  CAISO requests additional processes beyond sharing information</w:t>
      </w:r>
      <w:r w:rsidR="008C6E64">
        <w:t>,</w:t>
      </w:r>
      <w:r w:rsidRPr="0071268C">
        <w:t xml:space="preserve"> argu</w:t>
      </w:r>
      <w:r w:rsidR="008C6E64">
        <w:t>ing</w:t>
      </w:r>
      <w:r w:rsidRPr="0071268C">
        <w:t xml:space="preserve"> that processes are needed to resolve or mitigate any problems the distribution utility may find during </w:t>
      </w:r>
      <w:r w:rsidR="003855AA">
        <w:t>its</w:t>
      </w:r>
      <w:r w:rsidRPr="0071268C" w:rsidR="003855AA">
        <w:t xml:space="preserve"> </w:t>
      </w:r>
      <w:r w:rsidRPr="0071268C">
        <w:t>review, including developing a solution with the distributed energy resource provider.</w:t>
      </w:r>
      <w:r w:rsidRPr="00367C29">
        <w:rPr>
          <w:rStyle w:val="FootnoteReference"/>
        </w:rPr>
        <w:footnoteReference w:id="707"/>
      </w:r>
      <w:r w:rsidRPr="0071268C">
        <w:t xml:space="preserve">    </w:t>
      </w:r>
    </w:p>
    <w:p w:rsidRPr="00ED6F47" w:rsidR="00ED6F47" w:rsidP="002E614A" w:rsidRDefault="002E614A" w14:paraId="7525E36C" w14:textId="68DD10FB">
      <w:pPr>
        <w:pStyle w:val="FERCparanumber"/>
        <w:autoSpaceDE w:val="0"/>
        <w:autoSpaceDN w:val="0"/>
        <w:adjustRightInd w:val="0"/>
      </w:pPr>
      <w:r>
        <w:t>Finally, w</w:t>
      </w:r>
      <w:r w:rsidRPr="0071268C">
        <w:t>hile most comments focus on initial registration, TAPS states that a distribution utility should also be able to reopen the approval of</w:t>
      </w:r>
      <w:r w:rsidR="00AE164C">
        <w:t xml:space="preserve"> an</w:t>
      </w:r>
      <w:r w:rsidRPr="0071268C">
        <w:t xml:space="preserve"> individual </w:t>
      </w:r>
      <w:r w:rsidR="00AE164C">
        <w:t>distributed energy resource’</w:t>
      </w:r>
      <w:r w:rsidRPr="0071268C">
        <w:t xml:space="preserve">s enrollment in a </w:t>
      </w:r>
      <w:r>
        <w:t>distributed energy resource</w:t>
      </w:r>
      <w:r w:rsidRPr="0071268C">
        <w:t xml:space="preserve"> aggregation if the distribution system is reconfigured.</w:t>
      </w:r>
      <w:r w:rsidRPr="00367C29">
        <w:rPr>
          <w:rStyle w:val="FootnoteReference"/>
        </w:rPr>
        <w:footnoteReference w:id="708"/>
      </w:r>
      <w:r w:rsidRPr="0071268C">
        <w:t xml:space="preserve">  </w:t>
      </w:r>
    </w:p>
    <w:p w:rsidR="00ED6F47" w:rsidP="00ED6F47" w:rsidRDefault="00ED6F47" w14:paraId="49928AB7" w14:textId="28DD56EC">
      <w:pPr>
        <w:pStyle w:val="Heading4"/>
      </w:pPr>
      <w:bookmarkStart w:name="_bmk70" w:id="113"/>
      <w:r>
        <w:t>C</w:t>
      </w:r>
      <w:bookmarkEnd w:id="113"/>
      <w:r>
        <w:t>ommission Determination</w:t>
      </w:r>
    </w:p>
    <w:p w:rsidR="002E614A" w:rsidP="002E614A" w:rsidRDefault="00961D4C" w14:paraId="5F108553" w14:textId="31173CED">
      <w:pPr>
        <w:pStyle w:val="FERCparanumber"/>
      </w:pPr>
      <w:r>
        <w:t xml:space="preserve">To implement </w:t>
      </w:r>
      <w:r w:rsidR="00202177">
        <w:t>§</w:t>
      </w:r>
      <w:r>
        <w:t xml:space="preserve"> </w:t>
      </w:r>
      <w:r w:rsidRPr="00961D4C">
        <w:t>35.28(g)(1</w:t>
      </w:r>
      <w:r w:rsidR="00CD5DB1">
        <w:t>2</w:t>
      </w:r>
      <w:r w:rsidRPr="00961D4C">
        <w:t>)(ii)(g)</w:t>
      </w:r>
      <w:r>
        <w:t xml:space="preserve"> of the Commission’s regulations, w</w:t>
      </w:r>
      <w:r w:rsidR="00C2271F">
        <w:t>e</w:t>
      </w:r>
      <w:r w:rsidR="002E614A">
        <w:t xml:space="preserve"> adopt the NOPR proposal </w:t>
      </w:r>
      <w:r w:rsidR="009F26C7">
        <w:t>to</w:t>
      </w:r>
      <w:r w:rsidR="002E614A">
        <w:t xml:space="preserve"> require</w:t>
      </w:r>
      <w:r w:rsidR="00C257E6">
        <w:t xml:space="preserve"> each</w:t>
      </w:r>
      <w:r w:rsidR="002E614A">
        <w:t xml:space="preserve"> RTO/ISO </w:t>
      </w:r>
      <w:r w:rsidR="00FE1DEE">
        <w:t>to</w:t>
      </w:r>
      <w:r w:rsidR="005B4D00">
        <w:t xml:space="preserve"> modify its tariff to incorporate </w:t>
      </w:r>
      <w:r w:rsidR="00B34EE3">
        <w:t>a</w:t>
      </w:r>
      <w:r w:rsidR="002E614A">
        <w:t xml:space="preserve"> comprehensive and non-discriminatory process for timely </w:t>
      </w:r>
      <w:r w:rsidR="00A74CEC">
        <w:t xml:space="preserve">review by a </w:t>
      </w:r>
      <w:r w:rsidR="002E614A">
        <w:t>distribution utility of the individual distributed energy resources that comprise a distributed energy resource aggregation</w:t>
      </w:r>
      <w:r w:rsidR="00CA695B">
        <w:t xml:space="preserve">, which is triggered by initial registration </w:t>
      </w:r>
      <w:r w:rsidR="00754FB8">
        <w:t xml:space="preserve">of the distributed energy resource aggregation </w:t>
      </w:r>
      <w:r w:rsidR="00CA695B">
        <w:t xml:space="preserve">or </w:t>
      </w:r>
      <w:r w:rsidRPr="00CA695B" w:rsidR="00CA695B">
        <w:t xml:space="preserve">incremental changes to a </w:t>
      </w:r>
      <w:r w:rsidR="00CA695B">
        <w:t>distributed energy resource</w:t>
      </w:r>
      <w:r w:rsidRPr="00CA695B" w:rsidR="00CA695B">
        <w:t xml:space="preserve"> aggregation already participating in the markets</w:t>
      </w:r>
      <w:r w:rsidR="002E614A">
        <w:t>.  A</w:t>
      </w:r>
      <w:r w:rsidR="00F57A61">
        <w:t xml:space="preserve">s described below, </w:t>
      </w:r>
      <w:r w:rsidR="00CD1781">
        <w:t xml:space="preserve">each RTO/ISO must coordinate </w:t>
      </w:r>
      <w:r w:rsidR="00F927FB">
        <w:t>with distribution utilities to develop</w:t>
      </w:r>
      <w:r w:rsidR="00F57A61">
        <w:t xml:space="preserve"> a</w:t>
      </w:r>
      <w:r w:rsidR="002E614A">
        <w:t xml:space="preserve"> distribution utility review process </w:t>
      </w:r>
      <w:r w:rsidR="00F927FB">
        <w:t>that</w:t>
      </w:r>
      <w:r w:rsidR="002E614A">
        <w:t xml:space="preserve"> </w:t>
      </w:r>
      <w:r w:rsidR="00F57A61">
        <w:t>include</w:t>
      </w:r>
      <w:r w:rsidR="00F927FB">
        <w:t>s</w:t>
      </w:r>
      <w:r w:rsidR="00F57A61">
        <w:t xml:space="preserve"> criteria </w:t>
      </w:r>
      <w:r w:rsidR="00DA6E5C">
        <w:t xml:space="preserve">by which the distribution utilities </w:t>
      </w:r>
      <w:r w:rsidR="00BB3499">
        <w:t xml:space="preserve">would </w:t>
      </w:r>
      <w:r w:rsidR="003E1AB6">
        <w:t xml:space="preserve">determine whether </w:t>
      </w:r>
      <w:r w:rsidR="00DA6E5C">
        <w:t>(1)</w:t>
      </w:r>
      <w:r w:rsidR="002E614A">
        <w:t xml:space="preserve"> </w:t>
      </w:r>
      <w:r w:rsidR="00035505">
        <w:t xml:space="preserve">each </w:t>
      </w:r>
      <w:r w:rsidR="00274387">
        <w:t xml:space="preserve">proposed </w:t>
      </w:r>
      <w:r w:rsidR="002E614A">
        <w:t>distributed energy resource</w:t>
      </w:r>
      <w:r w:rsidR="00035505">
        <w:t xml:space="preserve"> is</w:t>
      </w:r>
      <w:r w:rsidR="002E614A">
        <w:t xml:space="preserve"> capable of </w:t>
      </w:r>
      <w:r w:rsidR="00C84739">
        <w:t>participation in</w:t>
      </w:r>
      <w:r w:rsidR="002E614A">
        <w:t xml:space="preserve"> a distributed energy resource aggregation</w:t>
      </w:r>
      <w:r w:rsidR="00C868B3">
        <w:t>;</w:t>
      </w:r>
      <w:r w:rsidR="002E614A">
        <w:t xml:space="preserve"> and </w:t>
      </w:r>
      <w:r w:rsidR="00DA6E5C">
        <w:t>(2)</w:t>
      </w:r>
      <w:r w:rsidR="002E614A">
        <w:t xml:space="preserve"> </w:t>
      </w:r>
      <w:r w:rsidR="00CC115E">
        <w:t xml:space="preserve">the </w:t>
      </w:r>
      <w:r w:rsidR="002E614A">
        <w:t xml:space="preserve">participation </w:t>
      </w:r>
      <w:r w:rsidR="00CC115E">
        <w:t>of</w:t>
      </w:r>
      <w:r w:rsidR="00035505">
        <w:t xml:space="preserve"> each</w:t>
      </w:r>
      <w:r w:rsidR="00CC115E">
        <w:t xml:space="preserve"> </w:t>
      </w:r>
      <w:r w:rsidRPr="00EB408C" w:rsidR="000101E9">
        <w:t>proposed</w:t>
      </w:r>
      <w:r w:rsidR="000101E9">
        <w:t xml:space="preserve"> </w:t>
      </w:r>
      <w:r w:rsidR="00CC115E">
        <w:t xml:space="preserve">distributed energy resource </w:t>
      </w:r>
      <w:r w:rsidR="002E614A">
        <w:t xml:space="preserve">in a distributed energy resource aggregation will not </w:t>
      </w:r>
      <w:r w:rsidRPr="00BC05DC" w:rsidR="002E614A">
        <w:t>pos</w:t>
      </w:r>
      <w:r w:rsidR="002E614A">
        <w:t>e</w:t>
      </w:r>
      <w:r w:rsidRPr="00BC05DC" w:rsidR="002E614A">
        <w:t xml:space="preserve"> significant risk</w:t>
      </w:r>
      <w:r w:rsidR="002E614A">
        <w:t>s</w:t>
      </w:r>
      <w:r w:rsidRPr="00BC05DC" w:rsidR="002E614A">
        <w:t xml:space="preserve"> to</w:t>
      </w:r>
      <w:r w:rsidR="006A7C43">
        <w:t xml:space="preserve"> the reliable</w:t>
      </w:r>
      <w:r w:rsidR="00060796">
        <w:t xml:space="preserve"> and safe</w:t>
      </w:r>
      <w:r w:rsidR="006A7C43">
        <w:t xml:space="preserve"> operation of the</w:t>
      </w:r>
      <w:r w:rsidRPr="00BC05DC" w:rsidR="002E614A">
        <w:t xml:space="preserve"> distribution system</w:t>
      </w:r>
      <w:r w:rsidR="002E614A">
        <w:t>.</w:t>
      </w:r>
      <w:r w:rsidR="00EB408C">
        <w:t xml:space="preserve">  </w:t>
      </w:r>
      <w:r w:rsidRPr="001C308B" w:rsidR="00EB408C">
        <w:t xml:space="preserve">To support this review process, RTOs/ISOs must share </w:t>
      </w:r>
      <w:r w:rsidRPr="001C308B" w:rsidR="0056151F">
        <w:t xml:space="preserve">with distribution utilities </w:t>
      </w:r>
      <w:r w:rsidRPr="001C308B" w:rsidR="00EB408C">
        <w:t>any necessary information and data</w:t>
      </w:r>
      <w:r w:rsidRPr="00022FDA" w:rsidR="005009BA">
        <w:t xml:space="preserve"> collected under Section IV.F of this </w:t>
      </w:r>
      <w:r w:rsidRPr="00D51270" w:rsidR="00D51270">
        <w:t>final rule</w:t>
      </w:r>
      <w:r w:rsidRPr="00022FDA" w:rsidR="005009BA">
        <w:t xml:space="preserve"> </w:t>
      </w:r>
      <w:r w:rsidRPr="001C308B" w:rsidR="00EB408C">
        <w:t>about the individual distributed energy resources participating in a distributed energy resource aggregatio</w:t>
      </w:r>
      <w:r w:rsidRPr="001C308B" w:rsidR="0056151F">
        <w:t>n</w:t>
      </w:r>
      <w:r w:rsidRPr="001C308B" w:rsidR="00EB408C">
        <w:t xml:space="preserve">.  In addition, the results of </w:t>
      </w:r>
      <w:r w:rsidRPr="004E69A7" w:rsidR="00EB408C">
        <w:t>a</w:t>
      </w:r>
      <w:r w:rsidRPr="004F3CDA" w:rsidR="00EB408C">
        <w:t xml:space="preserve"> distribution utility’s review must be incorporated into the distributed energy resource aggregation registration process.</w:t>
      </w:r>
    </w:p>
    <w:p w:rsidR="002E614A" w:rsidP="002E614A" w:rsidRDefault="002E614A" w14:paraId="17D7A196" w14:textId="24AA5CD8">
      <w:pPr>
        <w:pStyle w:val="FERCparanumber"/>
      </w:pPr>
      <w:r>
        <w:t xml:space="preserve">To </w:t>
      </w:r>
      <w:r w:rsidR="00CE7C17">
        <w:t>balance the need for</w:t>
      </w:r>
      <w:r w:rsidR="004B65A5">
        <w:t xml:space="preserve"> </w:t>
      </w:r>
      <w:r w:rsidR="00CE7C17">
        <w:t xml:space="preserve">distribution utility review </w:t>
      </w:r>
      <w:r w:rsidR="00BB3499">
        <w:t xml:space="preserve">with the need to avoid </w:t>
      </w:r>
      <w:r>
        <w:t>creat</w:t>
      </w:r>
      <w:r w:rsidR="00CE7C17">
        <w:t>ing</w:t>
      </w:r>
      <w:r>
        <w:t xml:space="preserve"> </w:t>
      </w:r>
      <w:r w:rsidR="001B2427">
        <w:t xml:space="preserve">potential </w:t>
      </w:r>
      <w:r w:rsidRPr="00BC05DC">
        <w:t xml:space="preserve">barriers </w:t>
      </w:r>
      <w:r>
        <w:t>to distributed energy resource aggregation</w:t>
      </w:r>
      <w:r w:rsidR="003E156F">
        <w:t>, as</w:t>
      </w:r>
      <w:r>
        <w:t xml:space="preserve"> </w:t>
      </w:r>
      <w:r w:rsidR="00274387">
        <w:t xml:space="preserve">noted </w:t>
      </w:r>
      <w:r>
        <w:t xml:space="preserve">by commenters, </w:t>
      </w:r>
      <w:r w:rsidR="000062E4">
        <w:t xml:space="preserve">we require </w:t>
      </w:r>
      <w:r w:rsidR="00CA5347">
        <w:t>each</w:t>
      </w:r>
      <w:r w:rsidR="000062E4">
        <w:t xml:space="preserve"> RTO/ISO to demonstrate on compliance with this </w:t>
      </w:r>
      <w:r w:rsidRPr="00D51270" w:rsidR="00D51270">
        <w:t>final rule</w:t>
      </w:r>
      <w:r w:rsidR="005B317B">
        <w:t>, as discussed further below,</w:t>
      </w:r>
      <w:r w:rsidR="005B317B">
        <w:rPr>
          <w:rStyle w:val="FootnoteReference"/>
        </w:rPr>
        <w:footnoteReference w:id="709"/>
      </w:r>
      <w:r w:rsidR="000062E4">
        <w:t xml:space="preserve"> that </w:t>
      </w:r>
      <w:r w:rsidR="00B34EE3">
        <w:t>its proposed</w:t>
      </w:r>
      <w:r w:rsidR="000062E4">
        <w:t xml:space="preserve"> </w:t>
      </w:r>
      <w:r>
        <w:t xml:space="preserve">distribution utility </w:t>
      </w:r>
      <w:r w:rsidRPr="00BC05DC">
        <w:t xml:space="preserve">review </w:t>
      </w:r>
      <w:r w:rsidR="003245B7">
        <w:t>process</w:t>
      </w:r>
      <w:r w:rsidRPr="00BC05DC" w:rsidR="003245B7">
        <w:t xml:space="preserve"> </w:t>
      </w:r>
      <w:r w:rsidR="00B34EE3">
        <w:t>is</w:t>
      </w:r>
      <w:r w:rsidR="003245B7">
        <w:t xml:space="preserve"> transparent</w:t>
      </w:r>
      <w:r w:rsidR="00CA5347">
        <w:t>,</w:t>
      </w:r>
      <w:r w:rsidR="003245B7">
        <w:t xml:space="preserve"> </w:t>
      </w:r>
      <w:r>
        <w:t>provide</w:t>
      </w:r>
      <w:r w:rsidR="00B34EE3">
        <w:t>s</w:t>
      </w:r>
      <w:r>
        <w:t xml:space="preserve"> </w:t>
      </w:r>
      <w:r w:rsidR="00BF50B7">
        <w:t xml:space="preserve">specific </w:t>
      </w:r>
      <w:r w:rsidR="002C61E0">
        <w:t>review criteria</w:t>
      </w:r>
      <w:r w:rsidR="00BF50B7">
        <w:t xml:space="preserve"> that the distribution utilities should use</w:t>
      </w:r>
      <w:r w:rsidR="00CA5347">
        <w:t>,</w:t>
      </w:r>
      <w:r w:rsidR="002C61E0">
        <w:t xml:space="preserve"> and </w:t>
      </w:r>
      <w:r w:rsidR="00CA5347">
        <w:t>provides</w:t>
      </w:r>
      <w:r w:rsidR="002C61E0">
        <w:t xml:space="preserve"> </w:t>
      </w:r>
      <w:r>
        <w:t xml:space="preserve">adequate </w:t>
      </w:r>
      <w:r w:rsidR="00222505">
        <w:t xml:space="preserve">and reasonable </w:t>
      </w:r>
      <w:r>
        <w:t xml:space="preserve">time </w:t>
      </w:r>
      <w:r w:rsidRPr="00BC05DC">
        <w:t>for distribution utility review</w:t>
      </w:r>
      <w:r w:rsidR="00B50C90">
        <w:t>.</w:t>
      </w:r>
      <w:r w:rsidR="00BC32A0">
        <w:rPr>
          <w:rStyle w:val="FootnoteReference"/>
        </w:rPr>
        <w:footnoteReference w:id="710"/>
      </w:r>
      <w:r w:rsidRPr="00BC05DC">
        <w:t xml:space="preserve"> </w:t>
      </w:r>
      <w:r>
        <w:t xml:space="preserve"> A transparent review process with </w:t>
      </w:r>
      <w:r w:rsidR="00EC735B">
        <w:t xml:space="preserve">specific </w:t>
      </w:r>
      <w:r>
        <w:t xml:space="preserve">review criteria will allow </w:t>
      </w:r>
      <w:r w:rsidRPr="00BC05DC">
        <w:t xml:space="preserve">distribution utilities to review and identify concerns regarding </w:t>
      </w:r>
      <w:r w:rsidR="00BA473E">
        <w:t xml:space="preserve">the </w:t>
      </w:r>
      <w:r w:rsidR="005337DC">
        <w:t>ability</w:t>
      </w:r>
      <w:r w:rsidR="00BA473E">
        <w:t xml:space="preserve"> of distributed energy resources to participate in </w:t>
      </w:r>
      <w:r w:rsidR="00AE4DA4">
        <w:t xml:space="preserve">a </w:t>
      </w:r>
      <w:r>
        <w:t>distributed energy resource</w:t>
      </w:r>
      <w:r w:rsidRPr="00BC05DC">
        <w:t xml:space="preserve"> aggregat</w:t>
      </w:r>
      <w:r w:rsidR="00BA473E">
        <w:t>ion</w:t>
      </w:r>
      <w:r w:rsidRPr="00BC05DC">
        <w:t xml:space="preserve"> without posing significant </w:t>
      </w:r>
      <w:r w:rsidR="006B3149">
        <w:t xml:space="preserve">reliability </w:t>
      </w:r>
      <w:r w:rsidRPr="00BC05DC">
        <w:t xml:space="preserve">risk to the distribution system.  </w:t>
      </w:r>
      <w:r w:rsidR="00C2271F">
        <w:t>We</w:t>
      </w:r>
      <w:r>
        <w:t xml:space="preserve"> also find </w:t>
      </w:r>
      <w:r w:rsidR="00B37E57">
        <w:t xml:space="preserve">that </w:t>
      </w:r>
      <w:r w:rsidR="00386E1D">
        <w:t xml:space="preserve">allowing an RTO/ISO to design this </w:t>
      </w:r>
      <w:r w:rsidR="00026087">
        <w:t xml:space="preserve">new process </w:t>
      </w:r>
      <w:r w:rsidR="006C25E5">
        <w:t>allows</w:t>
      </w:r>
      <w:r w:rsidR="00B969E7">
        <w:t xml:space="preserve"> </w:t>
      </w:r>
      <w:r>
        <w:t>r</w:t>
      </w:r>
      <w:r w:rsidRPr="0030462C">
        <w:t xml:space="preserve">egional flexibility </w:t>
      </w:r>
      <w:r w:rsidR="00B969E7">
        <w:t>in</w:t>
      </w:r>
      <w:r w:rsidRPr="0030462C">
        <w:t xml:space="preserve"> develop</w:t>
      </w:r>
      <w:r w:rsidR="00B969E7">
        <w:t>ing</w:t>
      </w:r>
      <w:r w:rsidRPr="0030462C">
        <w:t xml:space="preserve"> review procedures appropriate for </w:t>
      </w:r>
      <w:r w:rsidR="00B969E7">
        <w:t xml:space="preserve">each particular </w:t>
      </w:r>
      <w:r w:rsidR="00EC735B">
        <w:t>RTO/ISO</w:t>
      </w:r>
      <w:r w:rsidRPr="0030462C">
        <w:t>.</w:t>
      </w:r>
      <w:r>
        <w:t xml:space="preserve">  </w:t>
      </w:r>
    </w:p>
    <w:p w:rsidR="002E614A" w:rsidP="002E614A" w:rsidRDefault="00026087" w14:paraId="465EC891" w14:textId="699211A1">
      <w:pPr>
        <w:pStyle w:val="FERCparanumber"/>
      </w:pPr>
      <w:r>
        <w:t>A</w:t>
      </w:r>
      <w:r w:rsidR="002E614A">
        <w:t xml:space="preserve">s </w:t>
      </w:r>
      <w:r w:rsidR="00BE409B">
        <w:t>explained above</w:t>
      </w:r>
      <w:r w:rsidR="002E614A">
        <w:t>,</w:t>
      </w:r>
      <w:r w:rsidR="002E614A">
        <w:rPr>
          <w:rStyle w:val="FootnoteReference"/>
        </w:rPr>
        <w:footnoteReference w:id="711"/>
      </w:r>
      <w:r w:rsidR="002E614A">
        <w:t xml:space="preserve"> </w:t>
      </w:r>
      <w:r w:rsidR="00F72DDD">
        <w:t xml:space="preserve">we decline to exercise jurisdiction over </w:t>
      </w:r>
      <w:r w:rsidR="00CA5347">
        <w:t>the</w:t>
      </w:r>
      <w:r w:rsidR="00FC079E">
        <w:t xml:space="preserve"> </w:t>
      </w:r>
      <w:r w:rsidRPr="00834C73" w:rsidR="002E614A">
        <w:t xml:space="preserve">interconnection of </w:t>
      </w:r>
      <w:r w:rsidR="002E614A">
        <w:t xml:space="preserve">an </w:t>
      </w:r>
      <w:r w:rsidRPr="00834C73" w:rsidR="002E614A">
        <w:t xml:space="preserve">individual </w:t>
      </w:r>
      <w:r w:rsidR="002E614A">
        <w:t>distributed energy resource</w:t>
      </w:r>
      <w:r w:rsidRPr="00834C73" w:rsidR="002E614A">
        <w:t xml:space="preserve"> seeking to participate in RTO/ISO markets </w:t>
      </w:r>
      <w:r w:rsidR="00D26F55">
        <w:t xml:space="preserve">exclusively </w:t>
      </w:r>
      <w:r w:rsidRPr="00834C73" w:rsidR="002E614A">
        <w:t>as part of an aggregation</w:t>
      </w:r>
      <w:r w:rsidR="002E614A">
        <w:t xml:space="preserve">.  </w:t>
      </w:r>
      <w:r>
        <w:t>We expect that t</w:t>
      </w:r>
      <w:r w:rsidR="00AE164C">
        <w:t>he s</w:t>
      </w:r>
      <w:r w:rsidR="002E614A">
        <w:t xml:space="preserve">tate and </w:t>
      </w:r>
      <w:r w:rsidRPr="00022FDA" w:rsidR="002E614A">
        <w:t xml:space="preserve">local interconnection </w:t>
      </w:r>
      <w:r w:rsidRPr="00022FDA" w:rsidR="00AE164C">
        <w:t>processes for</w:t>
      </w:r>
      <w:r w:rsidRPr="00022FDA" w:rsidR="002E614A">
        <w:t xml:space="preserve"> distributed energy resources </w:t>
      </w:r>
      <w:r w:rsidRPr="00022FDA" w:rsidR="00B37E57">
        <w:t xml:space="preserve">will </w:t>
      </w:r>
      <w:r w:rsidRPr="00022FDA" w:rsidR="002E614A">
        <w:t>provide the</w:t>
      </w:r>
      <w:r w:rsidR="002E614A">
        <w:t xml:space="preserve"> appropriate platform </w:t>
      </w:r>
      <w:r>
        <w:t>to address and study</w:t>
      </w:r>
      <w:r w:rsidR="002E614A">
        <w:t xml:space="preserve"> potential distribution system impacts and provide the necessary information to inform distribution utility review during distributed energy resource aggregation registration.  However, </w:t>
      </w:r>
      <w:r w:rsidR="00FC079E">
        <w:t>to the extent</w:t>
      </w:r>
      <w:r w:rsidR="002E614A">
        <w:t xml:space="preserve"> that some existing state and local interconnection processes </w:t>
      </w:r>
      <w:r w:rsidR="00FC079E">
        <w:t xml:space="preserve">do </w:t>
      </w:r>
      <w:r w:rsidR="002E614A">
        <w:t xml:space="preserve">not </w:t>
      </w:r>
      <w:r w:rsidR="001949FF">
        <w:t xml:space="preserve">already </w:t>
      </w:r>
      <w:r w:rsidR="002E614A">
        <w:t xml:space="preserve">capture such information, </w:t>
      </w:r>
      <w:r w:rsidR="00FC079E">
        <w:t xml:space="preserve">this </w:t>
      </w:r>
      <w:r w:rsidRPr="00D51270" w:rsidR="00D51270">
        <w:t>final rule</w:t>
      </w:r>
      <w:r w:rsidR="00FC079E">
        <w:t xml:space="preserve"> </w:t>
      </w:r>
      <w:r w:rsidR="009A16B7">
        <w:t xml:space="preserve">in no way </w:t>
      </w:r>
      <w:r w:rsidR="00FC079E">
        <w:t>prevents</w:t>
      </w:r>
      <w:r w:rsidR="002E614A">
        <w:t xml:space="preserve"> state and local regulators </w:t>
      </w:r>
      <w:r w:rsidR="009A16B7">
        <w:t xml:space="preserve">from </w:t>
      </w:r>
      <w:r w:rsidR="002E614A">
        <w:t>amend</w:t>
      </w:r>
      <w:r w:rsidR="009A16B7">
        <w:t>ing</w:t>
      </w:r>
      <w:r w:rsidR="002E614A">
        <w:t xml:space="preserve"> their interconnection processes to </w:t>
      </w:r>
      <w:r w:rsidR="007447B3">
        <w:t xml:space="preserve">address potential distribution system impacts </w:t>
      </w:r>
      <w:r>
        <w:t>that</w:t>
      </w:r>
      <w:r w:rsidR="007447B3">
        <w:t xml:space="preserve"> the participation of distributed energy resources </w:t>
      </w:r>
      <w:r w:rsidR="0070663A">
        <w:t>through</w:t>
      </w:r>
      <w:r w:rsidR="007447B3">
        <w:t xml:space="preserve"> distributed energy resource aggregations</w:t>
      </w:r>
      <w:r>
        <w:t xml:space="preserve"> may cause</w:t>
      </w:r>
      <w:r w:rsidR="002E614A">
        <w:t xml:space="preserve">.  In addition, </w:t>
      </w:r>
      <w:r w:rsidRPr="00834C73" w:rsidR="002E614A">
        <w:t xml:space="preserve">coordination </w:t>
      </w:r>
      <w:r w:rsidR="00CA5347">
        <w:t>between</w:t>
      </w:r>
      <w:r w:rsidRPr="00834C73" w:rsidR="00CA5347">
        <w:t xml:space="preserve"> </w:t>
      </w:r>
      <w:r w:rsidRPr="00834C73" w:rsidR="002E614A">
        <w:t>RTOs/ISOs</w:t>
      </w:r>
      <w:r w:rsidR="002E614A">
        <w:t>, distributed energy resource aggregators,</w:t>
      </w:r>
      <w:r w:rsidRPr="00834C73" w:rsidR="002E614A">
        <w:t xml:space="preserve"> </w:t>
      </w:r>
      <w:r w:rsidR="00BB573D">
        <w:t xml:space="preserve">relevant electric retail regulatory authorities, </w:t>
      </w:r>
      <w:r w:rsidRPr="00834C73" w:rsidR="002E614A">
        <w:t xml:space="preserve">and distribution </w:t>
      </w:r>
      <w:r w:rsidR="002E614A">
        <w:t xml:space="preserve">utilities during </w:t>
      </w:r>
      <w:r>
        <w:t xml:space="preserve">the </w:t>
      </w:r>
      <w:r w:rsidR="002E614A">
        <w:t xml:space="preserve">registration and distribution utility review </w:t>
      </w:r>
      <w:r>
        <w:t xml:space="preserve">processes </w:t>
      </w:r>
      <w:r w:rsidRPr="00834C73" w:rsidR="002E614A">
        <w:t xml:space="preserve">should </w:t>
      </w:r>
      <w:r w:rsidR="002E614A">
        <w:t xml:space="preserve">provide </w:t>
      </w:r>
      <w:r w:rsidRPr="00834C73" w:rsidR="002E614A">
        <w:t xml:space="preserve">RTOs/ISOs </w:t>
      </w:r>
      <w:r w:rsidR="005C33B1">
        <w:t xml:space="preserve">with </w:t>
      </w:r>
      <w:r w:rsidRPr="00834C73" w:rsidR="002E614A">
        <w:t xml:space="preserve">the information they need to study the impact of </w:t>
      </w:r>
      <w:r w:rsidR="003A2CF9">
        <w:t>distributed energy resource</w:t>
      </w:r>
      <w:r w:rsidRPr="00834C73" w:rsidR="003A2CF9">
        <w:t xml:space="preserve"> </w:t>
      </w:r>
      <w:r w:rsidRPr="00834C73" w:rsidR="002E614A">
        <w:t>aggregation</w:t>
      </w:r>
      <w:r w:rsidR="003A2CF9">
        <w:t>s</w:t>
      </w:r>
      <w:r w:rsidRPr="00834C73" w:rsidR="002E614A">
        <w:t xml:space="preserve"> on the transmission system.</w:t>
      </w:r>
      <w:r w:rsidR="002E614A">
        <w:t xml:space="preserve"> </w:t>
      </w:r>
      <w:r w:rsidDel="00143FE2" w:rsidR="002E614A">
        <w:t xml:space="preserve"> </w:t>
      </w:r>
    </w:p>
    <w:p w:rsidR="002E614A" w:rsidP="002E614A" w:rsidRDefault="004D6A2F" w14:paraId="3D412AAF" w14:textId="0A993E18">
      <w:pPr>
        <w:pStyle w:val="FERCparanumber"/>
      </w:pPr>
      <w:r>
        <w:t>We agree with commenters</w:t>
      </w:r>
      <w:r>
        <w:rPr>
          <w:rStyle w:val="FootnoteReference"/>
        </w:rPr>
        <w:footnoteReference w:id="712"/>
      </w:r>
      <w:r>
        <w:t xml:space="preserve"> that a lengthy review time or the lack of a deadline could </w:t>
      </w:r>
      <w:r w:rsidRPr="00BC05DC">
        <w:t xml:space="preserve">erect a barrier </w:t>
      </w:r>
      <w:r>
        <w:t>to distributed energy resource</w:t>
      </w:r>
      <w:r w:rsidRPr="00BC05DC">
        <w:t xml:space="preserve"> participation in the </w:t>
      </w:r>
      <w:r>
        <w:t>RTO/ISO</w:t>
      </w:r>
      <w:r w:rsidRPr="00BC05DC">
        <w:t xml:space="preserve"> markets</w:t>
      </w:r>
      <w:r>
        <w:t xml:space="preserve"> and may unduly delay participation</w:t>
      </w:r>
      <w:r w:rsidRPr="00BC05DC">
        <w:t xml:space="preserve">.  </w:t>
      </w:r>
      <w:r w:rsidR="002E614A">
        <w:t>I</w:t>
      </w:r>
      <w:r w:rsidRPr="00BC05DC" w:rsidR="002E614A">
        <w:t xml:space="preserve">n response to </w:t>
      </w:r>
      <w:r w:rsidR="000D6AB8">
        <w:t>these</w:t>
      </w:r>
      <w:r w:rsidRPr="00BC05DC" w:rsidR="002E614A">
        <w:t xml:space="preserve"> concerns, </w:t>
      </w:r>
      <w:r w:rsidR="006D3338">
        <w:t>we</w:t>
      </w:r>
      <w:r w:rsidR="002E614A">
        <w:t xml:space="preserve"> clarif</w:t>
      </w:r>
      <w:r w:rsidR="006D3338">
        <w:t>y</w:t>
      </w:r>
      <w:r w:rsidR="002E614A">
        <w:t xml:space="preserve"> </w:t>
      </w:r>
      <w:r w:rsidRPr="00BC05DC" w:rsidR="002E614A">
        <w:t xml:space="preserve">that any distribution utility review must be completed within a </w:t>
      </w:r>
      <w:r w:rsidR="002E614A">
        <w:t xml:space="preserve">limited, but </w:t>
      </w:r>
      <w:r w:rsidRPr="00BC05DC" w:rsidR="002E614A">
        <w:t>reasonable amount of time.</w:t>
      </w:r>
      <w:r w:rsidR="002E614A">
        <w:rPr>
          <w:rStyle w:val="FootnoteReference"/>
        </w:rPr>
        <w:footnoteReference w:id="713"/>
      </w:r>
      <w:r w:rsidRPr="00BC05DC" w:rsidR="002E614A">
        <w:t xml:space="preserve">  </w:t>
      </w:r>
      <w:r w:rsidR="000D6AB8">
        <w:t xml:space="preserve">We expect a reasonable amount of time </w:t>
      </w:r>
      <w:r w:rsidR="00F3640E">
        <w:t xml:space="preserve">may vary </w:t>
      </w:r>
      <w:r w:rsidR="00B5317F">
        <w:t>among</w:t>
      </w:r>
      <w:r w:rsidR="00F3640E">
        <w:t xml:space="preserve"> RTO</w:t>
      </w:r>
      <w:r w:rsidR="00B5317F">
        <w:t>s</w:t>
      </w:r>
      <w:r w:rsidR="00F3640E">
        <w:t>/ISO</w:t>
      </w:r>
      <w:r w:rsidR="00B5317F">
        <w:t>s</w:t>
      </w:r>
      <w:r w:rsidR="00F3640E">
        <w:t xml:space="preserve"> </w:t>
      </w:r>
      <w:r w:rsidR="00F31DD1">
        <w:t>but should</w:t>
      </w:r>
      <w:bookmarkStart w:name="_Hlk34991795" w:id="114"/>
      <w:r w:rsidRPr="007D483F" w:rsidR="007D483F">
        <w:t xml:space="preserve"> </w:t>
      </w:r>
      <w:r w:rsidR="004965C0">
        <w:t>not exceed 60 days</w:t>
      </w:r>
      <w:r w:rsidR="00083B3B">
        <w:t xml:space="preserve">.  </w:t>
      </w:r>
      <w:r w:rsidR="00F31DD1">
        <w:t>An</w:t>
      </w:r>
      <w:r w:rsidR="001875EB">
        <w:t xml:space="preserve"> </w:t>
      </w:r>
      <w:r w:rsidR="00BB379F">
        <w:t>RTO/ISO</w:t>
      </w:r>
      <w:r w:rsidR="001875EB">
        <w:t>,</w:t>
      </w:r>
      <w:r w:rsidR="00BB379F">
        <w:t xml:space="preserve"> on compliance</w:t>
      </w:r>
      <w:r w:rsidR="001875EB">
        <w:t>, should</w:t>
      </w:r>
      <w:r w:rsidR="00BB379F">
        <w:t xml:space="preserve"> </w:t>
      </w:r>
      <w:r w:rsidR="00F046BF">
        <w:t xml:space="preserve">propose a timeline </w:t>
      </w:r>
      <w:r w:rsidRPr="007D483F" w:rsidR="007D483F">
        <w:t>that reflect</w:t>
      </w:r>
      <w:r w:rsidR="001875EB">
        <w:t xml:space="preserve">s its </w:t>
      </w:r>
      <w:r w:rsidRPr="007D483F" w:rsidR="007D483F">
        <w:t xml:space="preserve">regional </w:t>
      </w:r>
      <w:r w:rsidR="001875EB">
        <w:t>needs</w:t>
      </w:r>
      <w:r w:rsidRPr="007D483F" w:rsidR="007D483F">
        <w:t>.</w:t>
      </w:r>
      <w:r w:rsidR="007D483F">
        <w:t xml:space="preserve">  </w:t>
      </w:r>
      <w:r w:rsidR="00D52784">
        <w:t xml:space="preserve">In compliance with this </w:t>
      </w:r>
      <w:r w:rsidRPr="00D51270" w:rsidR="00D51270">
        <w:t>final rule</w:t>
      </w:r>
      <w:r w:rsidR="00D52784">
        <w:t>, we</w:t>
      </w:r>
      <w:r w:rsidR="002E614A">
        <w:t xml:space="preserve"> require </w:t>
      </w:r>
      <w:r w:rsidRPr="00BC05DC" w:rsidR="002E614A">
        <w:t xml:space="preserve">each RTO/ISO to </w:t>
      </w:r>
      <w:r w:rsidR="00D52784">
        <w:t>revise</w:t>
      </w:r>
      <w:r w:rsidR="00D3537E">
        <w:t xml:space="preserve"> its tariff</w:t>
      </w:r>
      <w:r w:rsidRPr="00BC05DC" w:rsidR="002E614A">
        <w:t xml:space="preserve"> to </w:t>
      </w:r>
      <w:r w:rsidR="002E614A">
        <w:t>specify</w:t>
      </w:r>
      <w:r w:rsidR="006048CA">
        <w:t>,</w:t>
      </w:r>
      <w:r w:rsidR="002E614A">
        <w:t xml:space="preserve"> </w:t>
      </w:r>
      <w:r w:rsidR="006048CA">
        <w:t xml:space="preserve">as part of its proposed distribution utility </w:t>
      </w:r>
      <w:r w:rsidRPr="00BC05DC" w:rsidR="006048CA">
        <w:t xml:space="preserve">review </w:t>
      </w:r>
      <w:r w:rsidR="006048CA">
        <w:t xml:space="preserve">process, </w:t>
      </w:r>
      <w:r w:rsidR="00093AE7">
        <w:t>the</w:t>
      </w:r>
      <w:r w:rsidRPr="00BC05DC" w:rsidR="002E614A">
        <w:t xml:space="preserve"> time </w:t>
      </w:r>
      <w:r w:rsidR="00FA6732">
        <w:t>that</w:t>
      </w:r>
      <w:r w:rsidRPr="00BC05DC" w:rsidR="002E614A">
        <w:t xml:space="preserve"> </w:t>
      </w:r>
      <w:r w:rsidR="00FA6732">
        <w:t xml:space="preserve">a </w:t>
      </w:r>
      <w:r w:rsidRPr="00BC05DC" w:rsidR="002E614A">
        <w:t xml:space="preserve">distribution utility </w:t>
      </w:r>
      <w:r w:rsidR="00FA6732">
        <w:t xml:space="preserve">has </w:t>
      </w:r>
      <w:r w:rsidRPr="00BC05DC" w:rsidR="002E614A">
        <w:t xml:space="preserve">to </w:t>
      </w:r>
      <w:r w:rsidR="00FA6732">
        <w:t>identify</w:t>
      </w:r>
      <w:r w:rsidRPr="00BC05DC" w:rsidR="002E614A">
        <w:t xml:space="preserve"> </w:t>
      </w:r>
      <w:r w:rsidR="00FA3697">
        <w:t xml:space="preserve">any </w:t>
      </w:r>
      <w:r w:rsidRPr="00BC05DC" w:rsidR="002E614A">
        <w:t>concerns</w:t>
      </w:r>
      <w:r w:rsidR="00093AE7">
        <w:t xml:space="preserve"> regarding </w:t>
      </w:r>
      <w:r w:rsidR="00637346">
        <w:t xml:space="preserve">a </w:t>
      </w:r>
      <w:r w:rsidR="00093AE7">
        <w:t>distributed energy resource</w:t>
      </w:r>
      <w:r w:rsidRPr="00BC05DC" w:rsidR="00093AE7">
        <w:t xml:space="preserve"> </w:t>
      </w:r>
      <w:r w:rsidR="007D30C4">
        <w:t xml:space="preserve">seeking to </w:t>
      </w:r>
      <w:r w:rsidRPr="00BC05DC" w:rsidR="00093AE7">
        <w:t>participat</w:t>
      </w:r>
      <w:r w:rsidR="007D30C4">
        <w:t>e</w:t>
      </w:r>
      <w:r w:rsidRPr="00BC05DC" w:rsidR="00093AE7">
        <w:t xml:space="preserve"> in the </w:t>
      </w:r>
      <w:r w:rsidR="00093AE7">
        <w:t>RTO/ISO</w:t>
      </w:r>
      <w:r w:rsidRPr="00BC05DC" w:rsidR="00093AE7">
        <w:t xml:space="preserve"> markets</w:t>
      </w:r>
      <w:r w:rsidR="001A6A44">
        <w:t xml:space="preserve"> </w:t>
      </w:r>
      <w:r w:rsidR="00026087">
        <w:t>through an aggregation</w:t>
      </w:r>
      <w:r w:rsidR="002E614A">
        <w:t xml:space="preserve">.  </w:t>
      </w:r>
      <w:r w:rsidRPr="00BC05DC" w:rsidR="002E614A">
        <w:t xml:space="preserve">  </w:t>
      </w:r>
      <w:bookmarkEnd w:id="114"/>
    </w:p>
    <w:p w:rsidR="002E614A" w:rsidP="002E614A" w:rsidRDefault="00F57A61" w14:paraId="080F4469" w14:textId="5AF7DE1A">
      <w:pPr>
        <w:pStyle w:val="FERCparanumber"/>
      </w:pPr>
      <w:r>
        <w:t>In addition, w</w:t>
      </w:r>
      <w:r w:rsidR="00D52784">
        <w:t>e</w:t>
      </w:r>
      <w:r w:rsidR="002E614A">
        <w:t xml:space="preserve"> agree with commenters </w:t>
      </w:r>
      <w:r w:rsidR="00D52784">
        <w:t>that</w:t>
      </w:r>
      <w:r w:rsidR="002E614A">
        <w:t xml:space="preserve"> argue for </w:t>
      </w:r>
      <w:r w:rsidR="002577B3">
        <w:t>specific</w:t>
      </w:r>
      <w:r w:rsidR="002E614A">
        <w:t xml:space="preserve"> standards and criteria to guide and govern the </w:t>
      </w:r>
      <w:r w:rsidR="00D52784">
        <w:t xml:space="preserve">distribution utility review </w:t>
      </w:r>
      <w:r w:rsidR="002E614A">
        <w:t xml:space="preserve">process.  </w:t>
      </w:r>
      <w:r w:rsidR="00D025E0">
        <w:t xml:space="preserve">However, we </w:t>
      </w:r>
      <w:r w:rsidR="000E616E">
        <w:t xml:space="preserve">are </w:t>
      </w:r>
      <w:r w:rsidR="00D025E0">
        <w:t>not standardiz</w:t>
      </w:r>
      <w:r w:rsidR="000E616E">
        <w:t>ing</w:t>
      </w:r>
      <w:r w:rsidR="00D025E0">
        <w:t xml:space="preserve"> </w:t>
      </w:r>
      <w:r w:rsidR="001420B6">
        <w:t xml:space="preserve">the criteria that the RTOs/ISOs must adopt.  </w:t>
      </w:r>
      <w:r w:rsidR="006113DE">
        <w:t xml:space="preserve">We believe there </w:t>
      </w:r>
      <w:r w:rsidR="005B33A1">
        <w:t>are</w:t>
      </w:r>
      <w:r w:rsidR="006113DE">
        <w:t xml:space="preserve"> sufficient differences among the regions</w:t>
      </w:r>
      <w:r w:rsidR="00401C66">
        <w:t xml:space="preserve">, </w:t>
      </w:r>
      <w:r w:rsidRPr="00876D16" w:rsidR="00401C66">
        <w:t xml:space="preserve">such as </w:t>
      </w:r>
      <w:r w:rsidRPr="00876D16" w:rsidR="00C05A7C">
        <w:t>their</w:t>
      </w:r>
      <w:r w:rsidRPr="00876D16" w:rsidR="005F20CE">
        <w:t xml:space="preserve"> </w:t>
      </w:r>
      <w:r w:rsidRPr="00876D16" w:rsidR="00D628EC">
        <w:t xml:space="preserve">rules </w:t>
      </w:r>
      <w:r w:rsidRPr="00876D16" w:rsidR="006E578B">
        <w:t>limitin</w:t>
      </w:r>
      <w:r w:rsidRPr="00876D16" w:rsidR="00C23AED">
        <w:t>g participation in different programs</w:t>
      </w:r>
      <w:r w:rsidR="00C05A7C">
        <w:t>,</w:t>
      </w:r>
      <w:r w:rsidR="006113DE">
        <w:t xml:space="preserve"> to warrant flexibility in determining </w:t>
      </w:r>
      <w:r w:rsidR="00551479">
        <w:t>specific standardized</w:t>
      </w:r>
      <w:r w:rsidR="006113DE">
        <w:t xml:space="preserve"> criteria.  </w:t>
      </w:r>
      <w:r w:rsidR="00551479">
        <w:t>O</w:t>
      </w:r>
      <w:r w:rsidR="009A6844">
        <w:t>n</w:t>
      </w:r>
      <w:r w:rsidR="00DF3971">
        <w:t xml:space="preserve"> compliance with this </w:t>
      </w:r>
      <w:r w:rsidRPr="00D51270" w:rsidR="00D51270">
        <w:t>final rule</w:t>
      </w:r>
      <w:r w:rsidR="00DF3971">
        <w:t>, we</w:t>
      </w:r>
      <w:r w:rsidR="002E614A">
        <w:t xml:space="preserve"> require that </w:t>
      </w:r>
      <w:r w:rsidR="00DF3971">
        <w:t xml:space="preserve">each </w:t>
      </w:r>
      <w:r w:rsidR="002E614A">
        <w:t xml:space="preserve">RTO/ISO </w:t>
      </w:r>
      <w:r w:rsidR="00DF3971">
        <w:t>revise its</w:t>
      </w:r>
      <w:r w:rsidR="00D3537E">
        <w:t xml:space="preserve"> tariff to include</w:t>
      </w:r>
      <w:r w:rsidR="002E614A">
        <w:t xml:space="preserve">, </w:t>
      </w:r>
      <w:r w:rsidR="006048CA">
        <w:t xml:space="preserve">as part of its proposed distribution utility </w:t>
      </w:r>
      <w:r w:rsidRPr="00BC05DC" w:rsidR="006048CA">
        <w:t xml:space="preserve">review </w:t>
      </w:r>
      <w:r w:rsidR="006048CA">
        <w:t xml:space="preserve">processes, </w:t>
      </w:r>
      <w:r w:rsidR="00FA3697">
        <w:t xml:space="preserve">the </w:t>
      </w:r>
      <w:r>
        <w:t xml:space="preserve">distribution </w:t>
      </w:r>
      <w:r w:rsidR="002E614A">
        <w:t xml:space="preserve">utility review criteria </w:t>
      </w:r>
      <w:r w:rsidR="00000D7D">
        <w:t>by which</w:t>
      </w:r>
      <w:r w:rsidR="00DA6E5C">
        <w:t xml:space="preserve"> distribution utilities </w:t>
      </w:r>
      <w:r w:rsidR="00000D7D">
        <w:t>can</w:t>
      </w:r>
      <w:r w:rsidR="00DA6E5C">
        <w:t xml:space="preserve"> </w:t>
      </w:r>
      <w:r w:rsidR="00C77D91">
        <w:t>determine</w:t>
      </w:r>
      <w:r w:rsidR="002E614A">
        <w:t xml:space="preserve"> </w:t>
      </w:r>
      <w:r>
        <w:t xml:space="preserve">that </w:t>
      </w:r>
      <w:r w:rsidR="00DA6E5C">
        <w:t>a</w:t>
      </w:r>
      <w:r w:rsidR="00316B75">
        <w:t xml:space="preserve"> </w:t>
      </w:r>
      <w:r>
        <w:t xml:space="preserve">distributed energy resource (1) </w:t>
      </w:r>
      <w:r w:rsidR="00316B75">
        <w:t>is</w:t>
      </w:r>
      <w:r>
        <w:t xml:space="preserve"> capable </w:t>
      </w:r>
      <w:r w:rsidR="009B5F4A">
        <w:t>of</w:t>
      </w:r>
      <w:r>
        <w:t xml:space="preserve"> participat</w:t>
      </w:r>
      <w:r w:rsidR="009B5F4A">
        <w:t>ing</w:t>
      </w:r>
      <w:r>
        <w:t xml:space="preserve"> in an aggregation, </w:t>
      </w:r>
      <w:r w:rsidR="00681307">
        <w:t xml:space="preserve">e.g., the distributed energy resource is not </w:t>
      </w:r>
      <w:bookmarkStart w:name="_Hlk37694308" w:id="115"/>
      <w:r w:rsidR="00681307">
        <w:t xml:space="preserve">already participating in </w:t>
      </w:r>
      <w:bookmarkEnd w:id="115"/>
      <w:r w:rsidR="00681307">
        <w:t xml:space="preserve">a retail distributed energy resource program </w:t>
      </w:r>
      <w:r w:rsidRPr="000E6089" w:rsidR="000E6089">
        <w:t xml:space="preserve">in which the relevant electric retail regulatory authority </w:t>
      </w:r>
      <w:r w:rsidR="004C7BC1">
        <w:t>condition</w:t>
      </w:r>
      <w:r w:rsidR="000E6089">
        <w:t>ed the resource’s participation on</w:t>
      </w:r>
      <w:r w:rsidR="004C7BC1">
        <w:t xml:space="preserve"> not</w:t>
      </w:r>
      <w:r w:rsidR="00681307">
        <w:t xml:space="preserve"> participat</w:t>
      </w:r>
      <w:r w:rsidR="004C7BC1">
        <w:t>ing</w:t>
      </w:r>
      <w:r w:rsidR="00681307">
        <w:t xml:space="preserve"> in RTO/ISO markets</w:t>
      </w:r>
      <w:r w:rsidR="000F7BAA">
        <w:t>;</w:t>
      </w:r>
      <w:r>
        <w:t xml:space="preserve"> and (2) </w:t>
      </w:r>
      <w:r w:rsidR="00DA6E5C">
        <w:t xml:space="preserve">does </w:t>
      </w:r>
      <w:r>
        <w:t xml:space="preserve">not </w:t>
      </w:r>
      <w:r w:rsidRPr="00BC05DC" w:rsidR="00C84739">
        <w:t>pos</w:t>
      </w:r>
      <w:r w:rsidR="00C84739">
        <w:t>e</w:t>
      </w:r>
      <w:r w:rsidRPr="00BC05DC" w:rsidR="00C84739">
        <w:t xml:space="preserve"> significant risk</w:t>
      </w:r>
      <w:r w:rsidR="00C84739">
        <w:t>s</w:t>
      </w:r>
      <w:r w:rsidRPr="00BC05DC" w:rsidR="00C84739">
        <w:t xml:space="preserve"> to </w:t>
      </w:r>
      <w:r w:rsidR="006A7C43">
        <w:t xml:space="preserve">the reliable </w:t>
      </w:r>
      <w:r w:rsidR="00060796">
        <w:t xml:space="preserve">and safe </w:t>
      </w:r>
      <w:r w:rsidR="006A7C43">
        <w:t xml:space="preserve">operation of the </w:t>
      </w:r>
      <w:r w:rsidRPr="00BC05DC" w:rsidR="00C84739">
        <w:t>distribution system</w:t>
      </w:r>
      <w:r w:rsidR="000630E4">
        <w:t>.</w:t>
      </w:r>
    </w:p>
    <w:p w:rsidR="002E614A" w:rsidP="002E614A" w:rsidRDefault="0022423F" w14:paraId="4CC01289" w14:textId="60345608">
      <w:pPr>
        <w:pStyle w:val="FERCparanumber"/>
      </w:pPr>
      <w:r>
        <w:t>W</w:t>
      </w:r>
      <w:r w:rsidR="00861B04">
        <w:t>e</w:t>
      </w:r>
      <w:r w:rsidR="002E614A">
        <w:t xml:space="preserve"> agree with multiple commenters</w:t>
      </w:r>
      <w:r w:rsidR="00861B04">
        <w:t>,</w:t>
      </w:r>
      <w:r w:rsidR="002E614A">
        <w:t xml:space="preserve"> such as EEI and Advanced Energy Economy</w:t>
      </w:r>
      <w:r w:rsidR="00861B04">
        <w:t>,</w:t>
      </w:r>
      <w:r w:rsidR="002E614A">
        <w:t xml:space="preserve"> that </w:t>
      </w:r>
      <w:r w:rsidR="00460454">
        <w:t xml:space="preserve">the RTOs/ISOs must include </w:t>
      </w:r>
      <w:r w:rsidR="00FD15DA">
        <w:t xml:space="preserve">potential </w:t>
      </w:r>
      <w:r w:rsidR="002E614A">
        <w:t xml:space="preserve">impacts on distribution system reliability </w:t>
      </w:r>
      <w:r w:rsidR="00460454">
        <w:t>as</w:t>
      </w:r>
      <w:r w:rsidR="002E614A">
        <w:t xml:space="preserve"> a criteri</w:t>
      </w:r>
      <w:r w:rsidR="00522D1E">
        <w:t>on</w:t>
      </w:r>
      <w:r w:rsidR="002E614A">
        <w:t xml:space="preserve"> in the distribution utility review process.  </w:t>
      </w:r>
      <w:r w:rsidR="00985771">
        <w:t>For example, i</w:t>
      </w:r>
      <w:r w:rsidR="002E614A">
        <w:t xml:space="preserve">f </w:t>
      </w:r>
      <w:r w:rsidR="00B34EE3">
        <w:t xml:space="preserve">a </w:t>
      </w:r>
      <w:r w:rsidR="002E614A">
        <w:t>distribution utilit</w:t>
      </w:r>
      <w:r w:rsidR="00B34EE3">
        <w:t>y</w:t>
      </w:r>
      <w:r w:rsidR="002E614A">
        <w:t xml:space="preserve"> determine</w:t>
      </w:r>
      <w:r w:rsidR="00B34EE3">
        <w:t>s</w:t>
      </w:r>
      <w:r w:rsidR="002E614A">
        <w:t xml:space="preserve"> during the distribution </w:t>
      </w:r>
      <w:r w:rsidR="001E79B7">
        <w:t xml:space="preserve">utility </w:t>
      </w:r>
      <w:r w:rsidR="002E614A">
        <w:t xml:space="preserve">review process that </w:t>
      </w:r>
      <w:r w:rsidR="00FA782A">
        <w:t>a</w:t>
      </w:r>
      <w:r w:rsidR="006A7C43">
        <w:t xml:space="preserve"> </w:t>
      </w:r>
      <w:r w:rsidRPr="00022FDA" w:rsidR="002E614A">
        <w:t>distributed energy resource</w:t>
      </w:r>
      <w:r w:rsidRPr="00022FDA" w:rsidR="00FA782A">
        <w:t xml:space="preserve"> operated as part of an aggregation</w:t>
      </w:r>
      <w:r w:rsidRPr="00022FDA" w:rsidR="002E614A">
        <w:t xml:space="preserve"> </w:t>
      </w:r>
      <w:r w:rsidRPr="00022FDA" w:rsidR="00FA782A">
        <w:t>may</w:t>
      </w:r>
      <w:r w:rsidRPr="00022FDA" w:rsidR="002E614A">
        <w:t xml:space="preserve"> </w:t>
      </w:r>
      <w:r w:rsidRPr="00022FDA" w:rsidR="00FA782A">
        <w:t>increase voltage above acceptable limits or create potential equipment overloads</w:t>
      </w:r>
      <w:r w:rsidRPr="00022FDA" w:rsidR="002E614A">
        <w:t>, the distribution utility</w:t>
      </w:r>
      <w:r w:rsidR="002E614A">
        <w:t xml:space="preserve"> should </w:t>
      </w:r>
      <w:r w:rsidR="003831D7">
        <w:t xml:space="preserve">have the opportunity </w:t>
      </w:r>
      <w:r w:rsidR="002E614A">
        <w:t>to alert the RTO/ISO and recommend removal of th</w:t>
      </w:r>
      <w:r w:rsidR="00861B04">
        <w:t>at</w:t>
      </w:r>
      <w:r w:rsidR="002E614A">
        <w:t xml:space="preserve"> distributed energy resource from the distributed energy resource aggregation</w:t>
      </w:r>
      <w:r w:rsidR="00442C87">
        <w:t xml:space="preserve">.  In addition, the distribution utility should </w:t>
      </w:r>
      <w:r w:rsidR="006A1031">
        <w:t>have the opportunity</w:t>
      </w:r>
      <w:r w:rsidR="00442C87">
        <w:t xml:space="preserve"> to</w:t>
      </w:r>
      <w:r w:rsidRPr="00487AED" w:rsidR="00487AED">
        <w:t xml:space="preserve"> </w:t>
      </w:r>
      <w:r w:rsidRPr="003F6C6E" w:rsidR="00487AED">
        <w:t xml:space="preserve">request that the RTO/ISO place operational limitations on </w:t>
      </w:r>
      <w:r w:rsidR="00F978B5">
        <w:t>an</w:t>
      </w:r>
      <w:r w:rsidRPr="003F6C6E" w:rsidR="00487AED">
        <w:t xml:space="preserve"> aggregation</w:t>
      </w:r>
      <w:r w:rsidR="007A35CE">
        <w:t xml:space="preserve"> or removal of a distributed energy resource from an aggregation</w:t>
      </w:r>
      <w:r w:rsidRPr="00487AED" w:rsidR="00487AED">
        <w:t xml:space="preserve"> based on specific </w:t>
      </w:r>
      <w:r w:rsidR="00556BF1">
        <w:t>significant reliability</w:t>
      </w:r>
      <w:r w:rsidR="00060796">
        <w:t xml:space="preserve"> or safety</w:t>
      </w:r>
      <w:r w:rsidR="00556BF1">
        <w:t xml:space="preserve"> </w:t>
      </w:r>
      <w:r w:rsidRPr="00487AED" w:rsidR="00487AED">
        <w:t xml:space="preserve">concerns that it clearly demonstrates to the RTO/ISO and </w:t>
      </w:r>
      <w:r w:rsidR="007B6CF6">
        <w:t>distributed energy resource</w:t>
      </w:r>
      <w:r w:rsidRPr="00487AED" w:rsidR="00487AED">
        <w:t xml:space="preserve"> aggregator on a case-by-case basis</w:t>
      </w:r>
      <w:r w:rsidR="002E614A">
        <w:t xml:space="preserve">.  </w:t>
      </w:r>
      <w:r w:rsidR="00DF15E4">
        <w:t>For example,</w:t>
      </w:r>
      <w:r w:rsidR="002E614A">
        <w:t xml:space="preserve"> </w:t>
      </w:r>
      <w:r w:rsidR="00FD15DA">
        <w:t xml:space="preserve">the RTOs/ISOs may consider </w:t>
      </w:r>
      <w:r w:rsidR="00F670CC">
        <w:t>requiring</w:t>
      </w:r>
      <w:r w:rsidR="00FD15DA">
        <w:t xml:space="preserve"> </w:t>
      </w:r>
      <w:r w:rsidRPr="00BC05DC" w:rsidR="002E614A">
        <w:t xml:space="preserve">a signed affidavit </w:t>
      </w:r>
      <w:r w:rsidR="00FD15DA">
        <w:t>or other</w:t>
      </w:r>
      <w:r w:rsidRPr="00BC05DC" w:rsidR="002E614A">
        <w:t xml:space="preserve"> evidence from the </w:t>
      </w:r>
      <w:r w:rsidR="00DF15E4">
        <w:t xml:space="preserve">distribution </w:t>
      </w:r>
      <w:r w:rsidRPr="00BC05DC" w:rsidR="002E614A">
        <w:t xml:space="preserve">utility that a </w:t>
      </w:r>
      <w:r w:rsidR="002E614A">
        <w:t>distributed energy resource</w:t>
      </w:r>
      <w:r w:rsidRPr="00BC05DC" w:rsidR="002E614A">
        <w:t xml:space="preserve">’s participation in </w:t>
      </w:r>
      <w:r w:rsidR="0051719C">
        <w:t>RTO/ISO</w:t>
      </w:r>
      <w:r w:rsidRPr="00BC05DC" w:rsidR="002E614A">
        <w:t xml:space="preserve"> markets would </w:t>
      </w:r>
      <w:r w:rsidR="00990C5D">
        <w:t>pose</w:t>
      </w:r>
      <w:r w:rsidR="00CB46B8">
        <w:t xml:space="preserve"> a</w:t>
      </w:r>
      <w:r w:rsidR="00990C5D">
        <w:t xml:space="preserve"> significant risk</w:t>
      </w:r>
      <w:r w:rsidRPr="00CB46B8" w:rsidR="00CB46B8">
        <w:t xml:space="preserve"> </w:t>
      </w:r>
      <w:r w:rsidR="00CB46B8">
        <w:t xml:space="preserve">to the safe and </w:t>
      </w:r>
      <w:r w:rsidRPr="00BC05DC" w:rsidR="00CB46B8">
        <w:t>reliab</w:t>
      </w:r>
      <w:r w:rsidR="00CB46B8">
        <w:t>le operation of the distribution system</w:t>
      </w:r>
      <w:r w:rsidR="002E614A">
        <w:t>, and process</w:t>
      </w:r>
      <w:r w:rsidR="00FD15DA">
        <w:t>es</w:t>
      </w:r>
      <w:r w:rsidR="002E614A">
        <w:t xml:space="preserve"> </w:t>
      </w:r>
      <w:r w:rsidR="005D0015">
        <w:t>to contest</w:t>
      </w:r>
      <w:r w:rsidR="002E614A">
        <w:t xml:space="preserve"> </w:t>
      </w:r>
      <w:r w:rsidR="005D0015">
        <w:t xml:space="preserve">the </w:t>
      </w:r>
      <w:r w:rsidR="002E614A">
        <w:t>distribution utility</w:t>
      </w:r>
      <w:r w:rsidR="005D0015">
        <w:t>’s recommendation for removal</w:t>
      </w:r>
      <w:r w:rsidR="002E614A">
        <w:t xml:space="preserve"> </w:t>
      </w:r>
      <w:r w:rsidRPr="00F978B5" w:rsidR="00AA41DA">
        <w:t>or for operational limitations to be placed on the aggregation</w:t>
      </w:r>
      <w:r w:rsidRPr="00BC05DC" w:rsidR="002E614A">
        <w:t>.</w:t>
      </w:r>
      <w:r w:rsidR="002E614A">
        <w:t xml:space="preserve"> </w:t>
      </w:r>
    </w:p>
    <w:p w:rsidR="002E614A" w:rsidP="002E614A" w:rsidRDefault="002E614A" w14:paraId="7F93F9EB" w14:textId="0169BD5E">
      <w:pPr>
        <w:pStyle w:val="FERCparanumber"/>
      </w:pPr>
      <w:r>
        <w:t xml:space="preserve">In response to comments from EEI, TAPS, and multiple distribution utilities that argue for a </w:t>
      </w:r>
      <w:r w:rsidR="00832662">
        <w:t xml:space="preserve">larger </w:t>
      </w:r>
      <w:r w:rsidR="00670F17">
        <w:t>and decision</w:t>
      </w:r>
      <w:r w:rsidR="00D2799A">
        <w:t>-</w:t>
      </w:r>
      <w:r w:rsidR="00670F17">
        <w:t xml:space="preserve">making </w:t>
      </w:r>
      <w:r>
        <w:t xml:space="preserve">role </w:t>
      </w:r>
      <w:r w:rsidR="00670F17">
        <w:t>for</w:t>
      </w:r>
      <w:r w:rsidR="0069191B">
        <w:t xml:space="preserve"> the distribution utilities </w:t>
      </w:r>
      <w:r w:rsidR="006F3414">
        <w:t>during</w:t>
      </w:r>
      <w:r>
        <w:t xml:space="preserve"> </w:t>
      </w:r>
      <w:r w:rsidR="006F3414">
        <w:t xml:space="preserve">the </w:t>
      </w:r>
      <w:r>
        <w:t xml:space="preserve">review </w:t>
      </w:r>
      <w:r w:rsidR="006F3414">
        <w:t>of</w:t>
      </w:r>
      <w:r>
        <w:t xml:space="preserve"> distributed energy resource registrations, </w:t>
      </w:r>
      <w:r w:rsidR="004B0196">
        <w:t>we</w:t>
      </w:r>
      <w:r>
        <w:t xml:space="preserve"> decline to provide such a role.  </w:t>
      </w:r>
      <w:r w:rsidR="00C55F4E">
        <w:t xml:space="preserve">We find that </w:t>
      </w:r>
      <w:r w:rsidR="00DE74AA">
        <w:t xml:space="preserve">requiring or permitting distribution utilities </w:t>
      </w:r>
      <w:r w:rsidR="00D2799A">
        <w:t xml:space="preserve">to </w:t>
      </w:r>
      <w:r w:rsidR="003B05E2">
        <w:t xml:space="preserve">authorize the participation of distributed energy resources in RTO/ISO markets directly or </w:t>
      </w:r>
      <w:r w:rsidR="000A07BE">
        <w:t>as part of an aggregation</w:t>
      </w:r>
      <w:r w:rsidR="00DE74AA">
        <w:t xml:space="preserve"> c</w:t>
      </w:r>
      <w:r w:rsidR="006F3414">
        <w:t>ould</w:t>
      </w:r>
      <w:r>
        <w:t xml:space="preserve"> create a barrier to distributed energy resource aggregation</w:t>
      </w:r>
      <w:r w:rsidRPr="007F797A">
        <w:t>.</w:t>
      </w:r>
      <w:r w:rsidRPr="007F797A" w:rsidR="007F797A">
        <w:rPr>
          <w:rStyle w:val="FootnoteReference"/>
        </w:rPr>
        <w:footnoteReference w:id="714"/>
      </w:r>
      <w:r w:rsidRPr="007F797A">
        <w:t xml:space="preserve">  The </w:t>
      </w:r>
      <w:r w:rsidRPr="007F797A" w:rsidR="00F313A1">
        <w:t>distribution utility</w:t>
      </w:r>
      <w:r w:rsidRPr="007F797A">
        <w:t xml:space="preserve"> review</w:t>
      </w:r>
      <w:r>
        <w:t xml:space="preserve"> processes and interconnection protocols discussed above should address and resolve the key distribution reliability concerns raised by these commenters.  </w:t>
      </w:r>
      <w:r w:rsidR="004B0196">
        <w:t>We</w:t>
      </w:r>
      <w:r>
        <w:t xml:space="preserve"> find that </w:t>
      </w:r>
      <w:r w:rsidR="004B0196">
        <w:t xml:space="preserve">the </w:t>
      </w:r>
      <w:r>
        <w:t xml:space="preserve">ability of distribution utilities to review </w:t>
      </w:r>
      <w:r w:rsidR="00A176E3">
        <w:t>and comment on</w:t>
      </w:r>
      <w:r>
        <w:t xml:space="preserve"> </w:t>
      </w:r>
      <w:r w:rsidRPr="00022FDA">
        <w:t>distributed energy resource participation in aggregations, a</w:t>
      </w:r>
      <w:r w:rsidRPr="00022FDA" w:rsidR="007C3C59">
        <w:t xml:space="preserve">s well as the Commission’s finding that individual distributed energy resources that will participate in aggregations will interconnect under state and local </w:t>
      </w:r>
      <w:r w:rsidRPr="00022FDA">
        <w:t>interconnection protocols</w:t>
      </w:r>
      <w:r w:rsidRPr="00022FDA" w:rsidR="00F313A1">
        <w:t>,</w:t>
      </w:r>
      <w:r w:rsidRPr="00022FDA">
        <w:t xml:space="preserve"> represents a balanced</w:t>
      </w:r>
      <w:r>
        <w:t xml:space="preserve"> approach to removing barriers to </w:t>
      </w:r>
      <w:r w:rsidR="00F313A1">
        <w:t xml:space="preserve">the participation of </w:t>
      </w:r>
      <w:r>
        <w:t>distributed energy resource aggregation</w:t>
      </w:r>
      <w:r w:rsidR="00F313A1">
        <w:t>s in RTO/ISO markets</w:t>
      </w:r>
      <w:r>
        <w:t>, while protecting reliability and the fundamental role of distribution utilit</w:t>
      </w:r>
      <w:r w:rsidR="00BD31B4">
        <w:t>ies</w:t>
      </w:r>
      <w:r>
        <w:t xml:space="preserve"> in operating their distribution systems. </w:t>
      </w:r>
    </w:p>
    <w:p w:rsidRPr="00ED6F47" w:rsidR="00ED6F47" w:rsidP="002E614A" w:rsidRDefault="002E614A" w14:paraId="32F21658" w14:textId="04A2E765">
      <w:pPr>
        <w:pStyle w:val="FERCparanumber"/>
      </w:pPr>
      <w:r>
        <w:t xml:space="preserve">In response to concerns raised by IRC and PJM </w:t>
      </w:r>
      <w:r w:rsidRPr="00BC05DC">
        <w:t xml:space="preserve">regarding disputes </w:t>
      </w:r>
      <w:r w:rsidR="00C93DFA">
        <w:t>about</w:t>
      </w:r>
      <w:r>
        <w:t xml:space="preserve"> distribution utility review</w:t>
      </w:r>
      <w:r w:rsidRPr="00BC05DC">
        <w:t>,</w:t>
      </w:r>
      <w:r>
        <w:rPr>
          <w:rStyle w:val="FootnoteReference"/>
        </w:rPr>
        <w:footnoteReference w:id="715"/>
      </w:r>
      <w:r>
        <w:t xml:space="preserve"> </w:t>
      </w:r>
      <w:r w:rsidR="004B0196">
        <w:t>we</w:t>
      </w:r>
      <w:r>
        <w:t xml:space="preserve"> find that </w:t>
      </w:r>
      <w:r w:rsidR="004B0196">
        <w:t>any</w:t>
      </w:r>
      <w:r w:rsidRPr="00BC05DC">
        <w:t xml:space="preserve"> </w:t>
      </w:r>
      <w:bookmarkStart w:name="_Hlk46822268" w:id="116"/>
      <w:r w:rsidR="006F3414">
        <w:t xml:space="preserve">disputes over the application of </w:t>
      </w:r>
      <w:r w:rsidRPr="00BC05DC">
        <w:t>coordination</w:t>
      </w:r>
      <w:r>
        <w:t xml:space="preserve"> and distribution utility review process</w:t>
      </w:r>
      <w:r w:rsidR="006F3414">
        <w:t>es</w:t>
      </w:r>
      <w:r w:rsidRPr="00BC05DC">
        <w:t xml:space="preserve"> </w:t>
      </w:r>
      <w:bookmarkEnd w:id="116"/>
      <w:r w:rsidRPr="00BC05DC">
        <w:t>between the RTO/ISO</w:t>
      </w:r>
      <w:r w:rsidR="00171CE3">
        <w:t>,</w:t>
      </w:r>
      <w:r w:rsidRPr="00BC05DC">
        <w:t xml:space="preserve"> the </w:t>
      </w:r>
      <w:r w:rsidR="00171CE3">
        <w:t>distribution utilities</w:t>
      </w:r>
      <w:r w:rsidR="00393D46">
        <w:t>,</w:t>
      </w:r>
      <w:r w:rsidRPr="00BC05DC">
        <w:t xml:space="preserve"> and the distribut</w:t>
      </w:r>
      <w:r>
        <w:t xml:space="preserve">ed energy resource aggregators </w:t>
      </w:r>
      <w:r w:rsidRPr="00F978B5" w:rsidR="00DF15E4">
        <w:t>must</w:t>
      </w:r>
      <w:r w:rsidR="00DF15E4">
        <w:t xml:space="preserve"> </w:t>
      </w:r>
      <w:r w:rsidRPr="00BC05DC">
        <w:t xml:space="preserve">be </w:t>
      </w:r>
      <w:r w:rsidR="00F5117C">
        <w:t xml:space="preserve">subject to </w:t>
      </w:r>
      <w:r w:rsidR="00E811A6">
        <w:t>a process for resolving disputes</w:t>
      </w:r>
      <w:r w:rsidRPr="00BC05DC">
        <w:t xml:space="preserve"> in the RTO/ISO tariff.  </w:t>
      </w:r>
      <w:r>
        <w:t xml:space="preserve">Therefore, we require </w:t>
      </w:r>
      <w:r w:rsidR="00C97DD5">
        <w:t xml:space="preserve">each </w:t>
      </w:r>
      <w:r>
        <w:t xml:space="preserve">RTO/ISO to </w:t>
      </w:r>
      <w:r w:rsidR="001C0E0E">
        <w:t>revise</w:t>
      </w:r>
      <w:r w:rsidR="006F3414">
        <w:t xml:space="preserve"> </w:t>
      </w:r>
      <w:r w:rsidR="00C97DD5">
        <w:t>its</w:t>
      </w:r>
      <w:r w:rsidR="006F3414">
        <w:t xml:space="preserve"> tariff</w:t>
      </w:r>
      <w:r>
        <w:t xml:space="preserve"> </w:t>
      </w:r>
      <w:r w:rsidR="006F3414">
        <w:t xml:space="preserve">to incorporate </w:t>
      </w:r>
      <w:r>
        <w:t xml:space="preserve">dispute resolution </w:t>
      </w:r>
      <w:r w:rsidR="006F3414">
        <w:t>pro</w:t>
      </w:r>
      <w:r w:rsidR="00D86956">
        <w:t>visions</w:t>
      </w:r>
      <w:r>
        <w:t xml:space="preserve"> </w:t>
      </w:r>
      <w:r w:rsidR="00C97DD5">
        <w:t xml:space="preserve">as part of its proposed distribution utility </w:t>
      </w:r>
      <w:r w:rsidRPr="00BC05DC" w:rsidR="00C97DD5">
        <w:t xml:space="preserve">review </w:t>
      </w:r>
      <w:r w:rsidR="00C97DD5">
        <w:t>process</w:t>
      </w:r>
      <w:r>
        <w:t xml:space="preserve">.  In </w:t>
      </w:r>
      <w:r w:rsidR="00C97DD5">
        <w:t xml:space="preserve">its </w:t>
      </w:r>
      <w:r>
        <w:t xml:space="preserve">compliance filing, </w:t>
      </w:r>
      <w:r w:rsidR="00C97DD5">
        <w:t xml:space="preserve">each </w:t>
      </w:r>
      <w:r>
        <w:t xml:space="preserve">RTO/ISO </w:t>
      </w:r>
      <w:r w:rsidR="001C0E0E">
        <w:t>should</w:t>
      </w:r>
      <w:r>
        <w:t xml:space="preserve"> describe how existing dispute resolution procedures are sufficient or</w:t>
      </w:r>
      <w:r w:rsidR="00624A9B">
        <w:t>,</w:t>
      </w:r>
      <w:r w:rsidR="001C0E0E">
        <w:t xml:space="preserve"> alternatively,</w:t>
      </w:r>
      <w:r>
        <w:t xml:space="preserve"> propose amendments to </w:t>
      </w:r>
      <w:r w:rsidR="00C97DD5">
        <w:t xml:space="preserve">its </w:t>
      </w:r>
      <w:r>
        <w:t>procedures</w:t>
      </w:r>
      <w:r w:rsidR="00624A9B">
        <w:t xml:space="preserve"> or new dispute resolution procedures specific to this subject</w:t>
      </w:r>
      <w:r>
        <w:t xml:space="preserve">.  </w:t>
      </w:r>
      <w:r w:rsidR="00120B3B">
        <w:t>Ensuring that disputes regarding the distribution utility review process are subject to</w:t>
      </w:r>
      <w:r>
        <w:t xml:space="preserve"> dispute resolution pro</w:t>
      </w:r>
      <w:r w:rsidR="00876D24">
        <w:t>visions</w:t>
      </w:r>
      <w:r>
        <w:t xml:space="preserve"> in RTO/ISO tariffs</w:t>
      </w:r>
      <w:r w:rsidRPr="00BC05DC">
        <w:t xml:space="preserve"> </w:t>
      </w:r>
      <w:r w:rsidR="00354BFD">
        <w:t xml:space="preserve">provides a </w:t>
      </w:r>
      <w:r w:rsidR="00482FBA">
        <w:t xml:space="preserve">formal </w:t>
      </w:r>
      <w:r w:rsidR="00354BFD">
        <w:t xml:space="preserve">mechanism for </w:t>
      </w:r>
      <w:r w:rsidR="00482FBA">
        <w:t xml:space="preserve">the interested party to attempt to resolve the issue with the RTO/ISO.  </w:t>
      </w:r>
      <w:r w:rsidR="00125FA3">
        <w:t>Any parties in conflict over the distribution utility review processes may</w:t>
      </w:r>
      <w:r w:rsidR="003A29CD">
        <w:t xml:space="preserve"> also</w:t>
      </w:r>
      <w:r w:rsidRPr="00BC05DC">
        <w:t xml:space="preserve"> bring such disputes to the Commission’s </w:t>
      </w:r>
      <w:r w:rsidR="00B02300">
        <w:t>D</w:t>
      </w:r>
      <w:r w:rsidRPr="00BC05DC">
        <w:t xml:space="preserve">ispute </w:t>
      </w:r>
      <w:r w:rsidR="00B02300">
        <w:t>R</w:t>
      </w:r>
      <w:r w:rsidRPr="00BC05DC">
        <w:t xml:space="preserve">esolution </w:t>
      </w:r>
      <w:r w:rsidR="00B02300">
        <w:t>Service,</w:t>
      </w:r>
      <w:r w:rsidRPr="00BC05DC">
        <w:t xml:space="preserve"> or </w:t>
      </w:r>
      <w:r w:rsidR="00B02300">
        <w:t>file</w:t>
      </w:r>
      <w:r w:rsidRPr="00BC05DC">
        <w:t xml:space="preserve"> </w:t>
      </w:r>
      <w:r w:rsidR="001C0E0E">
        <w:t xml:space="preserve">complaints pursuant to </w:t>
      </w:r>
      <w:r w:rsidRPr="00BC05DC">
        <w:t>FPA section 206</w:t>
      </w:r>
      <w:r w:rsidR="00125FA3">
        <w:t xml:space="preserve"> at any time</w:t>
      </w:r>
      <w:r w:rsidRPr="00BC05DC">
        <w:t>.</w:t>
      </w:r>
      <w:r>
        <w:rPr>
          <w:rStyle w:val="FootnoteReference"/>
        </w:rPr>
        <w:footnoteReference w:id="716"/>
      </w:r>
      <w:r>
        <w:t xml:space="preserve">  </w:t>
      </w:r>
      <w:r w:rsidRPr="00BC05DC">
        <w:t xml:space="preserve">    </w:t>
      </w:r>
    </w:p>
    <w:p w:rsidR="00ED6F47" w:rsidP="00ED6F47" w:rsidRDefault="00ED6F47" w14:paraId="1AAB67C1" w14:textId="7DF824CD">
      <w:pPr>
        <w:pStyle w:val="Heading3"/>
      </w:pPr>
      <w:bookmarkStart w:name="_bmk71" w:id="117"/>
      <w:r>
        <w:t>O</w:t>
      </w:r>
      <w:bookmarkEnd w:id="117"/>
      <w:r>
        <w:t>ngoing Operational Coordination</w:t>
      </w:r>
    </w:p>
    <w:p w:rsidR="00ED6F47" w:rsidP="00ED6F47" w:rsidRDefault="00ED6F47" w14:paraId="6C8788C3" w14:textId="47CA8308">
      <w:pPr>
        <w:pStyle w:val="Heading4"/>
      </w:pPr>
      <w:bookmarkStart w:name="_bmk72" w:id="118"/>
      <w:r>
        <w:t>N</w:t>
      </w:r>
      <w:bookmarkEnd w:id="118"/>
      <w:r>
        <w:t>OPR Proposal</w:t>
      </w:r>
    </w:p>
    <w:p w:rsidR="00A109F7" w:rsidP="00A109F7" w:rsidRDefault="00A109F7" w14:paraId="59ACC31F" w14:textId="57A10FDB">
      <w:pPr>
        <w:pStyle w:val="FERCparanumber"/>
      </w:pPr>
      <w:r w:rsidRPr="0071268C">
        <w:t xml:space="preserve">In the NOPR, the Commission proposed to require that each RTO/ISO revise its tariff </w:t>
      </w:r>
      <w:r w:rsidRPr="00D439AC">
        <w:t>to establish a process for ongoing coordination, including operational coordination, among itself, the distributed energy resource aggregator, and the distribution utility to maximize the availability of the distributed energy resource aggregation consistent with the safe and reliable operation of the distribution system.</w:t>
      </w:r>
      <w:r w:rsidR="002C32FA">
        <w:rPr>
          <w:rStyle w:val="FootnoteReference"/>
        </w:rPr>
        <w:footnoteReference w:id="717"/>
      </w:r>
      <w:r w:rsidRPr="00D439AC">
        <w:t xml:space="preserve"> </w:t>
      </w:r>
      <w:r>
        <w:t xml:space="preserve"> </w:t>
      </w:r>
      <w:r w:rsidRPr="0071268C">
        <w:t xml:space="preserve">The Commission explained that the purpose of this </w:t>
      </w:r>
      <w:r>
        <w:t xml:space="preserve">ongoing </w:t>
      </w:r>
      <w:r w:rsidRPr="0071268C">
        <w:t xml:space="preserve">coordination would be to ensure that </w:t>
      </w:r>
      <w:r w:rsidRPr="00D439AC">
        <w:t>the distributed energy resource aggregator disaggregat</w:t>
      </w:r>
      <w:r>
        <w:t>es</w:t>
      </w:r>
      <w:r w:rsidRPr="00D439AC">
        <w:t xml:space="preserve"> dispatch signals from the RTO/ISO and dispatch</w:t>
      </w:r>
      <w:r>
        <w:t>es</w:t>
      </w:r>
      <w:r w:rsidRPr="00D439AC">
        <w:t xml:space="preserve"> individual resources in a distributed energy resource aggregation consistent with the limitations of the distribution system. </w:t>
      </w:r>
      <w:r>
        <w:t xml:space="preserve"> To account for the possibility that distribution facilities may be out of service and impair the operation of certain individual resources in a distributed energy resource aggregation, the Commission also proposed to require each RTO/ISO to revise its tariff to require the distributed energy resource aggregator to report to the RTO/ISO any changes to its offered quantity and related distribution factors that result from distribution line faults or outages. </w:t>
      </w:r>
    </w:p>
    <w:p w:rsidRPr="00ED6F47" w:rsidR="00ED6F47" w:rsidP="00A109F7" w:rsidRDefault="00A109F7" w14:paraId="3F11AA44" w14:textId="42B83F67">
      <w:pPr>
        <w:pStyle w:val="FERCparanumber"/>
      </w:pPr>
      <w:r>
        <w:t>In addition, the Commission sought comment on any related reliability, safety, and operational concerns and how they may be effectively addressed.</w:t>
      </w:r>
    </w:p>
    <w:p w:rsidR="00ED6F47" w:rsidP="00ED6F47" w:rsidRDefault="00ED6F47" w14:paraId="2696A35E" w14:textId="7D0BE983">
      <w:pPr>
        <w:pStyle w:val="Heading4"/>
      </w:pPr>
      <w:bookmarkStart w:name="_bmk73" w:id="119"/>
      <w:r>
        <w:t>C</w:t>
      </w:r>
      <w:bookmarkEnd w:id="119"/>
      <w:r>
        <w:t>omments</w:t>
      </w:r>
      <w:r w:rsidR="00EC4374">
        <w:t xml:space="preserve">  </w:t>
      </w:r>
    </w:p>
    <w:p w:rsidRPr="00896F52" w:rsidR="00A109F7" w:rsidP="00A109F7" w:rsidRDefault="00A109F7" w14:paraId="315D4E48" w14:textId="1DC46623">
      <w:pPr>
        <w:pStyle w:val="FERCparanumber"/>
      </w:pPr>
      <w:r>
        <w:t>Several</w:t>
      </w:r>
      <w:r w:rsidRPr="00716CDF">
        <w:t xml:space="preserve"> commenters express their support</w:t>
      </w:r>
      <w:r>
        <w:t xml:space="preserve"> for ongoing coordination</w:t>
      </w:r>
      <w:r w:rsidRPr="00716CDF">
        <w:t xml:space="preserve"> and emphasize the importance of real-time coordination to ensure safe and reliable operation of the transmission and distribution systems.</w:t>
      </w:r>
      <w:r w:rsidRPr="00716CDF">
        <w:rPr>
          <w:rStyle w:val="FootnoteReference"/>
        </w:rPr>
        <w:footnoteReference w:id="718"/>
      </w:r>
      <w:r w:rsidRPr="00716CDF">
        <w:t xml:space="preserve">  </w:t>
      </w:r>
      <w:r>
        <w:t xml:space="preserve">Many distribution utilities in support of the </w:t>
      </w:r>
      <w:r w:rsidR="008A4F86">
        <w:t xml:space="preserve">NOPR </w:t>
      </w:r>
      <w:r>
        <w:t xml:space="preserve">proposal suggest specific roles or priorities for distribution utilities as part of ongoing coordination.  </w:t>
      </w:r>
      <w:r>
        <w:rPr>
          <w:color w:val="000000"/>
        </w:rPr>
        <w:t>Pacific Gas &amp; Electric states</w:t>
      </w:r>
      <w:r w:rsidRPr="007E2A15">
        <w:rPr>
          <w:color w:val="000000"/>
        </w:rPr>
        <w:t xml:space="preserve"> that services in support of distribution system safety and reliability must be prioritized, as determined by the distribution company, over wholesale market participation when distributed energy resources are providing multiple services.</w:t>
      </w:r>
      <w:r w:rsidRPr="009C136D">
        <w:rPr>
          <w:b/>
          <w:color w:val="000000"/>
          <w:vertAlign w:val="superscript"/>
        </w:rPr>
        <w:footnoteReference w:id="719"/>
      </w:r>
      <w:r>
        <w:rPr>
          <w:color w:val="000000"/>
        </w:rPr>
        <w:t xml:space="preserve">  </w:t>
      </w:r>
      <w:r>
        <w:t>NYISO Indicated Transmission Owners and Xcel Energy Services request that the Commission permit distribution utilities to limit the energy injections and ancillary services from specific distributed energy resources with advanced notice.</w:t>
      </w:r>
      <w:r>
        <w:rPr>
          <w:rStyle w:val="FootnoteReference"/>
        </w:rPr>
        <w:footnoteReference w:id="720"/>
      </w:r>
      <w:r w:rsidRPr="003014CD">
        <w:t xml:space="preserve"> </w:t>
      </w:r>
      <w:r>
        <w:t xml:space="preserve"> </w:t>
      </w:r>
      <w:r w:rsidRPr="00896F52">
        <w:t>Other commenters argue that distribution utilities must have the ability to limit distributed energy resource generation in order to ensure safety and reliability because RTO</w:t>
      </w:r>
      <w:r w:rsidR="0043227A">
        <w:t>s</w:t>
      </w:r>
      <w:r>
        <w:t>/</w:t>
      </w:r>
      <w:r w:rsidRPr="00896F52">
        <w:t>ISOs do not have sufficient information to maintain the safety and reliability of the distribution grid.</w:t>
      </w:r>
      <w:r w:rsidRPr="00E828CE">
        <w:rPr>
          <w:rStyle w:val="FootnoteReference"/>
        </w:rPr>
        <w:footnoteReference w:id="721"/>
      </w:r>
      <w:r w:rsidRPr="00896F52">
        <w:t xml:space="preserve">  </w:t>
      </w:r>
    </w:p>
    <w:p w:rsidR="00A109F7" w:rsidP="00A109F7" w:rsidRDefault="00A109F7" w14:paraId="6390DC2C" w14:textId="20893D85">
      <w:pPr>
        <w:pStyle w:val="FERCparanumber"/>
        <w:autoSpaceDE w:val="0"/>
        <w:autoSpaceDN w:val="0"/>
        <w:adjustRightInd w:val="0"/>
      </w:pPr>
      <w:r>
        <w:rPr>
          <w:szCs w:val="26"/>
        </w:rPr>
        <w:t>Several commenters</w:t>
      </w:r>
      <w:r w:rsidDel="003A2CF7" w:rsidR="0079382A">
        <w:rPr>
          <w:szCs w:val="26"/>
        </w:rPr>
        <w:t xml:space="preserve"> </w:t>
      </w:r>
      <w:r w:rsidR="003A2CF7">
        <w:rPr>
          <w:szCs w:val="26"/>
        </w:rPr>
        <w:t>provide input</w:t>
      </w:r>
      <w:r w:rsidR="0079382A">
        <w:rPr>
          <w:szCs w:val="26"/>
        </w:rPr>
        <w:t xml:space="preserve"> on the processes needed to alert distributed energy </w:t>
      </w:r>
      <w:r w:rsidR="0007606B">
        <w:rPr>
          <w:szCs w:val="26"/>
        </w:rPr>
        <w:t xml:space="preserve">resource </w:t>
      </w:r>
      <w:r w:rsidR="0079382A">
        <w:rPr>
          <w:szCs w:val="26"/>
        </w:rPr>
        <w:t>aggregators about problems on distribution systems.</w:t>
      </w:r>
      <w:r w:rsidR="0007606B">
        <w:rPr>
          <w:szCs w:val="26"/>
        </w:rPr>
        <w:t xml:space="preserve"> </w:t>
      </w:r>
      <w:r w:rsidR="0079382A">
        <w:rPr>
          <w:szCs w:val="26"/>
        </w:rPr>
        <w:t xml:space="preserve"> Dominion </w:t>
      </w:r>
      <w:r w:rsidRPr="00716CDF">
        <w:rPr>
          <w:szCs w:val="26"/>
        </w:rPr>
        <w:t>agree</w:t>
      </w:r>
      <w:r w:rsidR="0079382A">
        <w:rPr>
          <w:szCs w:val="26"/>
        </w:rPr>
        <w:t>s</w:t>
      </w:r>
      <w:r w:rsidRPr="00716CDF">
        <w:rPr>
          <w:szCs w:val="26"/>
        </w:rPr>
        <w:t xml:space="preserve"> with the NOPR requirement that </w:t>
      </w:r>
      <w:r w:rsidR="00195D74">
        <w:rPr>
          <w:szCs w:val="26"/>
        </w:rPr>
        <w:t xml:space="preserve">a </w:t>
      </w:r>
      <w:r w:rsidRPr="00716CDF">
        <w:rPr>
          <w:szCs w:val="26"/>
        </w:rPr>
        <w:t>distributed energy resource aggregator should be responsible for reporting to the RTO/ISO when its offered quantity changes due to distribution facilities being out of service.</w:t>
      </w:r>
      <w:r w:rsidRPr="00716CDF">
        <w:rPr>
          <w:rStyle w:val="FootnoteReference"/>
        </w:rPr>
        <w:footnoteReference w:id="722"/>
      </w:r>
      <w:r w:rsidRPr="00716CDF">
        <w:rPr>
          <w:szCs w:val="26"/>
        </w:rPr>
        <w:t xml:space="preserve">  SPP notes </w:t>
      </w:r>
      <w:r>
        <w:rPr>
          <w:szCs w:val="26"/>
        </w:rPr>
        <w:t xml:space="preserve">it </w:t>
      </w:r>
      <w:r w:rsidRPr="00716CDF">
        <w:rPr>
          <w:szCs w:val="26"/>
        </w:rPr>
        <w:t>will require significant effort to coordinate with entities with which the RTO/ISO has not previously had two-way communications.</w:t>
      </w:r>
      <w:r w:rsidRPr="00716CDF">
        <w:rPr>
          <w:rStyle w:val="FootnoteReference"/>
        </w:rPr>
        <w:footnoteReference w:id="723"/>
      </w:r>
      <w:r w:rsidRPr="009D6F26">
        <w:rPr>
          <w:szCs w:val="26"/>
        </w:rPr>
        <w:t xml:space="preserve"> </w:t>
      </w:r>
      <w:r>
        <w:rPr>
          <w:szCs w:val="26"/>
        </w:rPr>
        <w:t xml:space="preserve"> CAISO recommends that the approach </w:t>
      </w:r>
      <w:r w:rsidRPr="00620CB6">
        <w:rPr>
          <w:szCs w:val="26"/>
        </w:rPr>
        <w:t xml:space="preserve">being </w:t>
      </w:r>
      <w:r>
        <w:rPr>
          <w:szCs w:val="26"/>
        </w:rPr>
        <w:t>developed for its Distributed Energy Resource Provider program be used as a means to allow distribution utilities to identify problems on their distribution systems.</w:t>
      </w:r>
      <w:r>
        <w:rPr>
          <w:rStyle w:val="FootnoteReference"/>
        </w:rPr>
        <w:footnoteReference w:id="724"/>
      </w:r>
      <w:r w:rsidRPr="004B11B0">
        <w:rPr>
          <w:szCs w:val="26"/>
        </w:rPr>
        <w:t xml:space="preserve"> </w:t>
      </w:r>
      <w:r>
        <w:rPr>
          <w:szCs w:val="26"/>
        </w:rPr>
        <w:t xml:space="preserve"> </w:t>
      </w:r>
      <w:r w:rsidRPr="00716CDF">
        <w:rPr>
          <w:szCs w:val="26"/>
        </w:rPr>
        <w:t xml:space="preserve">CAISO believes that a process is needed for distribution utilities to notify a distributed energy resource </w:t>
      </w:r>
      <w:r w:rsidR="006F3414">
        <w:rPr>
          <w:szCs w:val="26"/>
        </w:rPr>
        <w:t>aggregator</w:t>
      </w:r>
      <w:r w:rsidRPr="00716CDF">
        <w:rPr>
          <w:szCs w:val="26"/>
        </w:rPr>
        <w:t xml:space="preserve"> of changes to distribution system conditions that will affect </w:t>
      </w:r>
      <w:r w:rsidR="00AE5DAE">
        <w:rPr>
          <w:szCs w:val="26"/>
        </w:rPr>
        <w:t>the aggregated resource’s</w:t>
      </w:r>
      <w:r w:rsidRPr="00716CDF">
        <w:rPr>
          <w:szCs w:val="26"/>
        </w:rPr>
        <w:t xml:space="preserve"> ability to perform to its maximum capability, such as a red/green traffic signal.</w:t>
      </w:r>
      <w:r w:rsidRPr="00716CDF">
        <w:rPr>
          <w:rStyle w:val="FootnoteReference"/>
        </w:rPr>
        <w:footnoteReference w:id="725"/>
      </w:r>
      <w:r>
        <w:rPr>
          <w:szCs w:val="26"/>
        </w:rPr>
        <w:t xml:space="preserve">  </w:t>
      </w:r>
      <w:r w:rsidRPr="00797076">
        <w:t>The Organization of MISO States a</w:t>
      </w:r>
      <w:r>
        <w:t>rgue</w:t>
      </w:r>
      <w:r w:rsidRPr="00797076">
        <w:t xml:space="preserve">s that distribution system operators must have the ability to communicate information on topology changes </w:t>
      </w:r>
      <w:r>
        <w:t xml:space="preserve">in real-time </w:t>
      </w:r>
      <w:r w:rsidRPr="00797076">
        <w:t>which may impact the ability of aggregations to participate in the wholesale market.</w:t>
      </w:r>
      <w:r w:rsidRPr="00AC20F1">
        <w:rPr>
          <w:rStyle w:val="FootnoteReference"/>
        </w:rPr>
        <w:footnoteReference w:id="726"/>
      </w:r>
      <w:r>
        <w:t xml:space="preserve">  Several </w:t>
      </w:r>
      <w:r w:rsidRPr="00896F52">
        <w:t>commenters indicate that the current data acquisition technologies are largely manual</w:t>
      </w:r>
      <w:r>
        <w:t>, but will be adequate initially for ongoing coordination</w:t>
      </w:r>
      <w:r w:rsidRPr="00896F52">
        <w:t>.</w:t>
      </w:r>
      <w:r w:rsidRPr="00B03BB2">
        <w:rPr>
          <w:rStyle w:val="FootnoteReference"/>
        </w:rPr>
        <w:footnoteReference w:id="727"/>
      </w:r>
      <w:r w:rsidRPr="00896F52">
        <w:t xml:space="preserve">    </w:t>
      </w:r>
    </w:p>
    <w:p w:rsidR="00A109F7" w:rsidP="00A109F7" w:rsidRDefault="00A109F7" w14:paraId="475B70C8" w14:textId="1745B897">
      <w:pPr>
        <w:pStyle w:val="FERCparanumber"/>
      </w:pPr>
      <w:r w:rsidRPr="000F247F">
        <w:t xml:space="preserve"> </w:t>
      </w:r>
      <w:r>
        <w:t>M</w:t>
      </w:r>
      <w:r w:rsidRPr="00896F52">
        <w:t>ultiple commenters state that</w:t>
      </w:r>
      <w:r w:rsidR="00AE5DAE">
        <w:t>,</w:t>
      </w:r>
      <w:r w:rsidRPr="00896F52">
        <w:t xml:space="preserve"> at higher </w:t>
      </w:r>
      <w:r>
        <w:t>distributed energy resource</w:t>
      </w:r>
      <w:r w:rsidRPr="00896F52">
        <w:t xml:space="preserve"> penetrations</w:t>
      </w:r>
      <w:r w:rsidR="00AE5DAE">
        <w:t>,</w:t>
      </w:r>
      <w:r w:rsidRPr="00896F52">
        <w:t xml:space="preserve"> enhanced equipment </w:t>
      </w:r>
      <w:r>
        <w:t xml:space="preserve">and information </w:t>
      </w:r>
      <w:r w:rsidRPr="00896F52">
        <w:t xml:space="preserve">to increase coordination and communication between the distribution utility, </w:t>
      </w:r>
      <w:r>
        <w:t>distributed energy resource</w:t>
      </w:r>
      <w:r w:rsidRPr="00896F52">
        <w:t xml:space="preserve"> </w:t>
      </w:r>
      <w:r>
        <w:t>a</w:t>
      </w:r>
      <w:r w:rsidRPr="00896F52">
        <w:t xml:space="preserve">ggregator, and the RTO/ISO </w:t>
      </w:r>
      <w:r>
        <w:t xml:space="preserve">will be necessary and </w:t>
      </w:r>
      <w:r w:rsidR="003958D7">
        <w:t>are</w:t>
      </w:r>
      <w:r w:rsidRPr="00896F52" w:rsidR="003958D7">
        <w:t xml:space="preserve"> </w:t>
      </w:r>
      <w:r w:rsidRPr="00896F52">
        <w:t xml:space="preserve">still </w:t>
      </w:r>
      <w:r>
        <w:t xml:space="preserve">in the process of </w:t>
      </w:r>
      <w:r w:rsidRPr="00896F52">
        <w:t>being developed.</w:t>
      </w:r>
      <w:r w:rsidRPr="00896F52">
        <w:rPr>
          <w:rStyle w:val="FootnoteReference"/>
        </w:rPr>
        <w:footnoteReference w:id="728"/>
      </w:r>
      <w:r w:rsidRPr="00896F52">
        <w:t xml:space="preserve">  TAP</w:t>
      </w:r>
      <w:r w:rsidR="00CA3421">
        <w:t>S</w:t>
      </w:r>
      <w:r w:rsidRPr="00896F52">
        <w:t xml:space="preserve"> and EEI </w:t>
      </w:r>
      <w:r w:rsidR="00704CA9">
        <w:t>argue</w:t>
      </w:r>
      <w:r w:rsidRPr="00896F52" w:rsidR="00704CA9">
        <w:t xml:space="preserve"> </w:t>
      </w:r>
      <w:r w:rsidRPr="00896F52">
        <w:t xml:space="preserve">that </w:t>
      </w:r>
      <w:r>
        <w:t>d</w:t>
      </w:r>
      <w:r w:rsidRPr="00896F52">
        <w:t xml:space="preserve">istribution </w:t>
      </w:r>
      <w:r>
        <w:t>u</w:t>
      </w:r>
      <w:r w:rsidRPr="00896F52">
        <w:t>tilities will need timely information on planned dispatch, and that there must be a realistic timeline for preventing a d</w:t>
      </w:r>
      <w:r>
        <w:t>ispatch and notifying the distributed energy resource</w:t>
      </w:r>
      <w:r w:rsidRPr="00896F52">
        <w:t xml:space="preserve"> </w:t>
      </w:r>
      <w:r>
        <w:t>a</w:t>
      </w:r>
      <w:r w:rsidRPr="00896F52">
        <w:t>ggregator or the RTO/ISO if a dispatch would adversely affect retail service.</w:t>
      </w:r>
      <w:r w:rsidRPr="00896F52">
        <w:rPr>
          <w:rStyle w:val="FootnoteReference"/>
        </w:rPr>
        <w:footnoteReference w:id="729"/>
      </w:r>
      <w:r w:rsidRPr="00896F52">
        <w:t xml:space="preserve">  </w:t>
      </w:r>
    </w:p>
    <w:p w:rsidRPr="00896F52" w:rsidR="00A109F7" w:rsidP="00A109F7" w:rsidRDefault="004608B0" w14:paraId="1A02789B" w14:textId="3E2FF134">
      <w:pPr>
        <w:pStyle w:val="FERCparanumber"/>
      </w:pPr>
      <w:r>
        <w:t>Some c</w:t>
      </w:r>
      <w:r w:rsidR="00A109F7">
        <w:t xml:space="preserve">ommenters address the role of the distribution utility in </w:t>
      </w:r>
      <w:r w:rsidR="00B34EE3">
        <w:t xml:space="preserve">ongoing operational </w:t>
      </w:r>
      <w:r w:rsidR="00A109F7">
        <w:t xml:space="preserve">coordination.  </w:t>
      </w:r>
      <w:r w:rsidRPr="00896F52" w:rsidR="00A109F7">
        <w:t>A</w:t>
      </w:r>
      <w:r>
        <w:t xml:space="preserve">dvanced </w:t>
      </w:r>
      <w:r w:rsidRPr="00896F52" w:rsidR="00A109F7">
        <w:t>E</w:t>
      </w:r>
      <w:r>
        <w:t xml:space="preserve">nergy </w:t>
      </w:r>
      <w:r w:rsidRPr="00896F52" w:rsidR="00A109F7">
        <w:t>E</w:t>
      </w:r>
      <w:r>
        <w:t>conomy</w:t>
      </w:r>
      <w:r w:rsidRPr="00896F52" w:rsidR="00A109F7">
        <w:t xml:space="preserve"> and EEI state that the distribution utility should be made aware of all information collected by the aggregator.</w:t>
      </w:r>
      <w:r w:rsidRPr="00896F52" w:rsidR="00A109F7">
        <w:rPr>
          <w:rStyle w:val="FootnoteReference"/>
        </w:rPr>
        <w:footnoteReference w:id="730"/>
      </w:r>
      <w:r w:rsidRPr="00896F52" w:rsidR="00A109F7">
        <w:t xml:space="preserve"> </w:t>
      </w:r>
      <w:r w:rsidR="00A109F7">
        <w:t xml:space="preserve"> More fundamentally, </w:t>
      </w:r>
      <w:r w:rsidRPr="00896F52" w:rsidR="00A109F7">
        <w:t>EEI comments that the distribution utility is in the best position to serve as the coordinator of distribution operations to ensure the complete provision of information is being provided to all parties.</w:t>
      </w:r>
      <w:r w:rsidRPr="00896F52" w:rsidR="00A109F7">
        <w:rPr>
          <w:rStyle w:val="FootnoteReference"/>
        </w:rPr>
        <w:footnoteReference w:id="731"/>
      </w:r>
      <w:r w:rsidRPr="00896F52" w:rsidR="00A109F7">
        <w:t xml:space="preserve">  </w:t>
      </w:r>
    </w:p>
    <w:p w:rsidR="00A109F7" w:rsidP="00A109F7" w:rsidRDefault="00A109F7" w14:paraId="6BD9A4E1" w14:textId="054E9B16">
      <w:pPr>
        <w:pStyle w:val="FERCparanumber"/>
        <w:autoSpaceDE w:val="0"/>
        <w:autoSpaceDN w:val="0"/>
        <w:adjustRightInd w:val="0"/>
      </w:pPr>
      <w:r w:rsidRPr="000F247F">
        <w:t xml:space="preserve">Several commenters offer suggestions or request guidance on aspects of ongoing coordination.  Avangrid advocates that all communication during ongoing coordination be channeled through </w:t>
      </w:r>
      <w:r>
        <w:t>distributed energy resource</w:t>
      </w:r>
      <w:r w:rsidRPr="000F247F">
        <w:t xml:space="preserve"> aggregators.</w:t>
      </w:r>
      <w:r w:rsidR="00771189">
        <w:rPr>
          <w:rStyle w:val="FootnoteReference"/>
        </w:rPr>
        <w:footnoteReference w:id="732"/>
      </w:r>
      <w:r w:rsidRPr="000F247F">
        <w:t xml:space="preserve">  Furthermore, Avangrid states that distributed energy resource aggregators should assume the responsibility for the performance </w:t>
      </w:r>
      <w:r w:rsidR="006F3414">
        <w:t xml:space="preserve">of their aggregated resource </w:t>
      </w:r>
      <w:r w:rsidRPr="000F247F">
        <w:t>and be responsible for any costs incurred by distribution utilities to mitigate and resolve power quality issues caused by distributed energy resources.  TeMix states that dispatch of end customer load, distributed generation, and storage must be coordinated with the operators of the distribution grid circuits, which can be complex.</w:t>
      </w:r>
      <w:r w:rsidR="00771189">
        <w:rPr>
          <w:rStyle w:val="FootnoteReference"/>
        </w:rPr>
        <w:footnoteReference w:id="733"/>
      </w:r>
      <w:r w:rsidRPr="000F247F">
        <w:t xml:space="preserve">  </w:t>
      </w:r>
    </w:p>
    <w:p w:rsidR="00A109F7" w:rsidP="00A109F7" w:rsidRDefault="00A109F7" w14:paraId="17972C06" w14:textId="6530F482">
      <w:pPr>
        <w:pStyle w:val="FERCparanumber"/>
        <w:autoSpaceDE w:val="0"/>
        <w:autoSpaceDN w:val="0"/>
        <w:adjustRightInd w:val="0"/>
      </w:pPr>
      <w:r w:rsidRPr="000F247F">
        <w:t xml:space="preserve">Several commenters claim that </w:t>
      </w:r>
      <w:r w:rsidR="00DF3483">
        <w:t>the</w:t>
      </w:r>
      <w:r w:rsidRPr="000F247F">
        <w:t xml:space="preserve"> </w:t>
      </w:r>
      <w:r>
        <w:t>RTO/ISO</w:t>
      </w:r>
      <w:r w:rsidRPr="000F247F">
        <w:t xml:space="preserve"> tariff</w:t>
      </w:r>
      <w:r>
        <w:t>s</w:t>
      </w:r>
      <w:r w:rsidR="00A47F9B">
        <w:t xml:space="preserve"> </w:t>
      </w:r>
      <w:r w:rsidR="00DF3483">
        <w:t xml:space="preserve">should be less specific about what is required for </w:t>
      </w:r>
      <w:r w:rsidR="00A47F9B">
        <w:t>ongoing coordination processes and rules</w:t>
      </w:r>
      <w:r w:rsidRPr="000F247F">
        <w:t xml:space="preserve">.  ISO-NE states that the Commission should not be overly prescriptive regarding the level of detail </w:t>
      </w:r>
      <w:r>
        <w:t>required</w:t>
      </w:r>
      <w:r w:rsidRPr="000F247F">
        <w:t xml:space="preserve"> in each RTO/ISO tariff regarding coordination among these entities</w:t>
      </w:r>
      <w:r w:rsidR="00A47F9B">
        <w:t xml:space="preserve"> on operational coordination</w:t>
      </w:r>
      <w:r w:rsidRPr="000F247F">
        <w:t>, and requests that the Commission allow each RTO/ISO to develop these requirements in conjunction with stakeholders.</w:t>
      </w:r>
      <w:r w:rsidR="00A633AA">
        <w:rPr>
          <w:rStyle w:val="FootnoteReference"/>
        </w:rPr>
        <w:footnoteReference w:id="734"/>
      </w:r>
      <w:r w:rsidRPr="000F247F">
        <w:t xml:space="preserve">  Pacific Gas &amp; Electric states that </w:t>
      </w:r>
      <w:r w:rsidR="0049529C">
        <w:t>it may be appropriate to include</w:t>
      </w:r>
      <w:r w:rsidRPr="000F247F">
        <w:t xml:space="preserve"> high-level requirements for information sharing and operational coordination, but more technical issues associated with distributed energy resource aggregation implementation are fluid and evolving, and thus tariff language may not be flexible or adaptable enough to account for needed useful, timely changes.</w:t>
      </w:r>
      <w:r w:rsidR="00A633AA">
        <w:rPr>
          <w:rStyle w:val="FootnoteReference"/>
        </w:rPr>
        <w:footnoteReference w:id="735"/>
      </w:r>
      <w:r w:rsidRPr="000F247F">
        <w:t xml:space="preserve">  Advanced Energy Economy and Union of Concerned Scientists emphasize that ongoing coordination already occurs with other resources, such as remote and dispersed hydroelectric generation, and argue that existing protocols are sufficient.</w:t>
      </w:r>
      <w:r w:rsidR="00A633AA">
        <w:rPr>
          <w:rStyle w:val="FootnoteReference"/>
        </w:rPr>
        <w:footnoteReference w:id="736"/>
      </w:r>
    </w:p>
    <w:p w:rsidRPr="00ED6F47" w:rsidR="00ED6F47" w:rsidP="00A109F7" w:rsidRDefault="00A109F7" w14:paraId="7C0610CE" w14:textId="2875704F">
      <w:pPr>
        <w:pStyle w:val="FERCparanumber"/>
        <w:autoSpaceDE w:val="0"/>
        <w:autoSpaceDN w:val="0"/>
        <w:adjustRightInd w:val="0"/>
      </w:pPr>
      <w:r w:rsidRPr="00896F52">
        <w:t xml:space="preserve">Most commenters agree that distribution utilities should have the right to override RTO/ISO dispatch instructions for </w:t>
      </w:r>
      <w:r>
        <w:t>distributed energy resource</w:t>
      </w:r>
      <w:r w:rsidRPr="00896F52">
        <w:t>s located on their distribution systems to resolve or avoid distribution reliability issues.</w:t>
      </w:r>
      <w:r w:rsidRPr="00B25172">
        <w:rPr>
          <w:rStyle w:val="FootnoteReference"/>
        </w:rPr>
        <w:footnoteReference w:id="737"/>
      </w:r>
      <w:r w:rsidRPr="00896F52">
        <w:t xml:space="preserve">  </w:t>
      </w:r>
      <w:r w:rsidR="00F55E27">
        <w:t>Lorenzo Kristov</w:t>
      </w:r>
      <w:r w:rsidRPr="00896F52">
        <w:t xml:space="preserve"> indicate</w:t>
      </w:r>
      <w:r w:rsidR="00F55E27">
        <w:t>s</w:t>
      </w:r>
      <w:r w:rsidRPr="00896F52">
        <w:t xml:space="preserve"> that the manner in which a distribution utility can override a dispatch instruction should be clarified so that </w:t>
      </w:r>
      <w:r>
        <w:t>distributed energy resource</w:t>
      </w:r>
      <w:r w:rsidRPr="00896F52">
        <w:t xml:space="preserve"> providers will be better able to estimate their risk of being curtailed due to distribution system conditions.</w:t>
      </w:r>
      <w:r w:rsidRPr="00B25172">
        <w:rPr>
          <w:rStyle w:val="FootnoteReference"/>
        </w:rPr>
        <w:footnoteReference w:id="738"/>
      </w:r>
      <w:r w:rsidRPr="00896F52">
        <w:t xml:space="preserve">  NYISO Indicated Transmission Owners state that the distribution utility should communicate potential issues with dispatch schedules to the </w:t>
      </w:r>
      <w:r>
        <w:t>distributed energy resource</w:t>
      </w:r>
      <w:r w:rsidRPr="00896F52">
        <w:t xml:space="preserve"> </w:t>
      </w:r>
      <w:r w:rsidR="00AE5DAE">
        <w:t>a</w:t>
      </w:r>
      <w:r w:rsidRPr="00896F52">
        <w:t xml:space="preserve">ggregators to provide them with an opportunity to re-adjust the </w:t>
      </w:r>
      <w:r>
        <w:t>distributed energy resource</w:t>
      </w:r>
      <w:r w:rsidRPr="00896F52">
        <w:t xml:space="preserve"> aggregation dispatch schedule.</w:t>
      </w:r>
      <w:r w:rsidRPr="00B25172">
        <w:rPr>
          <w:rStyle w:val="FootnoteReference"/>
        </w:rPr>
        <w:footnoteReference w:id="739"/>
      </w:r>
      <w:r w:rsidRPr="00896F52">
        <w:t xml:space="preserve">  </w:t>
      </w:r>
      <w:r>
        <w:t xml:space="preserve">Conversely, </w:t>
      </w:r>
      <w:r w:rsidRPr="00896F52">
        <w:t>Stem argues that</w:t>
      </w:r>
      <w:r w:rsidR="00AE5DAE">
        <w:t>,</w:t>
      </w:r>
      <w:r w:rsidRPr="00896F52">
        <w:t xml:space="preserve"> because a distribution utility does not have visibility into the exact distribution level impacts of a wholesale market dispatch, the distribution utility should not be able to override a dispatch.</w:t>
      </w:r>
      <w:r w:rsidRPr="00B25172">
        <w:rPr>
          <w:rStyle w:val="FootnoteReference"/>
        </w:rPr>
        <w:footnoteReference w:id="740"/>
      </w:r>
    </w:p>
    <w:p w:rsidRPr="00ED6F47" w:rsidR="006A482D" w:rsidP="00A109F7" w:rsidRDefault="006A482D" w14:paraId="2BA29364" w14:textId="3F9D55A7">
      <w:pPr>
        <w:pStyle w:val="FERCparanumber"/>
        <w:autoSpaceDE w:val="0"/>
        <w:autoSpaceDN w:val="0"/>
        <w:adjustRightInd w:val="0"/>
      </w:pPr>
      <w:r>
        <w:t xml:space="preserve">Commenters disagree </w:t>
      </w:r>
      <w:r w:rsidR="009C3E28">
        <w:t xml:space="preserve">about how performance penalties should be applied in </w:t>
      </w:r>
      <w:r w:rsidR="00B821F4">
        <w:t>the event that a distribution utility overrides an RTO/ISO dispatch.</w:t>
      </w:r>
      <w:r w:rsidR="00D9153A">
        <w:t xml:space="preserve">  </w:t>
      </w:r>
      <w:r w:rsidR="00B002C6">
        <w:t xml:space="preserve">Several </w:t>
      </w:r>
      <w:r w:rsidRPr="00022FDA" w:rsidR="00B002C6">
        <w:t>commenters</w:t>
      </w:r>
      <w:r w:rsidRPr="00022FDA" w:rsidR="00C87C41">
        <w:t xml:space="preserve"> generally argue that </w:t>
      </w:r>
      <w:r w:rsidRPr="00022FDA" w:rsidR="00624837">
        <w:t>distributed energy resource</w:t>
      </w:r>
      <w:r w:rsidRPr="00022FDA" w:rsidR="00B002C6">
        <w:t xml:space="preserve"> aggregators should be</w:t>
      </w:r>
      <w:r w:rsidR="00B002C6">
        <w:t xml:space="preserve"> subject to performance penalties, like all other resources.</w:t>
      </w:r>
      <w:r w:rsidR="00B002C6">
        <w:rPr>
          <w:rStyle w:val="FootnoteReference"/>
        </w:rPr>
        <w:footnoteReference w:id="741"/>
      </w:r>
      <w:r w:rsidR="00B002C6">
        <w:t xml:space="preserve">  </w:t>
      </w:r>
      <w:r w:rsidR="007C7C6E">
        <w:t>PG&amp;E and PJM assert that non-</w:t>
      </w:r>
      <w:r w:rsidR="005D3425">
        <w:t xml:space="preserve">deliverability penalties are subject to bilateral and contractual agreement between the </w:t>
      </w:r>
      <w:r w:rsidRPr="00022FDA" w:rsidR="00624837">
        <w:t>distributed energy resource</w:t>
      </w:r>
      <w:r w:rsidRPr="00022FDA" w:rsidR="005D3425">
        <w:t xml:space="preserve"> aggregator and the RTO/ISO.</w:t>
      </w:r>
      <w:r w:rsidRPr="00022FDA" w:rsidR="005D3425">
        <w:rPr>
          <w:rStyle w:val="FootnoteReference"/>
        </w:rPr>
        <w:footnoteReference w:id="742"/>
      </w:r>
      <w:r w:rsidRPr="00022FDA" w:rsidR="005D3425">
        <w:t xml:space="preserve">  </w:t>
      </w:r>
      <w:r w:rsidRPr="00022FDA" w:rsidR="00432FEF">
        <w:t>Developers argue that the</w:t>
      </w:r>
      <w:r w:rsidR="00432FEF">
        <w:t xml:space="preserve"> </w:t>
      </w:r>
      <w:r w:rsidR="00E325E1">
        <w:t xml:space="preserve">aggregator should not be assessed penalties </w:t>
      </w:r>
      <w:r w:rsidR="00335B56">
        <w:t>due to an outage caused by the distribution system operator’s controls.</w:t>
      </w:r>
      <w:r w:rsidR="00874277">
        <w:rPr>
          <w:rStyle w:val="FootnoteReference"/>
        </w:rPr>
        <w:footnoteReference w:id="743"/>
      </w:r>
      <w:r w:rsidR="00E325E1">
        <w:t xml:space="preserve"> </w:t>
      </w:r>
      <w:r w:rsidR="00CA3F98">
        <w:t>Distribution utilities argue that, in the event of a curtailment, they must have protection from liability.</w:t>
      </w:r>
      <w:r w:rsidR="00CA3F98">
        <w:rPr>
          <w:rStyle w:val="FootnoteReference"/>
        </w:rPr>
        <w:footnoteReference w:id="744"/>
      </w:r>
    </w:p>
    <w:p w:rsidR="00ED6F47" w:rsidP="00ED6F47" w:rsidRDefault="00ED6F47" w14:paraId="0FBFAFDE" w14:textId="77777777">
      <w:pPr>
        <w:pStyle w:val="Heading4"/>
      </w:pPr>
      <w:bookmarkStart w:name="_bmk74" w:id="120"/>
      <w:r>
        <w:t>C</w:t>
      </w:r>
      <w:bookmarkEnd w:id="120"/>
      <w:r>
        <w:t>ommission Determination</w:t>
      </w:r>
    </w:p>
    <w:p w:rsidR="00A109F7" w:rsidP="00A109F7" w:rsidRDefault="00A109F7" w14:paraId="1D2AD806" w14:textId="15487B27">
      <w:pPr>
        <w:pStyle w:val="FERCparanumber"/>
      </w:pPr>
      <w:r>
        <w:t xml:space="preserve">We agree with commenters that </w:t>
      </w:r>
      <w:r w:rsidRPr="00716CDF">
        <w:t>emphasize the importance of real-time coordination to ensure safe and reliable operation of the transmission and distribution systems.</w:t>
      </w:r>
      <w:r>
        <w:t xml:space="preserve">  Consequently, </w:t>
      </w:r>
      <w:r w:rsidR="003F6E2E">
        <w:t xml:space="preserve">to implement </w:t>
      </w:r>
      <w:r w:rsidR="00202177">
        <w:t>§</w:t>
      </w:r>
      <w:r w:rsidR="003F6E2E">
        <w:t xml:space="preserve"> </w:t>
      </w:r>
      <w:r w:rsidRPr="00961D4C" w:rsidR="003F6E2E">
        <w:t>35.28(g)(1</w:t>
      </w:r>
      <w:r w:rsidR="00CD5DB1">
        <w:t>2</w:t>
      </w:r>
      <w:r w:rsidRPr="00961D4C" w:rsidR="003F6E2E">
        <w:t>)(ii)(g)</w:t>
      </w:r>
      <w:r w:rsidR="003F6E2E">
        <w:t xml:space="preserve"> of the Commission’s regulations, </w:t>
      </w:r>
      <w:r>
        <w:t xml:space="preserve">we adopt the NOPR proposal to require each RTO/ISO to revise its tariff to </w:t>
      </w:r>
      <w:r w:rsidR="00807227">
        <w:t>(</w:t>
      </w:r>
      <w:r>
        <w:t>1) establish a process for ongoing coordination, including operational coordination</w:t>
      </w:r>
      <w:r w:rsidR="00496508">
        <w:t>,</w:t>
      </w:r>
      <w:r w:rsidR="00DA4FFE">
        <w:t xml:space="preserve"> that addresses data flows and communication</w:t>
      </w:r>
      <w:r>
        <w:t xml:space="preserve"> among itself, the distributed energy resource aggregator, and the distribution utility</w:t>
      </w:r>
      <w:r w:rsidR="00E13416">
        <w:t>;</w:t>
      </w:r>
      <w:r>
        <w:t xml:space="preserve"> and </w:t>
      </w:r>
      <w:r w:rsidR="00807227">
        <w:t>(</w:t>
      </w:r>
      <w:r>
        <w:t>2) require the distributed energy resource aggregator to report to the RTO/ISO any changes to its offered quantity and related distribution factors that result from distribution line faults or outages.  Further, we require each RTO/ISO to revise its tariff to include coordination protocols and processes for the operating day that allow distribution utilities to override RTO/ISO dispatch of a distributed energy resource aggregation</w:t>
      </w:r>
      <w:r w:rsidR="004F75B5">
        <w:t xml:space="preserve"> in circumstances where such override is </w:t>
      </w:r>
      <w:r>
        <w:t>needed to maintain</w:t>
      </w:r>
      <w:r w:rsidR="00060796">
        <w:t xml:space="preserve"> the reliable and safe operation</w:t>
      </w:r>
      <w:r w:rsidR="009357C3">
        <w:t xml:space="preserve"> </w:t>
      </w:r>
      <w:r>
        <w:t>o</w:t>
      </w:r>
      <w:r w:rsidR="00060796">
        <w:t>f</w:t>
      </w:r>
      <w:r>
        <w:t xml:space="preserve"> the distribution system.  </w:t>
      </w:r>
      <w:r w:rsidR="00AC0F0C">
        <w:t>These</w:t>
      </w:r>
      <w:r w:rsidRPr="002E4680" w:rsidR="002E4680">
        <w:t xml:space="preserve"> processes that allow distribution utilities to override RTO/ISO dispatch </w:t>
      </w:r>
      <w:r w:rsidR="00AC0F0C">
        <w:t xml:space="preserve">must be </w:t>
      </w:r>
      <w:r w:rsidRPr="002E4680" w:rsidR="002E4680">
        <w:t xml:space="preserve">contained in the tariff </w:t>
      </w:r>
      <w:r w:rsidR="00C102A9">
        <w:t>and must be</w:t>
      </w:r>
      <w:r w:rsidRPr="002E4680" w:rsidR="002E4680">
        <w:t xml:space="preserve"> non-discriminatory and transparent but still address distribution utility reliability and safety concerns.</w:t>
      </w:r>
      <w:r w:rsidR="002E4680">
        <w:t xml:space="preserve">  </w:t>
      </w:r>
      <w:r>
        <w:t xml:space="preserve">We find these </w:t>
      </w:r>
      <w:r w:rsidR="00807227">
        <w:t>operational coordination</w:t>
      </w:r>
      <w:r>
        <w:t xml:space="preserve"> requirements </w:t>
      </w:r>
      <w:r w:rsidR="00C102A9">
        <w:t xml:space="preserve">will </w:t>
      </w:r>
      <w:r>
        <w:t xml:space="preserve">maximize the availability of the distributed energy resource aggregation consistent with the </w:t>
      </w:r>
      <w:r w:rsidR="005A648C">
        <w:t xml:space="preserve">reliable and </w:t>
      </w:r>
      <w:r>
        <w:t>safe operation of the distribution system.</w:t>
      </w:r>
    </w:p>
    <w:p w:rsidRPr="001D1E77" w:rsidR="00A109F7" w:rsidP="007C55DE" w:rsidRDefault="00FD030A" w14:paraId="0FAE22AB" w14:textId="3563E5DA">
      <w:pPr>
        <w:pStyle w:val="FERCparanumber"/>
      </w:pPr>
      <w:r>
        <w:t>C</w:t>
      </w:r>
      <w:r w:rsidR="00A109F7">
        <w:t>ommenters disagree over the level of specificity needed in RTO/ISO tariffs</w:t>
      </w:r>
      <w:r>
        <w:t xml:space="preserve"> and describe different approaches to ongoing coordination</w:t>
      </w:r>
      <w:r w:rsidR="00A109F7">
        <w:t xml:space="preserve">.  </w:t>
      </w:r>
      <w:r w:rsidR="00F369D0">
        <w:t xml:space="preserve">To account for different </w:t>
      </w:r>
      <w:r w:rsidR="00B7719F">
        <w:t>regional</w:t>
      </w:r>
      <w:r w:rsidR="00F369D0">
        <w:t xml:space="preserve"> approaches and </w:t>
      </w:r>
      <w:r w:rsidR="006619B4">
        <w:t>to</w:t>
      </w:r>
      <w:r w:rsidR="00F369D0">
        <w:t xml:space="preserve"> provide flexibility</w:t>
      </w:r>
      <w:r w:rsidR="00A109F7">
        <w:t xml:space="preserve">, we </w:t>
      </w:r>
      <w:r w:rsidR="00EB01CC">
        <w:t>are not</w:t>
      </w:r>
      <w:r w:rsidR="001D73B8">
        <w:t xml:space="preserve"> </w:t>
      </w:r>
      <w:r w:rsidR="00A109F7">
        <w:t>prescrib</w:t>
      </w:r>
      <w:r w:rsidR="00EB01CC">
        <w:t>ing</w:t>
      </w:r>
      <w:r w:rsidR="00A109F7">
        <w:t xml:space="preserve"> specific protocols or processes</w:t>
      </w:r>
      <w:r w:rsidR="00CB3CF2">
        <w:t xml:space="preserve"> </w:t>
      </w:r>
      <w:r w:rsidR="0036381D">
        <w:t xml:space="preserve">for the RTOs/ISOs to adopt </w:t>
      </w:r>
      <w:r w:rsidR="00CB3CF2">
        <w:t>as part of the operational coordination requirements</w:t>
      </w:r>
      <w:r w:rsidR="00A109F7">
        <w:t xml:space="preserve">, </w:t>
      </w:r>
      <w:r w:rsidR="0036381D">
        <w:t xml:space="preserve">but rather </w:t>
      </w:r>
      <w:r w:rsidR="00EB01CC">
        <w:t xml:space="preserve">we </w:t>
      </w:r>
      <w:r w:rsidR="0036381D">
        <w:t xml:space="preserve">will </w:t>
      </w:r>
      <w:r w:rsidR="00A109F7">
        <w:t xml:space="preserve">allow each RTO/ISO to develop an approach </w:t>
      </w:r>
      <w:r w:rsidR="005D72B0">
        <w:t xml:space="preserve">to ongoing operational coordination </w:t>
      </w:r>
      <w:r w:rsidR="00A109F7">
        <w:t>in compliance with th</w:t>
      </w:r>
      <w:r w:rsidR="00EA2C46">
        <w:t xml:space="preserve">is </w:t>
      </w:r>
      <w:r w:rsidRPr="00D51270" w:rsidR="00D51270">
        <w:t>final rule</w:t>
      </w:r>
      <w:r w:rsidR="00A109F7">
        <w:t>.</w:t>
      </w:r>
    </w:p>
    <w:p w:rsidR="00A109F7" w:rsidP="00A109F7" w:rsidRDefault="00A109F7" w14:paraId="2674AE59" w14:textId="6170FB79">
      <w:pPr>
        <w:pStyle w:val="FERCparanumber"/>
      </w:pPr>
      <w:r>
        <w:t xml:space="preserve">We also require </w:t>
      </w:r>
      <w:r w:rsidR="00B13079">
        <w:t xml:space="preserve">each </w:t>
      </w:r>
      <w:r>
        <w:t>RTO/ISO to</w:t>
      </w:r>
      <w:r w:rsidR="00B13079">
        <w:t xml:space="preserve"> revise its</w:t>
      </w:r>
      <w:r w:rsidR="006F3414">
        <w:t xml:space="preserve"> tariff </w:t>
      </w:r>
      <w:r w:rsidR="00B13079">
        <w:t>to</w:t>
      </w:r>
      <w:r>
        <w:t xml:space="preserve"> apply any existing resource </w:t>
      </w:r>
      <w:r w:rsidRPr="00BD134C">
        <w:t>non-performance penalties</w:t>
      </w:r>
      <w:r>
        <w:t xml:space="preserve"> to </w:t>
      </w:r>
      <w:r w:rsidR="0076085F">
        <w:t xml:space="preserve">a </w:t>
      </w:r>
      <w:r>
        <w:t xml:space="preserve">distributed energy resource </w:t>
      </w:r>
      <w:r w:rsidRPr="00BD134C">
        <w:t xml:space="preserve">aggregation when </w:t>
      </w:r>
      <w:r w:rsidR="0076085F">
        <w:t>the</w:t>
      </w:r>
      <w:r w:rsidRPr="00BD134C">
        <w:t xml:space="preserve"> aggregation d</w:t>
      </w:r>
      <w:r>
        <w:t>oes</w:t>
      </w:r>
      <w:r w:rsidRPr="00BD134C">
        <w:t xml:space="preserve"> not perform because a distribution utility overrides </w:t>
      </w:r>
      <w:r>
        <w:t xml:space="preserve">the </w:t>
      </w:r>
      <w:r w:rsidRPr="00BD134C">
        <w:t>RTO</w:t>
      </w:r>
      <w:r w:rsidR="000554AF">
        <w:t>’s</w:t>
      </w:r>
      <w:r w:rsidRPr="00BD134C">
        <w:t>/ISO</w:t>
      </w:r>
      <w:r>
        <w:t xml:space="preserve">’s </w:t>
      </w:r>
      <w:r w:rsidRPr="00BD134C">
        <w:t>dispatch.</w:t>
      </w:r>
      <w:r>
        <w:t xml:space="preserve">  We find</w:t>
      </w:r>
      <w:r w:rsidR="00B13079">
        <w:t xml:space="preserve"> that</w:t>
      </w:r>
      <w:r>
        <w:t xml:space="preserve"> this requirement will ensure</w:t>
      </w:r>
      <w:r w:rsidRPr="00334D1C">
        <w:rPr>
          <w:rFonts w:cstheme="minorBidi"/>
        </w:rPr>
        <w:t xml:space="preserve"> </w:t>
      </w:r>
      <w:r w:rsidRPr="00334D1C">
        <w:t xml:space="preserve">that </w:t>
      </w:r>
      <w:r w:rsidR="00CB3CF2">
        <w:t>distributed energy resource</w:t>
      </w:r>
      <w:r w:rsidRPr="00334D1C" w:rsidR="00CB3CF2">
        <w:t xml:space="preserve"> </w:t>
      </w:r>
      <w:r w:rsidRPr="00334D1C">
        <w:t xml:space="preserve">aggregations </w:t>
      </w:r>
      <w:r w:rsidR="006F3364">
        <w:t xml:space="preserve">are subject to </w:t>
      </w:r>
      <w:r w:rsidR="007571F5">
        <w:t>non-performance penalties similarly to other resources</w:t>
      </w:r>
      <w:r w:rsidR="00840EB3">
        <w:t xml:space="preserve"> participating in RTO/ISO markets</w:t>
      </w:r>
      <w:r>
        <w:t xml:space="preserve">.  We note that this requirement </w:t>
      </w:r>
      <w:r w:rsidR="00C815E5">
        <w:t>will</w:t>
      </w:r>
      <w:r w:rsidRPr="00334D1C">
        <w:t xml:space="preserve"> incent </w:t>
      </w:r>
      <w:r>
        <w:t>distributed energy resource</w:t>
      </w:r>
      <w:r w:rsidRPr="00334D1C">
        <w:t xml:space="preserve"> </w:t>
      </w:r>
      <w:r w:rsidR="003958D7">
        <w:t>aggregators</w:t>
      </w:r>
      <w:r w:rsidRPr="00334D1C" w:rsidR="003958D7">
        <w:t xml:space="preserve"> </w:t>
      </w:r>
      <w:r w:rsidRPr="00334D1C">
        <w:t xml:space="preserve">to register individual </w:t>
      </w:r>
      <w:r>
        <w:t>distributed energy resources</w:t>
      </w:r>
      <w:r w:rsidRPr="00334D1C">
        <w:t xml:space="preserve"> on less</w:t>
      </w:r>
      <w:r>
        <w:t>-</w:t>
      </w:r>
      <w:r w:rsidRPr="00334D1C">
        <w:t>constrained portions of distribution networks</w:t>
      </w:r>
      <w:r>
        <w:t xml:space="preserve"> in order to minimize the likelihood of incurring non-performance penalties from the RTO/ISO.  </w:t>
      </w:r>
    </w:p>
    <w:p w:rsidRPr="00C84049" w:rsidR="00ED6F47" w:rsidP="00A109F7" w:rsidRDefault="00CA1244" w14:paraId="33A8C482" w14:textId="216013BB">
      <w:pPr>
        <w:pStyle w:val="FERCparanumber"/>
      </w:pPr>
      <w:r>
        <w:t>W</w:t>
      </w:r>
      <w:r w:rsidR="00A109F7">
        <w:t xml:space="preserve">e acknowledge that </w:t>
      </w:r>
      <w:r w:rsidRPr="00334D1C" w:rsidR="00A109F7">
        <w:t xml:space="preserve">the timing and location of distribution utility overrides </w:t>
      </w:r>
      <w:r w:rsidR="008842F1">
        <w:t xml:space="preserve">of dispatch instructions </w:t>
      </w:r>
      <w:r w:rsidRPr="00334D1C" w:rsidR="00A109F7">
        <w:t xml:space="preserve">are outside of the control of </w:t>
      </w:r>
      <w:r w:rsidR="00A109F7">
        <w:t xml:space="preserve">distributed energy resource </w:t>
      </w:r>
      <w:r w:rsidRPr="00334D1C" w:rsidR="00A109F7">
        <w:t>aggregat</w:t>
      </w:r>
      <w:r w:rsidR="00A109F7">
        <w:t>ors</w:t>
      </w:r>
      <w:r w:rsidRPr="00334D1C" w:rsidR="00A109F7">
        <w:t xml:space="preserve">, and </w:t>
      </w:r>
      <w:r w:rsidR="00A109F7">
        <w:t>that aggregators m</w:t>
      </w:r>
      <w:r w:rsidRPr="00334D1C" w:rsidR="00A109F7">
        <w:t xml:space="preserve">ay not have advance notice of overrides during an operating day.  </w:t>
      </w:r>
      <w:r w:rsidR="00DE139C">
        <w:t>In response to</w:t>
      </w:r>
      <w:r w:rsidR="00A109F7">
        <w:t xml:space="preserve"> commenters </w:t>
      </w:r>
      <w:r w:rsidR="0055159E">
        <w:t xml:space="preserve">who state </w:t>
      </w:r>
      <w:r w:rsidR="00A109F7">
        <w:t>that</w:t>
      </w:r>
      <w:r w:rsidR="00844276">
        <w:t xml:space="preserve"> distribution utilities must have protection from liability</w:t>
      </w:r>
      <w:r w:rsidR="00A109F7">
        <w:t xml:space="preserve"> </w:t>
      </w:r>
      <w:r w:rsidRPr="008E70E1" w:rsidR="00A109F7">
        <w:t>in the event of a curtailment</w:t>
      </w:r>
      <w:r w:rsidR="00A109F7">
        <w:t xml:space="preserve"> or an outage caused by the distribution system operator’s </w:t>
      </w:r>
      <w:r w:rsidRPr="00844276" w:rsidR="00844276">
        <w:t xml:space="preserve">actions to preserve the safety and reliability of the </w:t>
      </w:r>
      <w:r w:rsidRPr="00C84049" w:rsidR="00844276">
        <w:t>distribution system,</w:t>
      </w:r>
      <w:r w:rsidRPr="00C84049" w:rsidR="003B61F1">
        <w:rPr>
          <w:b/>
          <w:vertAlign w:val="superscript"/>
        </w:rPr>
        <w:footnoteReference w:id="745"/>
      </w:r>
      <w:r w:rsidRPr="00C84049" w:rsidR="00AB37BE">
        <w:t xml:space="preserve"> we decline to impose any specific liability </w:t>
      </w:r>
      <w:r w:rsidRPr="00C84049" w:rsidR="003B61F1">
        <w:t>provisions</w:t>
      </w:r>
      <w:r w:rsidRPr="00C84049" w:rsidR="00A109F7">
        <w:t xml:space="preserve">.  </w:t>
      </w:r>
      <w:r w:rsidRPr="00C84049" w:rsidR="00E332D0">
        <w:t>Given the arguments advanced by commenters,</w:t>
      </w:r>
      <w:r w:rsidRPr="00C84049" w:rsidR="00173E5E">
        <w:t xml:space="preserve"> we are not persuaded that all distribution providers face similar liability concerns and that these concerns should be addressed through standardized liability provisions in RTO/ISO tariffs</w:t>
      </w:r>
      <w:r w:rsidRPr="00C84049" w:rsidR="00D66B3F">
        <w:t xml:space="preserve">. </w:t>
      </w:r>
      <w:r w:rsidRPr="00C84049" w:rsidR="00E332D0">
        <w:t xml:space="preserve">Accordingly, </w:t>
      </w:r>
      <w:r w:rsidRPr="00C84049" w:rsidR="00D66B3F">
        <w:t xml:space="preserve">we decline to </w:t>
      </w:r>
      <w:r w:rsidRPr="00C84049" w:rsidR="00173E5E">
        <w:t xml:space="preserve">establish a generic </w:t>
      </w:r>
      <w:r w:rsidRPr="00C84049" w:rsidR="00D66B3F">
        <w:t>require</w:t>
      </w:r>
      <w:r w:rsidRPr="00C84049" w:rsidR="00173E5E">
        <w:t>ment for RTOs/ISOs with respect to liability provisions.</w:t>
      </w:r>
      <w:r w:rsidRPr="00C84049" w:rsidR="00D66B3F">
        <w:t xml:space="preserve"> </w:t>
      </w:r>
    </w:p>
    <w:p w:rsidR="00ED6F47" w:rsidP="00ED6F47" w:rsidRDefault="00ED6F47" w14:paraId="7C80A8C1" w14:textId="193DFC75">
      <w:pPr>
        <w:pStyle w:val="Heading3"/>
      </w:pPr>
      <w:bookmarkStart w:name="_bmk75" w:id="121"/>
      <w:r>
        <w:t>R</w:t>
      </w:r>
      <w:bookmarkEnd w:id="121"/>
      <w:r>
        <w:t>ole of R</w:t>
      </w:r>
      <w:r w:rsidR="00C83DAD">
        <w:t xml:space="preserve">elevant </w:t>
      </w:r>
      <w:r>
        <w:t>E</w:t>
      </w:r>
      <w:r w:rsidR="00C83DAD">
        <w:t xml:space="preserve">lectric </w:t>
      </w:r>
      <w:r>
        <w:t>R</w:t>
      </w:r>
      <w:r w:rsidR="00C83DAD">
        <w:t xml:space="preserve">etail </w:t>
      </w:r>
      <w:r>
        <w:t>R</w:t>
      </w:r>
      <w:r w:rsidR="00C83DAD">
        <w:t xml:space="preserve">egulatory </w:t>
      </w:r>
      <w:r>
        <w:t>A</w:t>
      </w:r>
      <w:r w:rsidR="00C83DAD">
        <w:t>uthoritie</w:t>
      </w:r>
      <w:r>
        <w:t>s</w:t>
      </w:r>
    </w:p>
    <w:p w:rsidR="002C2AE6" w:rsidP="00875A6F" w:rsidRDefault="002C2AE6" w14:paraId="261BD11C" w14:textId="054BF734">
      <w:pPr>
        <w:pStyle w:val="Heading4"/>
      </w:pPr>
      <w:bookmarkStart w:name="_bmk76" w:id="122"/>
      <w:r>
        <w:t>N</w:t>
      </w:r>
      <w:bookmarkEnd w:id="122"/>
      <w:r>
        <w:t>OPR Proposal</w:t>
      </w:r>
    </w:p>
    <w:p w:rsidR="00ED6F47" w:rsidP="00ED6F47" w:rsidRDefault="00F6109D" w14:paraId="0CDABA81" w14:textId="67C629DB">
      <w:pPr>
        <w:pStyle w:val="FERCparanumber"/>
      </w:pPr>
      <w:r w:rsidRPr="00F6109D">
        <w:t>The NOPR did not directly address the role of relevant electric retail regulatory authorities in coordination</w:t>
      </w:r>
      <w:r w:rsidR="00714D9B">
        <w:t xml:space="preserve"> </w:t>
      </w:r>
      <w:r w:rsidR="00E625B7">
        <w:t xml:space="preserve">with </w:t>
      </w:r>
      <w:r w:rsidRPr="00FA5179" w:rsidR="0033395F">
        <w:t xml:space="preserve">the RTO/ISO, the distributed energy resource aggregator, and the distribution utility </w:t>
      </w:r>
      <w:r w:rsidR="00AA4AB2">
        <w:t>when a distribut</w:t>
      </w:r>
      <w:r w:rsidR="007D2636">
        <w:t>ed</w:t>
      </w:r>
      <w:r w:rsidR="00AA4AB2">
        <w:t xml:space="preserve"> energy resource aggregation</w:t>
      </w:r>
      <w:r w:rsidR="0041567A">
        <w:t xml:space="preserve"> seeks to participate in an RTO/ISO market</w:t>
      </w:r>
      <w:r w:rsidRPr="00F6109D">
        <w:t xml:space="preserve">.  However, </w:t>
      </w:r>
      <w:r w:rsidR="006E6A54">
        <w:t xml:space="preserve">after the </w:t>
      </w:r>
      <w:r w:rsidR="00EB01CC">
        <w:t xml:space="preserve">April 2018 </w:t>
      </w:r>
      <w:r w:rsidR="006E6A54">
        <w:t xml:space="preserve">technical conference, the Commission sought comment on </w:t>
      </w:r>
      <w:r w:rsidRPr="00F6109D">
        <w:t>the role of relevant electric retail regulatory authorities in coordination.</w:t>
      </w:r>
    </w:p>
    <w:p w:rsidR="00ED6F47" w:rsidP="00ED6F47" w:rsidRDefault="00ED6F47" w14:paraId="074DE51D" w14:textId="2DA5D0DA">
      <w:pPr>
        <w:pStyle w:val="Heading4"/>
      </w:pPr>
      <w:bookmarkStart w:name="_bmk77" w:id="123"/>
      <w:r>
        <w:t>C</w:t>
      </w:r>
      <w:bookmarkEnd w:id="123"/>
      <w:r>
        <w:t>omments</w:t>
      </w:r>
    </w:p>
    <w:p w:rsidR="00F6109D" w:rsidP="00F6109D" w:rsidRDefault="00F6109D" w14:paraId="5C45AAC5" w14:textId="32E6FF9A">
      <w:pPr>
        <w:pStyle w:val="FERCparanumber"/>
        <w:tabs>
          <w:tab w:val="clear" w:pos="720"/>
          <w:tab w:val="num" w:pos="1080"/>
        </w:tabs>
      </w:pPr>
      <w:r>
        <w:t xml:space="preserve">Most commenters assert that relevant electric retail regulatory authorities have a central and key role in coordination </w:t>
      </w:r>
      <w:r w:rsidR="00A36E2D">
        <w:t>and</w:t>
      </w:r>
      <w:r>
        <w:t xml:space="preserve"> that </w:t>
      </w:r>
      <w:r w:rsidR="00C0757C">
        <w:t>the responsibilities of such authorities</w:t>
      </w:r>
      <w:r>
        <w:t xml:space="preserve"> should be focused on setting rules and supervising distribution utility review of distributed energy resource participation</w:t>
      </w:r>
      <w:r w:rsidR="00C0757C">
        <w:t xml:space="preserve"> in aggregations</w:t>
      </w:r>
      <w:r>
        <w:t xml:space="preserve">.  </w:t>
      </w:r>
    </w:p>
    <w:p w:rsidR="00F6109D" w:rsidP="00F6109D" w:rsidRDefault="00DA2BED" w14:paraId="77B52094" w14:textId="43FB0802">
      <w:pPr>
        <w:pStyle w:val="FERCparanumber"/>
      </w:pPr>
      <w:r>
        <w:t>Some r</w:t>
      </w:r>
      <w:r w:rsidR="00F6109D">
        <w:t xml:space="preserve">elevant electric retail regulatory authorities argue that they must have a </w:t>
      </w:r>
      <w:r w:rsidR="00C0757C">
        <w:t>central</w:t>
      </w:r>
      <w:r w:rsidR="00F6109D">
        <w:t xml:space="preserve"> role in coordination to ensure that their jurisdiction is preserved as it relates to market activities on the distribution system by distributed energy resource</w:t>
      </w:r>
      <w:r w:rsidR="00A36E2D">
        <w:t>s participating in RTO/ISO markets</w:t>
      </w:r>
      <w:r w:rsidR="00F6109D">
        <w:t>.</w:t>
      </w:r>
      <w:r w:rsidR="00F6109D">
        <w:rPr>
          <w:rStyle w:val="FootnoteReference"/>
        </w:rPr>
        <w:footnoteReference w:id="746"/>
      </w:r>
      <w:r w:rsidR="00F6109D">
        <w:t xml:space="preserve">  </w:t>
      </w:r>
      <w:r w:rsidRPr="0046198D" w:rsidR="003A584D">
        <w:t>Vice Chairman</w:t>
      </w:r>
      <w:r w:rsidR="00F6109D">
        <w:t xml:space="preserve"> Place request</w:t>
      </w:r>
      <w:r w:rsidR="00957365">
        <w:t>s</w:t>
      </w:r>
      <w:r w:rsidR="00F6109D">
        <w:t xml:space="preserve"> that</w:t>
      </w:r>
      <w:r w:rsidR="00A36E2D">
        <w:t xml:space="preserve"> </w:t>
      </w:r>
      <w:r w:rsidR="004A7E7B">
        <w:t>the Commission require</w:t>
      </w:r>
      <w:r w:rsidR="00A36E2D">
        <w:t xml:space="preserve"> the role of relevant electric retail regulatory authorities be reflected in RTO/ISO rules, and </w:t>
      </w:r>
      <w:r w:rsidR="00F6109D">
        <w:t>that, if the Commission sets roles and responsibilities in RTO/ISO rules, relevant electric retail regulatory authorities should participate in setting these rules.</w:t>
      </w:r>
      <w:r w:rsidR="00F6109D">
        <w:rPr>
          <w:rStyle w:val="FootnoteReference"/>
        </w:rPr>
        <w:footnoteReference w:id="747"/>
      </w:r>
      <w:r w:rsidR="00F6109D">
        <w:t xml:space="preserve">  In addition, the Organization of MISO States </w:t>
      </w:r>
      <w:r w:rsidR="00E36CCA">
        <w:t xml:space="preserve">contends </w:t>
      </w:r>
      <w:r w:rsidR="00F6109D">
        <w:t xml:space="preserve">that relevant electric retail regulatory authorities </w:t>
      </w:r>
      <w:r w:rsidRPr="00E73162" w:rsidR="00F6109D">
        <w:t>will need to be aware of coordination efforts and be able to participate in, and in some cases lead, these efforts based on jurisdictional scope</w:t>
      </w:r>
      <w:r w:rsidR="00C0757C">
        <w:t>,</w:t>
      </w:r>
      <w:r w:rsidRPr="00E73162" w:rsidR="00F6109D">
        <w:t xml:space="preserve"> prevalence of </w:t>
      </w:r>
      <w:r w:rsidR="00F6109D">
        <w:t>distributed energy resource</w:t>
      </w:r>
      <w:r w:rsidRPr="00E73162" w:rsidR="00F6109D">
        <w:t xml:space="preserve"> penetration</w:t>
      </w:r>
      <w:r w:rsidR="00C0757C">
        <w:t>,</w:t>
      </w:r>
      <w:r w:rsidRPr="00E73162" w:rsidR="00F6109D">
        <w:t xml:space="preserve"> and state </w:t>
      </w:r>
      <w:r w:rsidR="00F6109D">
        <w:t xml:space="preserve">and local </w:t>
      </w:r>
      <w:r w:rsidRPr="00E73162" w:rsidR="00F6109D">
        <w:t>policy</w:t>
      </w:r>
      <w:r w:rsidR="00F6109D">
        <w:t>.</w:t>
      </w:r>
      <w:r w:rsidR="00F6109D">
        <w:rPr>
          <w:rStyle w:val="FootnoteReference"/>
        </w:rPr>
        <w:footnoteReference w:id="748"/>
      </w:r>
      <w:r w:rsidR="00F6109D">
        <w:t xml:space="preserve">  </w:t>
      </w:r>
      <w:r w:rsidRPr="0046198D" w:rsidR="00957365">
        <w:t>Vice Chairman</w:t>
      </w:r>
      <w:r w:rsidR="00F6109D">
        <w:t xml:space="preserve"> Place requests that </w:t>
      </w:r>
      <w:r w:rsidRPr="00BC56B1" w:rsidR="00F6109D">
        <w:t xml:space="preserve">the </w:t>
      </w:r>
      <w:r w:rsidR="00F6109D">
        <w:t xml:space="preserve">relevant electric </w:t>
      </w:r>
      <w:r w:rsidRPr="00BC56B1" w:rsidR="00F6109D">
        <w:t>regulatory authority</w:t>
      </w:r>
      <w:r w:rsidR="00F6109D">
        <w:t>’s ability</w:t>
      </w:r>
      <w:r w:rsidRPr="00BC56B1" w:rsidR="00F6109D">
        <w:t xml:space="preserve"> to restrict </w:t>
      </w:r>
      <w:r w:rsidR="00F6109D">
        <w:t>distributed energy resource</w:t>
      </w:r>
      <w:r w:rsidRPr="00BC56B1" w:rsidR="00F6109D">
        <w:t xml:space="preserve"> participation in the wholesale market be maintained.</w:t>
      </w:r>
      <w:r w:rsidR="00F6109D">
        <w:rPr>
          <w:rStyle w:val="FootnoteReference"/>
        </w:rPr>
        <w:footnoteReference w:id="749"/>
      </w:r>
    </w:p>
    <w:p w:rsidR="00F6109D" w:rsidP="00F6109D" w:rsidRDefault="00F6109D" w14:paraId="7AAFC5DF" w14:textId="65B61CBA">
      <w:pPr>
        <w:pStyle w:val="FERCparanumber"/>
      </w:pPr>
      <w:r>
        <w:t xml:space="preserve">Distribution utilities generally agree with the comments from relevant electric retail regulatory authorities and </w:t>
      </w:r>
      <w:r w:rsidR="00104302">
        <w:t>support</w:t>
      </w:r>
      <w:r>
        <w:t xml:space="preserve"> a central and key role for relevant electric retail regulatory authorities in coordinating the participation of aggregated distributed energy resource in RTO/ISO markets.</w:t>
      </w:r>
      <w:r>
        <w:rPr>
          <w:rStyle w:val="FootnoteReference"/>
        </w:rPr>
        <w:footnoteReference w:id="750"/>
      </w:r>
      <w:r>
        <w:t xml:space="preserve">  Specific roles </w:t>
      </w:r>
      <w:r w:rsidR="00104302">
        <w:t xml:space="preserve">and responsibilities for relevant electric retail regulatory authorities </w:t>
      </w:r>
      <w:r>
        <w:t>identified by distribution utility commenters include</w:t>
      </w:r>
      <w:r w:rsidR="003958D7">
        <w:t>:</w:t>
      </w:r>
      <w:r>
        <w:t xml:space="preserve"> supervision of distribution utility review of distributed energy resource participation in aggregation</w:t>
      </w:r>
      <w:r w:rsidR="001C4793">
        <w:t>s</w:t>
      </w:r>
      <w:r w:rsidR="00104302">
        <w:t>;</w:t>
      </w:r>
      <w:r>
        <w:t xml:space="preserve"> evaluation of distributed energy resources interconnection to distribution facilities</w:t>
      </w:r>
      <w:r w:rsidR="00104302">
        <w:t>;</w:t>
      </w:r>
      <w:r>
        <w:t xml:space="preserve"> </w:t>
      </w:r>
      <w:r w:rsidR="00C64738">
        <w:t xml:space="preserve">overseeing issues regarding distribution system operation and </w:t>
      </w:r>
      <w:r w:rsidR="00523394">
        <w:t xml:space="preserve">reliability; data sharing; </w:t>
      </w:r>
      <w:r w:rsidR="00104302">
        <w:t>and</w:t>
      </w:r>
      <w:r>
        <w:t xml:space="preserve"> setting of metering </w:t>
      </w:r>
      <w:r w:rsidR="00A15847">
        <w:t>requirements</w:t>
      </w:r>
      <w:r>
        <w:t xml:space="preserve"> and related mechanisms to </w:t>
      </w:r>
      <w:r w:rsidR="00A15847">
        <w:t>distinguish wholesale and retail transactions</w:t>
      </w:r>
      <w:r>
        <w:t>.</w:t>
      </w:r>
      <w:r>
        <w:rPr>
          <w:rStyle w:val="FootnoteReference"/>
        </w:rPr>
        <w:footnoteReference w:id="751"/>
      </w:r>
      <w:r>
        <w:t xml:space="preserve">  Moreover, APPA requests that the Commission be explicit that nothing in the final rule preempts or otherwise limits the ability of relevant electric retail regulatory authorities to adopt rules or tariffs, and to set rates to recover and allocate the costs associated with facilitating wholesale market participation by aggregated distributed energy resources.</w:t>
      </w:r>
      <w:r>
        <w:rPr>
          <w:rStyle w:val="FootnoteReference"/>
        </w:rPr>
        <w:footnoteReference w:id="752"/>
      </w:r>
    </w:p>
    <w:p w:rsidR="00F6109D" w:rsidP="00F6109D" w:rsidRDefault="00D86AB5" w14:paraId="444702CF" w14:textId="0F9FE193">
      <w:pPr>
        <w:pStyle w:val="FERCparanumber"/>
      </w:pPr>
      <w:r>
        <w:t>CAISO</w:t>
      </w:r>
      <w:r w:rsidR="0057329E">
        <w:t xml:space="preserve"> also comment</w:t>
      </w:r>
      <w:r>
        <w:t>s</w:t>
      </w:r>
      <w:r w:rsidR="0057329E">
        <w:t xml:space="preserve"> in support of t</w:t>
      </w:r>
      <w:r w:rsidR="00F6109D">
        <w:t xml:space="preserve">he role of relevant electric retail regulatory authorities </w:t>
      </w:r>
      <w:r w:rsidR="00674703">
        <w:t>in</w:t>
      </w:r>
      <w:r w:rsidR="00F6109D">
        <w:t xml:space="preserve"> facilitat</w:t>
      </w:r>
      <w:r w:rsidR="00674703">
        <w:t>ing</w:t>
      </w:r>
      <w:r w:rsidR="00F6109D">
        <w:t xml:space="preserve"> coordination.  </w:t>
      </w:r>
      <w:r w:rsidR="0057329E">
        <w:t>B</w:t>
      </w:r>
      <w:r w:rsidR="00F6109D">
        <w:t>ased on its experience in California, CAISO identifie</w:t>
      </w:r>
      <w:r w:rsidR="0057329E">
        <w:t>s</w:t>
      </w:r>
      <w:r w:rsidR="00F6109D">
        <w:t xml:space="preserve"> several </w:t>
      </w:r>
      <w:r w:rsidR="003A584D">
        <w:t>possible</w:t>
      </w:r>
      <w:r w:rsidR="00674703">
        <w:t xml:space="preserve"> </w:t>
      </w:r>
      <w:r w:rsidR="00F6109D">
        <w:t xml:space="preserve">coordination roles </w:t>
      </w:r>
      <w:r w:rsidR="0057329E">
        <w:t xml:space="preserve">and responsibilities </w:t>
      </w:r>
      <w:r w:rsidR="00F6109D">
        <w:t>for relevant electric retail regulatory authorities</w:t>
      </w:r>
      <w:r w:rsidR="0057329E">
        <w:t>, including</w:t>
      </w:r>
      <w:r w:rsidR="003958D7">
        <w:t>:</w:t>
      </w:r>
      <w:r w:rsidR="00F6109D">
        <w:t xml:space="preserve"> establishing metering requirements for distributed energy resources</w:t>
      </w:r>
      <w:r w:rsidR="0057329E">
        <w:t>;</w:t>
      </w:r>
      <w:r w:rsidR="00F6109D">
        <w:t xml:space="preserve"> establishing rules for multi-use applications</w:t>
      </w:r>
      <w:r w:rsidR="0057329E">
        <w:t>;</w:t>
      </w:r>
      <w:r w:rsidR="00F6109D">
        <w:t xml:space="preserve"> providing oversight of distribution utility </w:t>
      </w:r>
      <w:r w:rsidR="002F0AAB">
        <w:t>review of distributed energy resource participation in an aggregation</w:t>
      </w:r>
      <w:r w:rsidR="0057329E">
        <w:t>;</w:t>
      </w:r>
      <w:r w:rsidR="00F6109D">
        <w:t xml:space="preserve"> and resolving distributed energy resource aggregation controversies.</w:t>
      </w:r>
      <w:r w:rsidR="00F6109D">
        <w:rPr>
          <w:rStyle w:val="FootnoteReference"/>
        </w:rPr>
        <w:footnoteReference w:id="753"/>
      </w:r>
      <w:r w:rsidR="00F6109D">
        <w:t xml:space="preserve">  As an example of the importance of relevant electric retail regulatory authorities in distributed energy resource coordination, CAISO reference</w:t>
      </w:r>
      <w:r w:rsidR="0057329E">
        <w:t>s</w:t>
      </w:r>
      <w:r w:rsidR="00F6109D">
        <w:t xml:space="preserve"> </w:t>
      </w:r>
      <w:r w:rsidR="00A375DE">
        <w:t>its</w:t>
      </w:r>
      <w:r w:rsidR="00F6109D">
        <w:t xml:space="preserve"> Commission-approved distributed energy resource process that requires </w:t>
      </w:r>
      <w:r w:rsidRPr="006C6FFD" w:rsidR="00F6109D">
        <w:t>that distributed energy resource providers comply with applicable utility distribution company tariffs</w:t>
      </w:r>
      <w:r w:rsidR="0057329E">
        <w:t>,</w:t>
      </w:r>
      <w:r w:rsidRPr="006C6FFD" w:rsidR="00F6109D">
        <w:t xml:space="preserve"> and operating procedures incorporated into those tariffs, as well as applicable requirements of the local regulatory authority.</w:t>
      </w:r>
      <w:r w:rsidR="00F6109D">
        <w:rPr>
          <w:rStyle w:val="FootnoteReference"/>
        </w:rPr>
        <w:footnoteReference w:id="754"/>
      </w:r>
      <w:r w:rsidR="00A20324">
        <w:t xml:space="preserve">  </w:t>
      </w:r>
    </w:p>
    <w:p w:rsidR="00F6109D" w:rsidP="00F6109D" w:rsidRDefault="00A20324" w14:paraId="73439058" w14:textId="1DAFE411">
      <w:pPr>
        <w:pStyle w:val="FERCparanumber"/>
      </w:pPr>
      <w:r>
        <w:t>Conversely, o</w:t>
      </w:r>
      <w:r w:rsidR="00F6109D">
        <w:t>ther commenters argue for a somewhat more limited role for relevant electric retail regulatory authorities</w:t>
      </w:r>
      <w:r w:rsidR="0057329E">
        <w:t>.</w:t>
      </w:r>
      <w:r w:rsidR="00F6109D">
        <w:t xml:space="preserve"> </w:t>
      </w:r>
      <w:r w:rsidR="0057329E">
        <w:t xml:space="preserve"> Advanced Energy Management</w:t>
      </w:r>
      <w:r w:rsidR="00F6109D">
        <w:t xml:space="preserve"> argue</w:t>
      </w:r>
      <w:r w:rsidR="0057329E">
        <w:t>s</w:t>
      </w:r>
      <w:r w:rsidR="00F6109D">
        <w:t xml:space="preserve"> that </w:t>
      </w:r>
      <w:r w:rsidR="0057329E">
        <w:t xml:space="preserve">the </w:t>
      </w:r>
      <w:r w:rsidR="00F6109D">
        <w:t xml:space="preserve">role </w:t>
      </w:r>
      <w:r w:rsidR="0057329E">
        <w:t>of relevant electric retail regulatory authorities</w:t>
      </w:r>
      <w:r w:rsidR="00F6109D">
        <w:t xml:space="preserve"> should be limited to defining non-discriminatory interconnection procedures that ensure the distribution grid can accommodate distributed energy resources, and </w:t>
      </w:r>
      <w:r w:rsidR="003958D7">
        <w:t xml:space="preserve">ensuring </w:t>
      </w:r>
      <w:r w:rsidR="00F6109D">
        <w:t xml:space="preserve">that the distributed energy resource can safely deliver </w:t>
      </w:r>
      <w:r w:rsidR="001C4793">
        <w:t>energy</w:t>
      </w:r>
      <w:r w:rsidR="00F6109D">
        <w:t xml:space="preserve"> to the grid.</w:t>
      </w:r>
      <w:r w:rsidR="00F6109D">
        <w:rPr>
          <w:rStyle w:val="FootnoteReference"/>
        </w:rPr>
        <w:footnoteReference w:id="755"/>
      </w:r>
      <w:r w:rsidR="00F6109D">
        <w:t xml:space="preserve">  Icetec asserts that the </w:t>
      </w:r>
      <w:r w:rsidRPr="00234B7F" w:rsidR="00F6109D">
        <w:t xml:space="preserve">coordination </w:t>
      </w:r>
      <w:r w:rsidR="00F6109D">
        <w:t xml:space="preserve">of distributed energy resource registrations </w:t>
      </w:r>
      <w:r w:rsidRPr="00234B7F" w:rsidR="00F6109D">
        <w:t xml:space="preserve">should not become a vehicle for distribution utilities or </w:t>
      </w:r>
      <w:r w:rsidR="00F6109D">
        <w:t>relevant electric retail regulatory authorities</w:t>
      </w:r>
      <w:r w:rsidRPr="00234B7F" w:rsidR="00F6109D">
        <w:t xml:space="preserve"> to exercise improper authority over eligibility to participate in wholesale markets.</w:t>
      </w:r>
      <w:r w:rsidR="00F6109D">
        <w:rPr>
          <w:rStyle w:val="FootnoteReference"/>
        </w:rPr>
        <w:footnoteReference w:id="756"/>
      </w:r>
      <w:r w:rsidR="00F6109D">
        <w:t xml:space="preserve"> </w:t>
      </w:r>
      <w:r w:rsidR="001C4793">
        <w:t xml:space="preserve"> </w:t>
      </w:r>
      <w:r w:rsidR="00F6109D">
        <w:t xml:space="preserve">In order to forestall this possible intervention, Icetec recommends making </w:t>
      </w:r>
      <w:r w:rsidRPr="00234B7F" w:rsidR="00F6109D">
        <w:t>distribution interconnection and registration for wholesale mark</w:t>
      </w:r>
      <w:r w:rsidR="00F6109D">
        <w:t>ets entirely separate processes.</w:t>
      </w:r>
      <w:r w:rsidR="00F6109D">
        <w:rPr>
          <w:rStyle w:val="FootnoteReference"/>
        </w:rPr>
        <w:footnoteReference w:id="757"/>
      </w:r>
    </w:p>
    <w:p w:rsidRPr="0018315C" w:rsidR="00A20324" w:rsidP="00A20324" w:rsidRDefault="00F6109D" w14:paraId="3ED834F8" w14:textId="7FF4B0D5">
      <w:pPr>
        <w:pStyle w:val="FERCparanumber"/>
        <w:rPr>
          <w:szCs w:val="26"/>
        </w:rPr>
      </w:pPr>
      <w:r w:rsidRPr="0018315C">
        <w:t>Some commenters urge the Commission to respect state</w:t>
      </w:r>
      <w:r>
        <w:t xml:space="preserve"> and local</w:t>
      </w:r>
      <w:r w:rsidRPr="0018315C">
        <w:t xml:space="preserve"> concerns regarding </w:t>
      </w:r>
      <w:r>
        <w:t>distributed energy resource</w:t>
      </w:r>
      <w:r w:rsidRPr="0018315C">
        <w:t xml:space="preserve"> aggregations.  APPA states that the Commission should afford distribution utilities and their </w:t>
      </w:r>
      <w:r>
        <w:t>relevant electric retail regulatory authoritie</w:t>
      </w:r>
      <w:r w:rsidRPr="0018315C">
        <w:t xml:space="preserve">s a key role in coordinating the participation of aggregated </w:t>
      </w:r>
      <w:r>
        <w:t>distributed energy resource</w:t>
      </w:r>
      <w:r w:rsidR="001C4793">
        <w:t>s</w:t>
      </w:r>
      <w:r w:rsidRPr="0018315C">
        <w:t xml:space="preserve"> in RTO/ISO markets.</w:t>
      </w:r>
      <w:r w:rsidRPr="003F6C6E">
        <w:rPr>
          <w:rStyle w:val="FootnoteReference"/>
          <w:szCs w:val="26"/>
        </w:rPr>
        <w:footnoteReference w:id="758"/>
      </w:r>
      <w:r w:rsidRPr="0018315C">
        <w:t xml:space="preserve">  </w:t>
      </w:r>
      <w:r>
        <w:t>Th</w:t>
      </w:r>
      <w:r w:rsidRPr="0018315C">
        <w:t>e Indiana Commission state</w:t>
      </w:r>
      <w:r>
        <w:t>s that</w:t>
      </w:r>
      <w:r w:rsidRPr="0018315C">
        <w:t xml:space="preserve"> </w:t>
      </w:r>
      <w:r>
        <w:t>distributed energy resource</w:t>
      </w:r>
      <w:r w:rsidRPr="0018315C">
        <w:t xml:space="preserve"> wholesale participation must work in tandem with, and not in contravention of, Indiana's utility regulatory framework.</w:t>
      </w:r>
      <w:r w:rsidR="00DE4B99">
        <w:rPr>
          <w:rStyle w:val="FootnoteReference"/>
        </w:rPr>
        <w:footnoteReference w:id="759"/>
      </w:r>
      <w:r w:rsidR="00A20324">
        <w:t xml:space="preserve">  </w:t>
      </w:r>
      <w:r w:rsidRPr="009630BD" w:rsidR="00A20324">
        <w:t xml:space="preserve">PJM Utilities Coalition urges the Commission to defer to </w:t>
      </w:r>
      <w:r w:rsidR="00A20324">
        <w:t>relevant electric retail regulatory authoritie</w:t>
      </w:r>
      <w:r w:rsidRPr="009630BD" w:rsidR="00A20324">
        <w:t>s in fashioning programs that integrate distributed energy resources into the distribution system, asserting that states are uniquely positioned to balance the benefits of distributed energy resource participation in wholesale markets with costs and other adverse impacts on distribution systems and retail load.</w:t>
      </w:r>
      <w:r w:rsidRPr="003F6C6E" w:rsidR="00A20324">
        <w:rPr>
          <w:rStyle w:val="FootnoteReference"/>
        </w:rPr>
        <w:footnoteReference w:id="760"/>
      </w:r>
    </w:p>
    <w:p w:rsidRPr="00ED6F47" w:rsidR="00ED6F47" w:rsidP="00F6109D" w:rsidRDefault="00F6109D" w14:paraId="525B3298" w14:textId="45B75F65">
      <w:pPr>
        <w:pStyle w:val="FERCparanumber"/>
      </w:pPr>
      <w:r w:rsidRPr="00354EAA">
        <w:t>The California Commission recommends that, given the complexity of ensuring just compensation for resources, it is most appropriate for local regulatory authorities to establish distinctly defined services and rules to govern coordination across wholesale and retail markets.</w:t>
      </w:r>
      <w:r w:rsidRPr="00354EAA">
        <w:rPr>
          <w:b/>
          <w:vertAlign w:val="superscript"/>
        </w:rPr>
        <w:footnoteReference w:id="761"/>
      </w:r>
    </w:p>
    <w:p w:rsidR="00ED6F47" w:rsidP="00ED6F47" w:rsidRDefault="00ED6F47" w14:paraId="0FB0DFBE" w14:textId="77777777">
      <w:pPr>
        <w:pStyle w:val="Heading4"/>
      </w:pPr>
      <w:bookmarkStart w:name="_bmk78" w:id="124"/>
      <w:r>
        <w:t>C</w:t>
      </w:r>
      <w:bookmarkEnd w:id="124"/>
      <w:r>
        <w:t>ommission Determination</w:t>
      </w:r>
    </w:p>
    <w:p w:rsidR="00B373D3" w:rsidP="00B373D3" w:rsidRDefault="00BE3BE5" w14:paraId="3C862803" w14:textId="2042EC0D">
      <w:pPr>
        <w:pStyle w:val="FERCparanumber"/>
      </w:pPr>
      <w:r>
        <w:t>In consideration of the comments</w:t>
      </w:r>
      <w:r w:rsidR="00070E96">
        <w:t xml:space="preserve"> and</w:t>
      </w:r>
      <w:r>
        <w:t xml:space="preserve"> </w:t>
      </w:r>
      <w:r w:rsidR="001A314A">
        <w:t xml:space="preserve">to implement </w:t>
      </w:r>
      <w:r w:rsidR="00202177">
        <w:t>§</w:t>
      </w:r>
      <w:r w:rsidR="001A314A">
        <w:t xml:space="preserve"> </w:t>
      </w:r>
      <w:r w:rsidRPr="00961D4C" w:rsidR="001A314A">
        <w:t>35.28(g)(1</w:t>
      </w:r>
      <w:r w:rsidR="00CD5DB1">
        <w:t>2</w:t>
      </w:r>
      <w:r w:rsidRPr="00961D4C" w:rsidR="001A314A">
        <w:t>)(ii)(g)</w:t>
      </w:r>
      <w:r w:rsidR="001A314A">
        <w:t xml:space="preserve"> of the Commission’s regulations, </w:t>
      </w:r>
      <w:r w:rsidDel="00BE3BE5">
        <w:t xml:space="preserve">we require each </w:t>
      </w:r>
      <w:r w:rsidRPr="003E0E24" w:rsidDel="00BE3BE5">
        <w:t xml:space="preserve">RTO/ISO to </w:t>
      </w:r>
      <w:r w:rsidDel="00BE3BE5">
        <w:t>specify in its tariff, as part of the market rules on coordination</w:t>
      </w:r>
      <w:r w:rsidRPr="004A33E3" w:rsidR="004A33E3">
        <w:t xml:space="preserve"> </w:t>
      </w:r>
      <w:r w:rsidR="004A33E3">
        <w:t xml:space="preserve">between </w:t>
      </w:r>
      <w:r w:rsidRPr="00FA5179" w:rsidR="004A33E3">
        <w:t>the RTO/ISO, the distributed energy resource aggregator, and the distribution utility</w:t>
      </w:r>
      <w:r w:rsidDel="00BE3BE5">
        <w:t xml:space="preserve">, how each RTO/ISO will </w:t>
      </w:r>
      <w:r w:rsidRPr="003E0E24" w:rsidDel="00BE3BE5">
        <w:t xml:space="preserve">accommodate and incorporate </w:t>
      </w:r>
      <w:r w:rsidDel="00BE3BE5">
        <w:t>voluntary relevant electric retail regulatory authority</w:t>
      </w:r>
      <w:r w:rsidRPr="003E0E24" w:rsidDel="00BE3BE5">
        <w:t xml:space="preserve"> involvement in </w:t>
      </w:r>
      <w:r w:rsidRPr="00667680" w:rsidR="00667680">
        <w:t>coordinating the participation of aggregated distributed energy resource</w:t>
      </w:r>
      <w:r w:rsidR="004C7BC1">
        <w:t>s</w:t>
      </w:r>
      <w:r w:rsidRPr="00667680" w:rsidR="00667680">
        <w:t xml:space="preserve"> in RTO/ISO markets</w:t>
      </w:r>
      <w:r w:rsidR="00A11174">
        <w:t>.</w:t>
      </w:r>
      <w:r>
        <w:t xml:space="preserve">  </w:t>
      </w:r>
      <w:r w:rsidR="00B0260C">
        <w:t>We</w:t>
      </w:r>
      <w:r w:rsidR="00B373D3">
        <w:t xml:space="preserve"> agree </w:t>
      </w:r>
      <w:r w:rsidR="0043227A">
        <w:t>with commenters</w:t>
      </w:r>
      <w:r w:rsidR="00B373D3">
        <w:t xml:space="preserve"> that relevant electric retail regulatory authorities have a role in coordination</w:t>
      </w:r>
      <w:r w:rsidR="000629BA">
        <w:t xml:space="preserve">, </w:t>
      </w:r>
      <w:r w:rsidR="00D53224">
        <w:t>i.e.,</w:t>
      </w:r>
      <w:r w:rsidR="00B74BE0">
        <w:t xml:space="preserve"> </w:t>
      </w:r>
      <w:r w:rsidRPr="003E0E24" w:rsidR="00B74BE0">
        <w:t>in setting rules at the distribution level and in RTO/ISO stakeholder discussions</w:t>
      </w:r>
      <w:r w:rsidR="00B373D3">
        <w:t xml:space="preserve">.  Many relevant electric retail regulatory authorities indicate strong interest in participating in </w:t>
      </w:r>
      <w:r w:rsidR="00606AEF">
        <w:t xml:space="preserve">such </w:t>
      </w:r>
      <w:r w:rsidR="00B373D3">
        <w:t xml:space="preserve">coordination.  </w:t>
      </w:r>
    </w:p>
    <w:p w:rsidRPr="00ED6F47" w:rsidR="0035666D" w:rsidP="0035666D" w:rsidRDefault="0035666D" w14:paraId="1603FB3A" w14:textId="77777777">
      <w:pPr>
        <w:pStyle w:val="FERCparanumber"/>
      </w:pPr>
      <w:r>
        <w:t>We note that the roles delineated in CAISO’s Distributed Energy Resource Provider tariff provisions may provide an example of how relevant electric retail regulatory authorities could be involved in coordinating the participation of distributed energy resource aggregations in RTO/ISO markets.  CAISO’s D</w:t>
      </w:r>
      <w:r w:rsidRPr="00E9536B">
        <w:t xml:space="preserve">istributed </w:t>
      </w:r>
      <w:r>
        <w:t>E</w:t>
      </w:r>
      <w:r w:rsidRPr="00E9536B">
        <w:t xml:space="preserve">nergy </w:t>
      </w:r>
      <w:r>
        <w:t>R</w:t>
      </w:r>
      <w:r w:rsidRPr="00E9536B">
        <w:t xml:space="preserve">esource </w:t>
      </w:r>
      <w:r>
        <w:t>Provider model</w:t>
      </w:r>
      <w:r w:rsidRPr="00E9536B">
        <w:t xml:space="preserve"> requires that distributed energy resource providers comply with applicable utility distribution company tariffs and operating procedures incorporated into those tariffs, as well as applicable requirements of the local regulatory authority</w:t>
      </w:r>
      <w:r>
        <w:t>.</w:t>
      </w:r>
      <w:r>
        <w:rPr>
          <w:rStyle w:val="FootnoteReference"/>
        </w:rPr>
        <w:footnoteReference w:id="762"/>
      </w:r>
    </w:p>
    <w:p w:rsidRPr="00C84049" w:rsidR="00ED6F47" w:rsidP="00C84049" w:rsidRDefault="00B373D3" w14:paraId="6002DBBF" w14:textId="64B5C9FE">
      <w:pPr>
        <w:pStyle w:val="FERCparanumber"/>
      </w:pPr>
      <w:r>
        <w:t xml:space="preserve">We </w:t>
      </w:r>
      <w:r w:rsidR="001E7AA5">
        <w:t>further</w:t>
      </w:r>
      <w:r>
        <w:t xml:space="preserve"> note that possible </w:t>
      </w:r>
      <w:r w:rsidR="00482C44">
        <w:t>roles and responsibilities of</w:t>
      </w:r>
      <w:r>
        <w:t xml:space="preserve"> relevant electric retail regulatory authorities </w:t>
      </w:r>
      <w:r w:rsidR="00B1454E">
        <w:t>in coordinating the participation of distributed energy resource aggregations in</w:t>
      </w:r>
      <w:r w:rsidR="00691FB4">
        <w:t xml:space="preserve"> RTO/ISO markets</w:t>
      </w:r>
      <w:r>
        <w:t xml:space="preserve"> may include, but are not limited to</w:t>
      </w:r>
      <w:r w:rsidR="003958D7">
        <w:t>:</w:t>
      </w:r>
      <w:r>
        <w:t xml:space="preserve"> </w:t>
      </w:r>
      <w:r w:rsidRPr="00E9536B">
        <w:t>develop</w:t>
      </w:r>
      <w:r>
        <w:t>ing</w:t>
      </w:r>
      <w:r w:rsidRPr="00E9536B">
        <w:t xml:space="preserve"> interconnection agreements</w:t>
      </w:r>
      <w:r>
        <w:t xml:space="preserve"> and rules; </w:t>
      </w:r>
      <w:r w:rsidRPr="00E9536B">
        <w:t>develop</w:t>
      </w:r>
      <w:r>
        <w:t>ing</w:t>
      </w:r>
      <w:r w:rsidRPr="00E9536B">
        <w:t xml:space="preserve"> </w:t>
      </w:r>
      <w:r w:rsidR="00E87407">
        <w:t>local</w:t>
      </w:r>
      <w:r w:rsidR="00A612C2">
        <w:t xml:space="preserve"> </w:t>
      </w:r>
      <w:r w:rsidRPr="00E9536B">
        <w:t xml:space="preserve">rules to ensure </w:t>
      </w:r>
      <w:r w:rsidR="00C5025B">
        <w:t xml:space="preserve">distribution system safety and </w:t>
      </w:r>
      <w:r w:rsidRPr="00E9536B">
        <w:t>reliability, data sharing</w:t>
      </w:r>
      <w:r>
        <w:t xml:space="preserve">, </w:t>
      </w:r>
      <w:r w:rsidR="00C20E99">
        <w:t>and/</w:t>
      </w:r>
      <w:r>
        <w:t>or metering and telemetry</w:t>
      </w:r>
      <w:r w:rsidR="006455E4">
        <w:t xml:space="preserve"> requirements</w:t>
      </w:r>
      <w:r>
        <w:t xml:space="preserve">; </w:t>
      </w:r>
      <w:r w:rsidR="00674703">
        <w:t>overseeing</w:t>
      </w:r>
      <w:r w:rsidRPr="00E9536B" w:rsidR="00674703">
        <w:t xml:space="preserve"> </w:t>
      </w:r>
      <w:r w:rsidRPr="00E9536B">
        <w:t xml:space="preserve">distribution utility review of </w:t>
      </w:r>
      <w:r>
        <w:t>distributed energy resource</w:t>
      </w:r>
      <w:r w:rsidRPr="00E9536B">
        <w:t xml:space="preserve"> participation in aggregation</w:t>
      </w:r>
      <w:r>
        <w:t xml:space="preserve">s; </w:t>
      </w:r>
      <w:r w:rsidRPr="00E9536B">
        <w:t>establishing rules for multi-use applications</w:t>
      </w:r>
      <w:r>
        <w:t>;</w:t>
      </w:r>
      <w:r w:rsidRPr="00E9536B">
        <w:t xml:space="preserve"> and resolving </w:t>
      </w:r>
      <w:r w:rsidR="00793DFF">
        <w:t xml:space="preserve">disputes between </w:t>
      </w:r>
      <w:r>
        <w:t>distributed energy resource</w:t>
      </w:r>
      <w:r w:rsidRPr="00E9536B">
        <w:t xml:space="preserve"> aggregat</w:t>
      </w:r>
      <w:r w:rsidR="00793DFF">
        <w:t>ors and</w:t>
      </w:r>
      <w:r w:rsidR="006455E4">
        <w:t xml:space="preserve"> </w:t>
      </w:r>
      <w:r w:rsidR="00793DFF">
        <w:t>distribution utilit</w:t>
      </w:r>
      <w:r w:rsidR="00E05378">
        <w:t>ies</w:t>
      </w:r>
      <w:r w:rsidR="00793DFF">
        <w:t xml:space="preserve"> over issues such </w:t>
      </w:r>
      <w:r w:rsidR="00E05378">
        <w:t>as</w:t>
      </w:r>
      <w:r w:rsidR="00793DFF">
        <w:t xml:space="preserve"> </w:t>
      </w:r>
      <w:r w:rsidR="00842654">
        <w:t xml:space="preserve">access to </w:t>
      </w:r>
      <w:r w:rsidR="00793DFF">
        <w:t xml:space="preserve">individual distributed energy resource </w:t>
      </w:r>
      <w:r w:rsidR="00842654">
        <w:t>data</w:t>
      </w:r>
      <w:r>
        <w:t xml:space="preserve">.  </w:t>
      </w:r>
      <w:r w:rsidR="001F0CE2">
        <w:t xml:space="preserve">We require that any such role for relevant electric retail regulatory authorities in coordinating the participation of distributed energy resource aggregations in RTO/ISO markets be included in the RTO/ISO tariffs and developed in consultation with the relevant electric retail regulatory authorities.  </w:t>
      </w:r>
      <w:r w:rsidR="008D4903">
        <w:t xml:space="preserve">Further, as noted in </w:t>
      </w:r>
      <w:r w:rsidR="00125BB8">
        <w:t xml:space="preserve">Section </w:t>
      </w:r>
      <w:r w:rsidR="00B21315">
        <w:t>I</w:t>
      </w:r>
      <w:r w:rsidR="00125BB8">
        <w:t>V.</w:t>
      </w:r>
      <w:r w:rsidR="009E06E0">
        <w:t>G</w:t>
      </w:r>
      <w:r w:rsidR="008D4903">
        <w:t>, t</w:t>
      </w:r>
      <w:r w:rsidRPr="00132E2D" w:rsidR="008D4903">
        <w:t xml:space="preserve">o the extent that </w:t>
      </w:r>
      <w:r w:rsidRPr="008D4903" w:rsidR="008D4903">
        <w:t>metering and telemetry data</w:t>
      </w:r>
      <w:r w:rsidRPr="00132E2D" w:rsidR="008D4903">
        <w:t xml:space="preserve"> come</w:t>
      </w:r>
      <w:r w:rsidR="00D53224">
        <w:t>s</w:t>
      </w:r>
      <w:r w:rsidRPr="00132E2D" w:rsidR="008D4903">
        <w:t xml:space="preserve"> from or flow</w:t>
      </w:r>
      <w:r w:rsidR="00D53224">
        <w:t>s</w:t>
      </w:r>
      <w:r w:rsidRPr="00132E2D" w:rsidR="008D4903">
        <w:t xml:space="preserve"> through distribution utilities, we require that RTOs/ISOs coordinate with distribution utilities and </w:t>
      </w:r>
      <w:r w:rsidR="008D4903">
        <w:t>the relevant electric retail</w:t>
      </w:r>
      <w:r w:rsidRPr="00132E2D" w:rsidR="008D4903">
        <w:t xml:space="preserve"> regulatory authorities to establish protocols for sharing metering and telemetry data that minimize costs and other burdens and address </w:t>
      </w:r>
      <w:r w:rsidRPr="00C84049" w:rsidR="008D4903">
        <w:t xml:space="preserve">concerns raised with respect to </w:t>
      </w:r>
      <w:r w:rsidRPr="00C84049" w:rsidR="00624837">
        <w:t xml:space="preserve">customer </w:t>
      </w:r>
      <w:r w:rsidRPr="00C84049" w:rsidR="008D4903">
        <w:t>privacy and cybersecurity.</w:t>
      </w:r>
    </w:p>
    <w:p w:rsidR="00ED6F47" w:rsidP="00ED6F47" w:rsidRDefault="003A5A22" w14:paraId="48A0EB00" w14:textId="3F08A38C">
      <w:pPr>
        <w:pStyle w:val="Heading3"/>
      </w:pPr>
      <w:bookmarkStart w:name="_bmk79" w:id="125"/>
      <w:r>
        <w:t>C</w:t>
      </w:r>
      <w:bookmarkEnd w:id="125"/>
      <w:r>
        <w:t>oordination Frameworks</w:t>
      </w:r>
    </w:p>
    <w:p w:rsidR="00ED6F47" w:rsidP="00ED6F47" w:rsidRDefault="00ED6F47" w14:paraId="1ED56C8C" w14:textId="77777777">
      <w:pPr>
        <w:pStyle w:val="Heading4"/>
      </w:pPr>
      <w:bookmarkStart w:name="_bmk80" w:id="126"/>
      <w:r>
        <w:t>N</w:t>
      </w:r>
      <w:bookmarkEnd w:id="126"/>
      <w:r>
        <w:t>OPR Proposal</w:t>
      </w:r>
    </w:p>
    <w:p w:rsidRPr="00ED6F47" w:rsidR="00ED6F47" w:rsidP="00B373D3" w:rsidRDefault="00B373D3" w14:paraId="7CB1EB02" w14:textId="4DAFF273">
      <w:pPr>
        <w:pStyle w:val="FERCparanumber"/>
      </w:pPr>
      <w:r>
        <w:t>As part of its proposal to require coordination in the NOPR, the Commission sought comment on the level of detail necessary in the RTO/ISO tariffs to establish a framework for ongoing coordination between the RTO/ISO, a distributed energy resource aggregator, and the relevant distribution utility or utilities.</w:t>
      </w:r>
      <w:r w:rsidRPr="00B373D3">
        <w:rPr>
          <w:b/>
          <w:bCs/>
          <w:vertAlign w:val="superscript"/>
        </w:rPr>
        <w:footnoteReference w:id="763"/>
      </w:r>
    </w:p>
    <w:p w:rsidR="00ED6F47" w:rsidP="00ED6F47" w:rsidRDefault="00ED6F47" w14:paraId="509195C0" w14:textId="77777777">
      <w:pPr>
        <w:pStyle w:val="Heading4"/>
      </w:pPr>
      <w:bookmarkStart w:name="_bmk81" w:id="127"/>
      <w:r>
        <w:t>C</w:t>
      </w:r>
      <w:bookmarkEnd w:id="127"/>
      <w:r>
        <w:t>omments</w:t>
      </w:r>
    </w:p>
    <w:p w:rsidR="00B373D3" w:rsidP="00B373D3" w:rsidRDefault="00B373D3" w14:paraId="644EDB8B" w14:textId="727651D6">
      <w:pPr>
        <w:pStyle w:val="FERCparanumber"/>
      </w:pPr>
      <w:r>
        <w:t>Several commenters propose that the Commission take a more proactive step and require RTOs/ISOs to establish a broader coordination structure</w:t>
      </w:r>
      <w:r w:rsidR="00151B84">
        <w:t>, or “coordination framework”</w:t>
      </w:r>
      <w:r>
        <w:t xml:space="preserve"> that addresses all aspects of coordination (planning, distributed energy resource registration, and operational coordination) between distributed energy resources, distributed energy resource aggregators, RTOs/ISOs, and distribution utilities.  At the technical conference, panelist Jeffery Taft, Chief Architect at Pacific Northwest National Laboratory, described a coordination framework as a way to exchange information and control signals between the three levels of the U.S. electric system, namely the bulk power level, the distribution level, and the distributed energy resource/customer level.</w:t>
      </w:r>
      <w:r w:rsidRPr="00D377EB">
        <w:rPr>
          <w:rStyle w:val="FootnoteReference"/>
        </w:rPr>
        <w:footnoteReference w:id="764"/>
      </w:r>
      <w:r>
        <w:t xml:space="preserve">  R Street proposes two purposes for coordination frameworks, namely, to encourage technological innovation, and to coordinate policies between retail and wholesale markets.</w:t>
      </w:r>
      <w:r>
        <w:rPr>
          <w:rStyle w:val="FootnoteReference"/>
        </w:rPr>
        <w:footnoteReference w:id="765"/>
      </w:r>
      <w:r>
        <w:t xml:space="preserve">  </w:t>
      </w:r>
      <w:r w:rsidRPr="00D769D5">
        <w:t>Stem proposes th</w:t>
      </w:r>
      <w:r>
        <w:t xml:space="preserve">ree </w:t>
      </w:r>
      <w:r w:rsidRPr="00D769D5">
        <w:t xml:space="preserve">coordination </w:t>
      </w:r>
      <w:r>
        <w:t>f</w:t>
      </w:r>
      <w:r w:rsidRPr="00D769D5">
        <w:t>rameworks</w:t>
      </w:r>
      <w:r>
        <w:t xml:space="preserve"> (1) an operational</w:t>
      </w:r>
      <w:r w:rsidRPr="00D769D5">
        <w:t xml:space="preserve"> </w:t>
      </w:r>
      <w:r>
        <w:t xml:space="preserve">framework; (2) a planning framework; and (3) a </w:t>
      </w:r>
      <w:r w:rsidRPr="00D769D5">
        <w:t xml:space="preserve">markets </w:t>
      </w:r>
      <w:r>
        <w:t>f</w:t>
      </w:r>
      <w:r w:rsidRPr="00D769D5">
        <w:t>ramework.</w:t>
      </w:r>
      <w:r w:rsidRPr="00D377EB">
        <w:rPr>
          <w:rStyle w:val="FootnoteReference"/>
        </w:rPr>
        <w:footnoteReference w:id="766"/>
      </w:r>
      <w:r>
        <w:t xml:space="preserve">  PJM suggests a framework that focuses on two components (1) reliability-related items</w:t>
      </w:r>
      <w:r w:rsidR="00E13416">
        <w:t>;</w:t>
      </w:r>
      <w:r>
        <w:t xml:space="preserve"> and (2) administrative items.</w:t>
      </w:r>
      <w:r w:rsidRPr="00D377EB">
        <w:rPr>
          <w:rStyle w:val="FootnoteReference"/>
        </w:rPr>
        <w:footnoteReference w:id="767"/>
      </w:r>
      <w:r>
        <w:t xml:space="preserve">  CAISO proposes an all-encompassing process that addresses each element of distributed energy resource aggregation.</w:t>
      </w:r>
      <w:r>
        <w:rPr>
          <w:rStyle w:val="FootnoteReference"/>
        </w:rPr>
        <w:footnoteReference w:id="768"/>
      </w:r>
    </w:p>
    <w:p w:rsidRPr="005E4B5D" w:rsidR="00B373D3" w:rsidP="00B373D3" w:rsidRDefault="006A7B06" w14:paraId="40495F5A" w14:textId="49770E19">
      <w:pPr>
        <w:pStyle w:val="FERCparanumber"/>
      </w:pPr>
      <w:r>
        <w:t>Several</w:t>
      </w:r>
      <w:r w:rsidRPr="00716CDF" w:rsidR="00B373D3">
        <w:t xml:space="preserve"> commenters express the belief that the development of a coordination framework will ensure that participation of distributed energy resource aggregations in </w:t>
      </w:r>
      <w:r w:rsidR="00C241DB">
        <w:t>RTO/ISO</w:t>
      </w:r>
      <w:r w:rsidRPr="00716CDF" w:rsidR="00B373D3">
        <w:t xml:space="preserve"> markets does not compromise the reliability or safety of the transmission and distribution systems.</w:t>
      </w:r>
      <w:r w:rsidRPr="00716CDF" w:rsidR="00B373D3">
        <w:rPr>
          <w:rStyle w:val="FootnoteReference"/>
          <w:szCs w:val="26"/>
        </w:rPr>
        <w:footnoteReference w:id="769"/>
      </w:r>
      <w:r w:rsidRPr="00716CDF" w:rsidR="00B373D3">
        <w:t xml:space="preserve">  For example, based on </w:t>
      </w:r>
      <w:r w:rsidR="00DA5A98">
        <w:t>its</w:t>
      </w:r>
      <w:r w:rsidRPr="00716CDF" w:rsidR="00DA5A98">
        <w:t xml:space="preserve"> </w:t>
      </w:r>
      <w:r w:rsidRPr="00716CDF" w:rsidR="00B373D3">
        <w:t>experience with implementing CAISO’s Distributed Energy Resource Provider framework, Pacific Gas &amp; Electric state</w:t>
      </w:r>
      <w:r w:rsidR="005025F6">
        <w:t>s</w:t>
      </w:r>
      <w:r w:rsidRPr="00716CDF" w:rsidR="00B373D3">
        <w:t xml:space="preserve"> that it is important that RTOs/ISOs coordinate with distribution utilities</w:t>
      </w:r>
      <w:r w:rsidRPr="00EF634D" w:rsidR="00B373D3">
        <w:t>.</w:t>
      </w:r>
      <w:r w:rsidRPr="00EF634D" w:rsidR="00B373D3">
        <w:rPr>
          <w:rStyle w:val="FootnoteReference"/>
          <w:szCs w:val="26"/>
        </w:rPr>
        <w:footnoteReference w:id="770"/>
      </w:r>
      <w:r w:rsidRPr="00EF634D" w:rsidR="00B373D3">
        <w:t xml:space="preserve"> </w:t>
      </w:r>
      <w:r w:rsidRPr="00716CDF" w:rsidR="00B373D3">
        <w:rPr>
          <w:highlight w:val="yellow"/>
        </w:rPr>
        <w:t xml:space="preserve"> </w:t>
      </w:r>
    </w:p>
    <w:p w:rsidRPr="00EF634D" w:rsidR="00B373D3" w:rsidP="00B373D3" w:rsidRDefault="00B373D3" w14:paraId="59DBE333" w14:textId="77649F8F">
      <w:pPr>
        <w:pStyle w:val="FERCparanumber"/>
      </w:pPr>
      <w:r w:rsidRPr="00716CDF">
        <w:t>R Street Institute argues for a coordination framework that creates incentives for innovation and deployment of advanced active network management practices (e.g., real-time operating procedures) and technologies (e.g., software-enabled communications among control centers).</w:t>
      </w:r>
      <w:r w:rsidRPr="00716CDF">
        <w:rPr>
          <w:rStyle w:val="FootnoteReference"/>
          <w:szCs w:val="26"/>
        </w:rPr>
        <w:footnoteReference w:id="771"/>
      </w:r>
      <w:r>
        <w:t xml:space="preserve">  </w:t>
      </w:r>
      <w:r w:rsidRPr="002745D5">
        <w:rPr>
          <w:color w:val="000000"/>
        </w:rPr>
        <w:t>E4TheFuture notes that data creation, communications</w:t>
      </w:r>
      <w:r w:rsidR="00B860F0">
        <w:rPr>
          <w:color w:val="000000"/>
        </w:rPr>
        <w:t>,</w:t>
      </w:r>
      <w:r w:rsidRPr="002745D5">
        <w:rPr>
          <w:color w:val="000000"/>
        </w:rPr>
        <w:t xml:space="preserve"> and analytics are fundamental to successfully including distributed energy resources in the organized wholesale electric markets, and </w:t>
      </w:r>
      <w:r w:rsidR="007712DD">
        <w:rPr>
          <w:color w:val="000000"/>
        </w:rPr>
        <w:t xml:space="preserve">that </w:t>
      </w:r>
      <w:r w:rsidRPr="002745D5">
        <w:rPr>
          <w:color w:val="000000"/>
        </w:rPr>
        <w:t>the technologies and services surrounding these fundamentals and the standards that will support valuation and aggregation are evolving rapidly.</w:t>
      </w:r>
      <w:r w:rsidRPr="002745D5">
        <w:rPr>
          <w:rStyle w:val="FootnoteReference"/>
        </w:rPr>
        <w:footnoteReference w:id="772"/>
      </w:r>
      <w:r w:rsidRPr="002745D5">
        <w:rPr>
          <w:color w:val="000000"/>
        </w:rPr>
        <w:t xml:space="preserve">  E4TheFuture asks the Commission to support the RTOs/ISOs in creating solutions to nimbly address the rapid development of these technologies over time.</w:t>
      </w:r>
    </w:p>
    <w:p w:rsidRPr="00ED6F47" w:rsidR="00ED6F47" w:rsidP="00B373D3" w:rsidRDefault="00B373D3" w14:paraId="7C2AC17C" w14:textId="1E593A1F">
      <w:pPr>
        <w:pStyle w:val="FERCparanumber"/>
      </w:pPr>
      <w:r>
        <w:t xml:space="preserve">Several commenters recommend that the Commission not require a specific coordination framework </w:t>
      </w:r>
      <w:r w:rsidR="007712DD">
        <w:t>at this time</w:t>
      </w:r>
      <w:r>
        <w:t>.  Public Interest Groups argue that the Commission should not specify a particular structure for coordination frameworks but instead allow the “laboratories of innovation” of state and distribution utilities to develop new practices and procedures.</w:t>
      </w:r>
      <w:r w:rsidRPr="00D377EB">
        <w:rPr>
          <w:rStyle w:val="FootnoteReference"/>
        </w:rPr>
        <w:footnoteReference w:id="773"/>
      </w:r>
      <w:r>
        <w:t xml:space="preserve">  Lorenzo Kristov emphasizes that these coordination efforts are at an early stage, noting that there are no best practices and no best coordination framework to adopt.</w:t>
      </w:r>
      <w:r w:rsidRPr="00D377EB">
        <w:rPr>
          <w:rStyle w:val="FootnoteReference"/>
        </w:rPr>
        <w:footnoteReference w:id="774"/>
      </w:r>
      <w:r>
        <w:t xml:space="preserve">  The California Commission asks that the Commission not establish specific requirements at this time, but instead to track the development of frameworks and architectures around the country and document best practices.</w:t>
      </w:r>
      <w:r>
        <w:rPr>
          <w:rStyle w:val="FootnoteReference"/>
          <w:szCs w:val="26"/>
        </w:rPr>
        <w:footnoteReference w:id="775"/>
      </w:r>
    </w:p>
    <w:p w:rsidR="00ED6F47" w:rsidP="00ED6F47" w:rsidRDefault="00ED6F47" w14:paraId="0F4DB0FB" w14:textId="0CF2F32B">
      <w:pPr>
        <w:pStyle w:val="Heading4"/>
      </w:pPr>
      <w:bookmarkStart w:name="_bmk82" w:id="128"/>
      <w:r>
        <w:t>C</w:t>
      </w:r>
      <w:bookmarkEnd w:id="128"/>
      <w:r>
        <w:t>ommission Determination</w:t>
      </w:r>
    </w:p>
    <w:p w:rsidR="00BE22BA" w:rsidP="00B373D3" w:rsidRDefault="0093488B" w14:paraId="186F4BC3" w14:textId="2A8FFD94">
      <w:pPr>
        <w:pStyle w:val="FERCparanumber"/>
      </w:pPr>
      <w:r>
        <w:t xml:space="preserve">We </w:t>
      </w:r>
      <w:r w:rsidR="00E37A02">
        <w:t>believe</w:t>
      </w:r>
      <w:r>
        <w:t xml:space="preserve"> that</w:t>
      </w:r>
      <w:r w:rsidR="00067D8C">
        <w:t>, among other benefits,</w:t>
      </w:r>
      <w:r>
        <w:t xml:space="preserve"> a broader, holistic approach to coordination</w:t>
      </w:r>
      <w:r w:rsidR="00D53224">
        <w:t>—referred to herein as a coordination framework—</w:t>
      </w:r>
      <w:r w:rsidR="000729B0">
        <w:t xml:space="preserve">could help ensure that different elements of </w:t>
      </w:r>
      <w:r w:rsidR="00680FA1">
        <w:t>distributed energy resource aggregation</w:t>
      </w:r>
      <w:r w:rsidR="00664E0B">
        <w:t>s</w:t>
      </w:r>
      <w:r w:rsidR="00680FA1">
        <w:t xml:space="preserve"> do not work at cross-</w:t>
      </w:r>
      <w:r w:rsidRPr="00574F87" w:rsidR="00680FA1">
        <w:t>purposes</w:t>
      </w:r>
      <w:r w:rsidRPr="00574F87" w:rsidR="0068491F">
        <w:t>.</w:t>
      </w:r>
      <w:r w:rsidRPr="00574F87" w:rsidR="00A92E73">
        <w:t xml:space="preserve">  </w:t>
      </w:r>
      <w:r w:rsidRPr="00574F87" w:rsidR="00C767F6">
        <w:t xml:space="preserve">Because the topic of </w:t>
      </w:r>
      <w:r w:rsidRPr="00574F87" w:rsidR="00291B82">
        <w:t>coordination</w:t>
      </w:r>
      <w:r w:rsidRPr="00574F87" w:rsidR="00E35FCC">
        <w:t xml:space="preserve"> frameworks</w:t>
      </w:r>
      <w:r w:rsidRPr="00574F87" w:rsidR="00291B82">
        <w:t xml:space="preserve"> is still developing</w:t>
      </w:r>
      <w:r w:rsidRPr="00574F87" w:rsidR="00D53224">
        <w:t xml:space="preserve"> </w:t>
      </w:r>
      <w:r w:rsidRPr="00574F87" w:rsidR="00582249">
        <w:t xml:space="preserve">and </w:t>
      </w:r>
      <w:r w:rsidRPr="00574F87" w:rsidR="00D53224">
        <w:t>was not</w:t>
      </w:r>
      <w:r w:rsidR="00D53224">
        <w:t xml:space="preserve"> fully considered in this record, </w:t>
      </w:r>
      <w:r w:rsidR="00C767F6">
        <w:t>we encourage</w:t>
      </w:r>
      <w:r w:rsidR="00291B82">
        <w:t xml:space="preserve">, but do not require, </w:t>
      </w:r>
      <w:r w:rsidR="00C767F6">
        <w:t>each RTO/ISO to develop a coordination framework that addresses the needs of its region.</w:t>
      </w:r>
    </w:p>
    <w:p w:rsidRPr="00C84049" w:rsidR="00ED6F47" w:rsidP="00B373D3" w:rsidRDefault="00D53224" w14:paraId="4722D86B" w14:textId="0C754CFE">
      <w:pPr>
        <w:pStyle w:val="FERCparanumber"/>
      </w:pPr>
      <w:r>
        <w:t>We note that</w:t>
      </w:r>
      <w:r w:rsidRPr="00740AB1" w:rsidR="00B373D3">
        <w:t xml:space="preserve"> </w:t>
      </w:r>
      <w:r w:rsidR="006800EF">
        <w:t xml:space="preserve">it may be beneficial </w:t>
      </w:r>
      <w:r>
        <w:t xml:space="preserve">for the RTOs/ISOs </w:t>
      </w:r>
      <w:r w:rsidR="00827022">
        <w:t xml:space="preserve">and their stakeholders </w:t>
      </w:r>
      <w:r w:rsidR="006800EF">
        <w:t>to</w:t>
      </w:r>
      <w:r w:rsidR="00827022">
        <w:t xml:space="preserve"> </w:t>
      </w:r>
      <w:r>
        <w:t xml:space="preserve">take into consideration </w:t>
      </w:r>
      <w:r w:rsidR="00FC5908">
        <w:t xml:space="preserve">in developing coordination frameworks </w:t>
      </w:r>
      <w:r>
        <w:t xml:space="preserve">the </w:t>
      </w:r>
      <w:r w:rsidRPr="00740AB1">
        <w:t>interoperability</w:t>
      </w:r>
      <w:r>
        <w:t xml:space="preserve"> of </w:t>
      </w:r>
      <w:r w:rsidRPr="00740AB1" w:rsidR="00B373D3">
        <w:t>new information technology and communications systems</w:t>
      </w:r>
      <w:r>
        <w:t xml:space="preserve">.  Such systems </w:t>
      </w:r>
      <w:r w:rsidRPr="00740AB1" w:rsidR="00B373D3">
        <w:t>w</w:t>
      </w:r>
      <w:r w:rsidR="00B373D3">
        <w:t>ill</w:t>
      </w:r>
      <w:r w:rsidRPr="00740AB1" w:rsidR="00B373D3">
        <w:t xml:space="preserve"> likely need to exchange mutually recognizable data</w:t>
      </w:r>
      <w:r w:rsidR="00B373D3">
        <w:t xml:space="preserve">, and </w:t>
      </w:r>
      <w:r w:rsidRPr="00740AB1" w:rsidR="00B373D3">
        <w:t xml:space="preserve">will become more important as </w:t>
      </w:r>
      <w:r w:rsidR="00B373D3">
        <w:t>distributed energy resource</w:t>
      </w:r>
      <w:r w:rsidRPr="00740AB1" w:rsidR="00B373D3">
        <w:t xml:space="preserve"> penetration reaches higher levels</w:t>
      </w:r>
      <w:r w:rsidR="00827022">
        <w:t>.  E</w:t>
      </w:r>
      <w:r>
        <w:t xml:space="preserve">arly consideration of </w:t>
      </w:r>
      <w:r w:rsidR="00827022">
        <w:t xml:space="preserve">these issues could </w:t>
      </w:r>
      <w:r w:rsidRPr="00740AB1" w:rsidR="00B373D3">
        <w:t xml:space="preserve">help </w:t>
      </w:r>
      <w:r w:rsidRPr="00C84049" w:rsidR="00B373D3">
        <w:t xml:space="preserve">prevent </w:t>
      </w:r>
      <w:r w:rsidRPr="00C84049" w:rsidR="003F4EF5">
        <w:t xml:space="preserve">redundancy and </w:t>
      </w:r>
      <w:r w:rsidRPr="00C84049" w:rsidR="00CD6829">
        <w:t xml:space="preserve">unnecessary </w:t>
      </w:r>
      <w:r w:rsidRPr="00C84049" w:rsidR="00B373D3">
        <w:t>costs later.</w:t>
      </w:r>
    </w:p>
    <w:p w:rsidR="0018598A" w:rsidP="0018598A" w:rsidRDefault="0018598A" w14:paraId="42B10213" w14:textId="77777777">
      <w:pPr>
        <w:pStyle w:val="Heading2"/>
      </w:pPr>
      <w:bookmarkStart w:name="_bmk83" w:id="129"/>
      <w:r>
        <w:t>M</w:t>
      </w:r>
      <w:bookmarkEnd w:id="129"/>
      <w:r>
        <w:t>odifications to List of Resources in Aggregation</w:t>
      </w:r>
    </w:p>
    <w:p w:rsidR="0018598A" w:rsidP="0018598A" w:rsidRDefault="0018598A" w14:paraId="1BA95B5C" w14:textId="77777777">
      <w:pPr>
        <w:pStyle w:val="Heading4"/>
      </w:pPr>
      <w:bookmarkStart w:name="_bmk84" w:id="130"/>
      <w:r>
        <w:t>N</w:t>
      </w:r>
      <w:bookmarkEnd w:id="130"/>
      <w:r>
        <w:t>OPR Proposal</w:t>
      </w:r>
    </w:p>
    <w:p w:rsidRPr="00ED6F47" w:rsidR="0018598A" w:rsidP="0018598A" w:rsidRDefault="0018598A" w14:paraId="4B22A4B3" w14:textId="0CE1CA92">
      <w:pPr>
        <w:pStyle w:val="FERCparanumber"/>
      </w:pPr>
      <w:r>
        <w:t>In the NOPR, the Commission proposed that each RTO/ISO revise its tariff to allow a distributed energy resource aggregator to modify the list of resources in its distributed energy resource aggregation without re-registering all of the resources if the modification will not result in any safety or reliability concerns.</w:t>
      </w:r>
      <w:r w:rsidRPr="00367C29">
        <w:rPr>
          <w:rStyle w:val="FootnoteReference"/>
        </w:rPr>
        <w:footnoteReference w:id="776"/>
      </w:r>
      <w:r>
        <w:t xml:space="preserve">  The Commission emphasized, however, that, pursuant to other proposed requirements,</w:t>
      </w:r>
      <w:r w:rsidRPr="00367C29">
        <w:rPr>
          <w:rStyle w:val="FootnoteReference"/>
        </w:rPr>
        <w:footnoteReference w:id="777"/>
      </w:r>
      <w:r>
        <w:t xml:space="preserve"> the relevant distribution utility or utilities must have the opportunity to review the list of individual resources that are located on their distribution system in a distributed energy resource aggregation before those resources may participate in RTO/ISO markets through the aggregation, so that they can assess whether the resources would be able to respond to RTO/ISO dispatch instructions without posing any significant risk to the distribution system.</w:t>
      </w:r>
      <w:r>
        <w:rPr>
          <w:rStyle w:val="FootnoteReference"/>
        </w:rPr>
        <w:footnoteReference w:id="778"/>
      </w:r>
    </w:p>
    <w:p w:rsidR="0018598A" w:rsidP="0018598A" w:rsidRDefault="0018598A" w14:paraId="0B153D6C" w14:textId="77777777">
      <w:pPr>
        <w:pStyle w:val="Heading4"/>
      </w:pPr>
      <w:bookmarkStart w:name="_bmk85" w:id="132"/>
      <w:r>
        <w:t>C</w:t>
      </w:r>
      <w:bookmarkEnd w:id="132"/>
      <w:r>
        <w:t>omments</w:t>
      </w:r>
    </w:p>
    <w:p w:rsidR="0018598A" w:rsidP="0018598A" w:rsidRDefault="0018598A" w14:paraId="48E21C45" w14:textId="4D24ED39">
      <w:pPr>
        <w:pStyle w:val="FERCparanumber"/>
      </w:pPr>
      <w:r>
        <w:t>Many commenters support the Commission’s proposal to allow a distributed energy resource aggregator to modify</w:t>
      </w:r>
      <w:r w:rsidDel="00A4789A">
        <w:t xml:space="preserve"> </w:t>
      </w:r>
      <w:r>
        <w:t>its list of resources without re-registering all of the resources in the distributed energy resource aggregation.</w:t>
      </w:r>
      <w:r w:rsidRPr="00367C29">
        <w:rPr>
          <w:rStyle w:val="FootnoteReference"/>
        </w:rPr>
        <w:footnoteReference w:id="779"/>
      </w:r>
      <w:r>
        <w:t xml:space="preserve">  In support, </w:t>
      </w:r>
      <w:r w:rsidRPr="00856B15">
        <w:t>University of Delaware</w:t>
      </w:r>
      <w:r>
        <w:t>’s</w:t>
      </w:r>
      <w:r w:rsidRPr="00856B15">
        <w:t xml:space="preserve"> EV </w:t>
      </w:r>
      <w:r>
        <w:t xml:space="preserve">R&amp;D </w:t>
      </w:r>
      <w:r w:rsidRPr="00856B15">
        <w:t xml:space="preserve">Group states that within a substantial aggregation, </w:t>
      </w:r>
      <w:r>
        <w:t xml:space="preserve">small residential electric vehicle interconnection sites </w:t>
      </w:r>
      <w:r w:rsidRPr="00856B15">
        <w:t xml:space="preserve">might enter and exit the aggregation even on a daily basis, as new participants and existing participants change </w:t>
      </w:r>
      <w:r>
        <w:t>vehicles, homes, or preferences.</w:t>
      </w:r>
      <w:r w:rsidRPr="00367C29">
        <w:rPr>
          <w:rStyle w:val="FootnoteReference"/>
        </w:rPr>
        <w:footnoteReference w:id="780"/>
      </w:r>
      <w:r>
        <w:t xml:space="preserve">  However, NYISO asks the Commission to require the distributed energy resource aggregator to advise the RTOs/ISOs of any changes to the list of resources and changes in the aggregation’s performance output or operating characteristics.</w:t>
      </w:r>
      <w:r w:rsidRPr="00367C29">
        <w:rPr>
          <w:rStyle w:val="FootnoteReference"/>
        </w:rPr>
        <w:footnoteReference w:id="781"/>
      </w:r>
    </w:p>
    <w:p w:rsidRPr="00ED6F47" w:rsidR="0018598A" w:rsidP="0018598A" w:rsidRDefault="0018598A" w14:paraId="25635A36" w14:textId="77777777">
      <w:pPr>
        <w:pStyle w:val="FERCparanumber"/>
      </w:pPr>
      <w:r>
        <w:t>Many commenters also generally support the proposal to allow distribution utilities to review the list of resources when it is revised.</w:t>
      </w:r>
      <w:r w:rsidRPr="00367C29">
        <w:rPr>
          <w:rStyle w:val="FootnoteReference"/>
        </w:rPr>
        <w:footnoteReference w:id="782"/>
      </w:r>
      <w:r>
        <w:t xml:space="preserve">  Mensah states that any review should be streamlined as much as possible.</w:t>
      </w:r>
      <w:r w:rsidRPr="00367C29">
        <w:rPr>
          <w:rStyle w:val="FootnoteReference"/>
        </w:rPr>
        <w:footnoteReference w:id="783"/>
      </w:r>
      <w:r>
        <w:t xml:space="preserve">  Stem stresses the importance of transparent standards of review and argues that opaque review methodologies create an unreasonable barrier to participation of distributed energy resources.</w:t>
      </w:r>
      <w:r w:rsidRPr="00367C29">
        <w:rPr>
          <w:rStyle w:val="FootnoteReference"/>
        </w:rPr>
        <w:footnoteReference w:id="784"/>
      </w:r>
      <w:r>
        <w:t xml:space="preserve">  Additionally, many commenters emphasize the need to determine whether any changes in the list of resources affect safety and reliability at both the transmission and distribution levels.</w:t>
      </w:r>
      <w:r w:rsidRPr="00367C29">
        <w:rPr>
          <w:rStyle w:val="FootnoteReference"/>
        </w:rPr>
        <w:footnoteReference w:id="785"/>
      </w:r>
      <w:r>
        <w:t xml:space="preserve">  Dominion adds that the review process to determine the impacts of a change in the list of resources on safety and reliability must be established in a final rule.</w:t>
      </w:r>
      <w:r>
        <w:rPr>
          <w:rStyle w:val="FootnoteReference"/>
        </w:rPr>
        <w:footnoteReference w:id="786"/>
      </w:r>
    </w:p>
    <w:p w:rsidR="0018598A" w:rsidP="0018598A" w:rsidRDefault="0018598A" w14:paraId="6F88869B" w14:textId="77777777">
      <w:pPr>
        <w:pStyle w:val="Heading4"/>
      </w:pPr>
      <w:bookmarkStart w:name="_bmk86" w:id="133"/>
      <w:r>
        <w:t>C</w:t>
      </w:r>
      <w:bookmarkEnd w:id="133"/>
      <w:r>
        <w:t>ommission Determination</w:t>
      </w:r>
    </w:p>
    <w:p w:rsidR="00EE713E" w:rsidP="0018598A" w:rsidRDefault="0018598A" w14:paraId="3A5B2D13" w14:textId="6F9AF020">
      <w:pPr>
        <w:pStyle w:val="FERCparanumber"/>
      </w:pPr>
      <w:r>
        <w:t>We adopt the NOPR proposal</w:t>
      </w:r>
      <w:r w:rsidR="00FB6D4C">
        <w:t>, as modified below,</w:t>
      </w:r>
      <w:r>
        <w:t xml:space="preserve"> and add § 35.2</w:t>
      </w:r>
      <w:r w:rsidR="00CB3F54">
        <w:t>8</w:t>
      </w:r>
      <w:r>
        <w:t>(g)(1</w:t>
      </w:r>
      <w:r w:rsidR="00CD5DB1">
        <w:t>2</w:t>
      </w:r>
      <w:r>
        <w:t>)(ii)(e) to the Commission’s regulations</w:t>
      </w:r>
      <w:r w:rsidDel="00830FC1">
        <w:t xml:space="preserve"> </w:t>
      </w:r>
      <w:r>
        <w:t xml:space="preserve">to require each RTO/ISO to </w:t>
      </w:r>
      <w:r w:rsidR="00FB6D4C">
        <w:t>establish market rules that address m</w:t>
      </w:r>
      <w:r w:rsidRPr="00FB6D4C" w:rsidR="00FB6D4C">
        <w:t>odification to the list of resources in a distributed energy resource aggregation</w:t>
      </w:r>
      <w:r w:rsidR="00FB6D4C">
        <w:t xml:space="preserve">. </w:t>
      </w:r>
      <w:r w:rsidRPr="00FB6D4C" w:rsidR="00FB6D4C">
        <w:t xml:space="preserve"> </w:t>
      </w:r>
    </w:p>
    <w:p w:rsidR="00FB6D4C" w:rsidP="00E322CD" w:rsidRDefault="00FB6D4C" w14:paraId="6638A994" w14:textId="5475ABEB">
      <w:pPr>
        <w:pStyle w:val="FERCparanumber"/>
      </w:pPr>
      <w:r w:rsidRPr="00FB6D4C">
        <w:t xml:space="preserve"> </w:t>
      </w:r>
      <w:r>
        <w:t>We require each RTO/ISO to revise its tariff to specify that distributed energy resource aggregators must update their lists of distributed energy resources in each aggregation (i.e., reflect additions and subtractions from the list)</w:t>
      </w:r>
      <w:r w:rsidR="009B5713">
        <w:t xml:space="preserve"> and any associated </w:t>
      </w:r>
      <w:r w:rsidRPr="0029169F" w:rsidR="009B5713">
        <w:t>information and data</w:t>
      </w:r>
      <w:r w:rsidRPr="0029169F">
        <w:t>,</w:t>
      </w:r>
      <w:r w:rsidRPr="0029169F">
        <w:rPr>
          <w:rStyle w:val="FootnoteReference"/>
        </w:rPr>
        <w:footnoteReference w:id="787"/>
      </w:r>
      <w:r w:rsidRPr="0029169F">
        <w:t xml:space="preserve"> but that</w:t>
      </w:r>
      <w:r w:rsidRPr="0029169F" w:rsidR="00F22462">
        <w:t>,</w:t>
      </w:r>
      <w:r w:rsidRPr="0029169F">
        <w:t xml:space="preserve"> when doing so</w:t>
      </w:r>
      <w:r w:rsidR="004B3B00">
        <w:t>,</w:t>
      </w:r>
      <w:r w:rsidRPr="0029169F">
        <w:t xml:space="preserve"> distributed energy resource aggregators</w:t>
      </w:r>
      <w:r>
        <w:t xml:space="preserve"> will not be required to re-register or re-qualify the entire distributed energy resource aggregation</w:t>
      </w:r>
      <w:r w:rsidR="00842DF4">
        <w:t>.  We note that any modification triggers</w:t>
      </w:r>
      <w:r>
        <w:t xml:space="preserve"> the distribution utility review</w:t>
      </w:r>
      <w:r w:rsidR="00842DF4">
        <w:t xml:space="preserve"> process</w:t>
      </w:r>
      <w:r>
        <w:t xml:space="preserve"> (discussed in Section IV.H.2 above). </w:t>
      </w:r>
      <w:r w:rsidRPr="00842DF4" w:rsidR="00842DF4">
        <w:t xml:space="preserve"> </w:t>
      </w:r>
      <w:r>
        <w:t>This requirement is necessary to ensure that the RTOs/ISOs have accurate and current information about the individual distributed energy resources that make up a distributed energy resource aggregation and to allow distribution utilities the opportunity to review those modifications.</w:t>
      </w:r>
      <w:r>
        <w:rPr>
          <w:rStyle w:val="FootnoteReference"/>
        </w:rPr>
        <w:footnoteReference w:id="788"/>
      </w:r>
      <w:r>
        <w:t xml:space="preserve">  We find that this requirement will ensure minimal administrative burden, while protecting safety and reliability at both the transmission and distribution levels.</w:t>
      </w:r>
    </w:p>
    <w:p w:rsidR="0018598A" w:rsidP="00143418" w:rsidRDefault="005D4EF8" w14:paraId="63A0E2F7" w14:textId="354474AC">
      <w:pPr>
        <w:pStyle w:val="FERCparanumber"/>
      </w:pPr>
      <w:r w:rsidRPr="00E75960">
        <w:t>While any modification of a distributed energy resource aggregation will trigger distribution utility review, we clarify that it may be appropriate for each RTO/ISO to abbreviate the distribution utility</w:t>
      </w:r>
      <w:r w:rsidR="004B3B00">
        <w:t>’s</w:t>
      </w:r>
      <w:r w:rsidRPr="00E75960">
        <w:t xml:space="preserve"> review of modifications to the distributed energy resource aggregations.  A</w:t>
      </w:r>
      <w:r w:rsidRPr="00E75960" w:rsidR="0018598A">
        <w:t>s the Commission explained in the NOPR, the requirements for</w:t>
      </w:r>
      <w:r w:rsidRPr="0065484B" w:rsidR="0018598A">
        <w:t xml:space="preserve"> modifying the list of resources in a </w:t>
      </w:r>
      <w:r w:rsidR="0018598A">
        <w:t>distributed energy resource</w:t>
      </w:r>
      <w:r w:rsidRPr="0065484B" w:rsidR="0018598A">
        <w:t xml:space="preserve"> aggregation can present a barrier to the participation of </w:t>
      </w:r>
      <w:r w:rsidR="0018598A">
        <w:t>distributed energy resource</w:t>
      </w:r>
      <w:r w:rsidRPr="0065484B" w:rsidR="0018598A">
        <w:t xml:space="preserve"> aggregations in </w:t>
      </w:r>
      <w:r w:rsidR="0018598A">
        <w:t>RTO/ISO</w:t>
      </w:r>
      <w:r w:rsidRPr="0065484B" w:rsidR="0018598A">
        <w:t xml:space="preserve"> markets.</w:t>
      </w:r>
      <w:r w:rsidRPr="0065484B" w:rsidR="0018598A">
        <w:rPr>
          <w:b/>
          <w:vertAlign w:val="superscript"/>
        </w:rPr>
        <w:footnoteReference w:id="789"/>
      </w:r>
      <w:r w:rsidRPr="0065484B" w:rsidR="0018598A">
        <w:t xml:space="preserve">  </w:t>
      </w:r>
      <w:r w:rsidR="0018598A">
        <w:t xml:space="preserve">We find that the incremental impacts on RTO/ISO markets and operations that would result from the addition or removal of individual distributed energy resources </w:t>
      </w:r>
      <w:r w:rsidRPr="00E75960" w:rsidR="0018598A">
        <w:t>from a distributed energy resource aggregation</w:t>
      </w:r>
      <w:r w:rsidRPr="00E75960" w:rsidR="00EC5859">
        <w:t>, after the initial registration,</w:t>
      </w:r>
      <w:r w:rsidRPr="00E75960" w:rsidR="0018598A">
        <w:t xml:space="preserve"> are likely to</w:t>
      </w:r>
      <w:r w:rsidR="0018598A">
        <w:t xml:space="preserve"> be minimal and thus individual distributed energy resources should generally be able to enter and exit distributed energy resource aggregations participating in RTO/ISO markets without impairing safety and reliability.  </w:t>
      </w:r>
      <w:r w:rsidR="00F0042C">
        <w:t>Because</w:t>
      </w:r>
      <w:r w:rsidR="00541438">
        <w:t xml:space="preserve"> the impacts of </w:t>
      </w:r>
      <w:r w:rsidRPr="00E75960" w:rsidR="00541438">
        <w:t xml:space="preserve">modifications may often be minimal, </w:t>
      </w:r>
      <w:r w:rsidRPr="00E75960" w:rsidR="007956EF">
        <w:t>an abbreviated</w:t>
      </w:r>
      <w:r w:rsidRPr="00E75960" w:rsidR="00541438">
        <w:t xml:space="preserve"> </w:t>
      </w:r>
      <w:r w:rsidRPr="00E75960" w:rsidR="0018598A">
        <w:t xml:space="preserve">review </w:t>
      </w:r>
      <w:r w:rsidRPr="00E75960" w:rsidR="00541438">
        <w:t xml:space="preserve">process </w:t>
      </w:r>
      <w:r w:rsidRPr="00E75960" w:rsidR="0018598A">
        <w:t xml:space="preserve">should be sufficient </w:t>
      </w:r>
      <w:r w:rsidR="00F0042C">
        <w:t xml:space="preserve">for the distribution utility </w:t>
      </w:r>
      <w:r w:rsidRPr="00E75960" w:rsidR="0018598A">
        <w:t>to identify the cases where a</w:t>
      </w:r>
      <w:r w:rsidRPr="00E75960" w:rsidR="00EE713E">
        <w:t>n addition</w:t>
      </w:r>
      <w:r w:rsidRPr="00E75960" w:rsidR="0018598A">
        <w:t xml:space="preserve"> to the list of</w:t>
      </w:r>
      <w:r w:rsidR="0018598A">
        <w:t xml:space="preserve"> resources</w:t>
      </w:r>
      <w:r w:rsidRPr="00F102E7" w:rsidR="0018598A">
        <w:t xml:space="preserve"> </w:t>
      </w:r>
      <w:r w:rsidR="0018598A">
        <w:t>might pose a safety or reliability concern.</w:t>
      </w:r>
      <w:r w:rsidR="0064424F">
        <w:t xml:space="preserve">  As stated in </w:t>
      </w:r>
      <w:r w:rsidR="0032716D">
        <w:t>S</w:t>
      </w:r>
      <w:r w:rsidRPr="00973AF2" w:rsidR="0064424F">
        <w:t>ection IV.A.3,</w:t>
      </w:r>
      <w:r w:rsidR="0064424F">
        <w:t xml:space="preserve"> </w:t>
      </w:r>
      <w:r w:rsidRPr="004055A4" w:rsidR="004055A4">
        <w:t xml:space="preserve">modifications to the list of resources in a distributed energy resource aggregation, and the resulting </w:t>
      </w:r>
      <w:r w:rsidR="000D5490">
        <w:t>d</w:t>
      </w:r>
      <w:r w:rsidRPr="004055A4" w:rsidR="004055A4">
        <w:t xml:space="preserve">istribution </w:t>
      </w:r>
      <w:r w:rsidR="000D5490">
        <w:t>u</w:t>
      </w:r>
      <w:r w:rsidRPr="004055A4" w:rsidR="004055A4">
        <w:t xml:space="preserve">tility and RTO/ISO review of those changes, could </w:t>
      </w:r>
      <w:r w:rsidR="00DE4BE2">
        <w:t xml:space="preserve">occasionally </w:t>
      </w:r>
      <w:r w:rsidRPr="004055A4" w:rsidR="004055A4">
        <w:t xml:space="preserve">indicate </w:t>
      </w:r>
      <w:r w:rsidR="00222AEC">
        <w:t>changes to</w:t>
      </w:r>
      <w:r w:rsidRPr="004055A4" w:rsidR="004055A4">
        <w:t xml:space="preserve"> the electrical characteristics of the distributed energy resource aggregation that </w:t>
      </w:r>
      <w:r w:rsidR="00222AEC">
        <w:t>are</w:t>
      </w:r>
      <w:r w:rsidRPr="004055A4" w:rsidR="004055A4">
        <w:t xml:space="preserve"> significant enough </w:t>
      </w:r>
      <w:r w:rsidR="00EB345F">
        <w:t>to potentially adversely impact</w:t>
      </w:r>
      <w:r w:rsidRPr="004055A4" w:rsidR="004055A4">
        <w:t xml:space="preserve"> the reliability of the distribution or transmission systems </w:t>
      </w:r>
      <w:r w:rsidR="005107DD">
        <w:t>and justify</w:t>
      </w:r>
      <w:r w:rsidRPr="004055A4" w:rsidR="004055A4">
        <w:t xml:space="preserve"> restudy</w:t>
      </w:r>
      <w:r w:rsidR="00DE4BE2">
        <w:t xml:space="preserve"> of the full distributed energy resource aggregation.</w:t>
      </w:r>
      <w:r w:rsidRPr="00BD03B2" w:rsidR="00BF6E15">
        <w:rPr>
          <w:rStyle w:val="FootnoteReference"/>
          <w:lang w:eastAsia="ja-JP"/>
        </w:rPr>
        <w:footnoteReference w:id="790"/>
      </w:r>
      <w:r w:rsidR="00DE4BE2">
        <w:t xml:space="preserve">  </w:t>
      </w:r>
      <w:bookmarkStart w:name="_Hlk48202451" w:id="134"/>
      <w:r w:rsidR="00DE4BE2">
        <w:t xml:space="preserve">However, even in such circumstances, we do </w:t>
      </w:r>
      <w:r w:rsidRPr="00DE4BE2" w:rsidR="00DE4BE2">
        <w:t xml:space="preserve">not believe that participation of the </w:t>
      </w:r>
      <w:r w:rsidR="00DE4BE2">
        <w:t>distributed energy resource</w:t>
      </w:r>
      <w:r w:rsidRPr="00DE4BE2" w:rsidR="00DE4BE2">
        <w:t xml:space="preserve"> aggregation will need to be paused during the review of modifications</w:t>
      </w:r>
      <w:r w:rsidR="00DE4BE2">
        <w:t xml:space="preserve"> or restudy</w:t>
      </w:r>
      <w:r w:rsidRPr="00DE4BE2" w:rsidR="00DE4BE2">
        <w:t xml:space="preserve">.  </w:t>
      </w:r>
      <w:r w:rsidR="00DE4BE2">
        <w:t>A</w:t>
      </w:r>
      <w:r w:rsidRPr="00DE4BE2" w:rsidR="00DE4BE2">
        <w:t xml:space="preserve">ggregators should be able to </w:t>
      </w:r>
      <w:r w:rsidR="00382EB9">
        <w:t xml:space="preserve">continue to </w:t>
      </w:r>
      <w:r w:rsidRPr="00DE4BE2" w:rsidR="00DE4BE2">
        <w:t xml:space="preserve">bid the unmodified portion of their aggregation into RTO/ISO markets.  </w:t>
      </w:r>
      <w:r w:rsidR="00DE4BE2">
        <w:t>For example, i</w:t>
      </w:r>
      <w:r w:rsidRPr="00DE4BE2" w:rsidR="00DE4BE2">
        <w:t xml:space="preserve">n the event </w:t>
      </w:r>
      <w:r w:rsidR="001978F1">
        <w:t>that</w:t>
      </w:r>
      <w:r w:rsidRPr="00DE4BE2" w:rsidR="00DE4BE2">
        <w:t xml:space="preserve"> a resource withdraws from an aggregation, the aggregator could continue </w:t>
      </w:r>
      <w:r w:rsidR="001978F1">
        <w:t xml:space="preserve">to participate in the </w:t>
      </w:r>
      <w:r w:rsidRPr="00DE4BE2" w:rsidR="00DE4BE2">
        <w:t>market by modifying its bidding parameters to reflect the aggregation’s changed capability to perform</w:t>
      </w:r>
      <w:bookmarkEnd w:id="134"/>
      <w:r w:rsidRPr="00BD03B2" w:rsidR="0064424F">
        <w:rPr>
          <w:lang w:eastAsia="ja-JP"/>
        </w:rPr>
        <w:t>.</w:t>
      </w:r>
      <w:r w:rsidR="00BF6E15">
        <w:rPr>
          <w:lang w:eastAsia="ja-JP"/>
        </w:rPr>
        <w:t xml:space="preserve"> </w:t>
      </w:r>
    </w:p>
    <w:p w:rsidRPr="008D1463" w:rsidR="0018598A" w:rsidP="0018598A" w:rsidRDefault="0018598A" w14:paraId="033916B2" w14:textId="524C31A6">
      <w:pPr>
        <w:pStyle w:val="FERCparanumber"/>
      </w:pPr>
      <w:r>
        <w:t xml:space="preserve">Finally, </w:t>
      </w:r>
      <w:r w:rsidR="00175677">
        <w:t>to the extent that</w:t>
      </w:r>
      <w:r>
        <w:t xml:space="preserve"> an RTO/ISO requires distributed energy resource aggregators to provide information on the physical or operational characteristics of its distributed energy resource aggregation</w:t>
      </w:r>
      <w:r w:rsidR="00FB6D4C">
        <w:t xml:space="preserve"> (pursuant to </w:t>
      </w:r>
      <w:r w:rsidR="00000B13">
        <w:t>S</w:t>
      </w:r>
      <w:r w:rsidRPr="006A38B1" w:rsidR="00FB6D4C">
        <w:t>ection IV.F</w:t>
      </w:r>
      <w:r w:rsidR="00FB6D4C">
        <w:t>)</w:t>
      </w:r>
      <w:r>
        <w:t>, we require each RTO/ISO to revise its tariff to ensure that distributed energy resource aggregators must update such information if any modification to the list of resources participating in the aggregation results in a change to the aggregation’s performance.  We find that this requirement will ensure that the RTOs/ISOs have accurate and current information about the physical and operational characteristics of the distributed energy resource aggregations that are participating in their markets, with minimal administrative burden.</w:t>
      </w:r>
      <w:r w:rsidR="00BD03B2">
        <w:t xml:space="preserve">  </w:t>
      </w:r>
    </w:p>
    <w:p w:rsidR="00ED6F47" w:rsidP="00ED6F47" w:rsidRDefault="00ED6F47" w14:paraId="6275B5A9" w14:textId="77777777">
      <w:pPr>
        <w:pStyle w:val="Heading2"/>
      </w:pPr>
      <w:bookmarkStart w:name="_bmk87" w:id="135"/>
      <w:r>
        <w:t>M</w:t>
      </w:r>
      <w:bookmarkEnd w:id="135"/>
      <w:r>
        <w:t>arket Participation Agreements</w:t>
      </w:r>
    </w:p>
    <w:p w:rsidR="00ED6F47" w:rsidP="00ED6F47" w:rsidRDefault="00ED6F47" w14:paraId="2276C3B5" w14:textId="2A2DB80C">
      <w:pPr>
        <w:pStyle w:val="Heading3"/>
      </w:pPr>
      <w:bookmarkStart w:name="_bmk88" w:id="136"/>
      <w:r>
        <w:t>N</w:t>
      </w:r>
      <w:bookmarkEnd w:id="136"/>
      <w:r>
        <w:t>OPR Proposal</w:t>
      </w:r>
    </w:p>
    <w:p w:rsidRPr="00F65FCA" w:rsidR="00B373D3" w:rsidP="00B373D3" w:rsidRDefault="00B373D3" w14:paraId="419789E8" w14:textId="0E18FBE6">
      <w:pPr>
        <w:pStyle w:val="FERCparanumber"/>
        <w:rPr>
          <w:rFonts w:eastAsia="Calibri"/>
        </w:rPr>
      </w:pPr>
      <w:r w:rsidRPr="00F65FCA">
        <w:t xml:space="preserve">In the NOPR, the Commission stated that, in order to ensure that a </w:t>
      </w:r>
      <w:r>
        <w:t>distributed energy resource</w:t>
      </w:r>
      <w:r w:rsidRPr="00F65FCA">
        <w:t xml:space="preserve"> aggregator complies with all relevant provisions of the RTO/ISO tariffs, it must execute an agreement with the RTO/ISO that defines its roles and responsibilities and its relationship with the RTO/ISO before it can participate in </w:t>
      </w:r>
      <w:r w:rsidR="00231F8F">
        <w:t>RTO/ISO</w:t>
      </w:r>
      <w:r w:rsidRPr="00F65FCA">
        <w:t xml:space="preserve"> markets.</w:t>
      </w:r>
      <w:r w:rsidRPr="00367C29">
        <w:rPr>
          <w:rStyle w:val="FootnoteReference"/>
        </w:rPr>
        <w:footnoteReference w:id="791"/>
      </w:r>
      <w:r w:rsidRPr="00F65FCA">
        <w:t xml:space="preserve">  The Commission explained that, </w:t>
      </w:r>
      <w:r w:rsidR="004F19AC">
        <w:t>because</w:t>
      </w:r>
      <w:r w:rsidRPr="00F65FCA">
        <w:t xml:space="preserve"> the individual resources in these </w:t>
      </w:r>
      <w:r>
        <w:t>distributed energy resource</w:t>
      </w:r>
      <w:r w:rsidRPr="00F65FCA">
        <w:t xml:space="preserve"> aggregations will likely fall under the purview of multiple organizations (e.g., the RTO/ISO, state regulatory commissions, relevant distribution utilities, and local regulatory authorities), these agreements must also require</w:t>
      </w:r>
      <w:r>
        <w:t xml:space="preserve"> that the distributed energy resource aggregator attest</w:t>
      </w:r>
      <w:r w:rsidRPr="00F65FCA">
        <w:t xml:space="preserve"> that its </w:t>
      </w:r>
      <w:r>
        <w:t>distributed energy resource</w:t>
      </w:r>
      <w:r w:rsidRPr="00F65FCA">
        <w:t xml:space="preserve"> aggregation is compliant with the tariffs and operating procedures of the distribution utilities and the rules and regulations of any other relevant regulatory authority.</w:t>
      </w:r>
      <w:r w:rsidRPr="007A657D">
        <w:rPr>
          <w:rStyle w:val="FootnoteReference"/>
        </w:rPr>
        <w:footnoteReference w:id="792"/>
      </w:r>
      <w:r w:rsidRPr="00F65FCA">
        <w:t xml:space="preserve">  The Commission </w:t>
      </w:r>
      <w:r w:rsidR="004F19AC">
        <w:t xml:space="preserve">therefore </w:t>
      </w:r>
      <w:r w:rsidRPr="00F65FCA">
        <w:rPr>
          <w:rFonts w:eastAsia="Calibri"/>
        </w:rPr>
        <w:t xml:space="preserve">proposed that each RTO/ISO revise its tariff to include a market participation agreement for </w:t>
      </w:r>
      <w:r>
        <w:rPr>
          <w:rFonts w:eastAsia="Calibri"/>
        </w:rPr>
        <w:t>distributed energy resource</w:t>
      </w:r>
      <w:r w:rsidRPr="00F65FCA">
        <w:rPr>
          <w:rFonts w:eastAsia="Calibri"/>
        </w:rPr>
        <w:t xml:space="preserve"> aggregators.  The Commission did not propose specific requirements for such agreements in the NOPR; instead, the Commission sought comment on the information these agreements should contain.</w:t>
      </w:r>
    </w:p>
    <w:p w:rsidRPr="00834ACC" w:rsidR="00B373D3" w:rsidP="00B373D3" w:rsidRDefault="00B373D3" w14:paraId="6D927181" w14:textId="46393727">
      <w:pPr>
        <w:pStyle w:val="FERCparanumber"/>
        <w:rPr>
          <w:b/>
          <w:u w:val="single"/>
        </w:rPr>
      </w:pPr>
      <w:r w:rsidRPr="00F65FCA">
        <w:t xml:space="preserve">The Commission also explained that, while these agreements will define the roles and responsibilities of the </w:t>
      </w:r>
      <w:r>
        <w:t>distributed energy resource</w:t>
      </w:r>
      <w:r w:rsidRPr="00F65FCA">
        <w:t xml:space="preserve"> aggregator, they should not limit the business models under </w:t>
      </w:r>
      <w:r w:rsidRPr="00332602">
        <w:t xml:space="preserve">which </w:t>
      </w:r>
      <w:r>
        <w:t>distributed energy resource</w:t>
      </w:r>
      <w:r w:rsidRPr="00332602">
        <w:t xml:space="preserve"> aggregators can operate.</w:t>
      </w:r>
      <w:r w:rsidRPr="00367C29">
        <w:rPr>
          <w:rStyle w:val="FootnoteReference"/>
        </w:rPr>
        <w:footnoteReference w:id="793"/>
      </w:r>
      <w:r w:rsidRPr="00332602">
        <w:t xml:space="preserve">  Therefore, the Commission proposed that the market participation agreement for </w:t>
      </w:r>
      <w:r>
        <w:t>distributed energy resource</w:t>
      </w:r>
      <w:r w:rsidRPr="00332602">
        <w:t xml:space="preserve"> aggregators that each RTO/ISO</w:t>
      </w:r>
      <w:r>
        <w:t xml:space="preserve"> must include in its tariff may</w:t>
      </w:r>
      <w:r w:rsidRPr="00332602">
        <w:t xml:space="preserve"> not restrict the business models that </w:t>
      </w:r>
      <w:r>
        <w:t>distributed energy resource</w:t>
      </w:r>
      <w:r w:rsidRPr="00332602">
        <w:t xml:space="preserve"> aggregators may adopt.</w:t>
      </w:r>
      <w:r w:rsidR="009C4DD4">
        <w:t xml:space="preserve">  The Commission stated that </w:t>
      </w:r>
      <w:r w:rsidRPr="008072CA" w:rsidR="008072CA">
        <w:t>market participation agreement</w:t>
      </w:r>
      <w:r w:rsidR="008072CA">
        <w:t>s</w:t>
      </w:r>
      <w:r w:rsidRPr="008072CA" w:rsidR="008072CA">
        <w:t xml:space="preserve"> for distributed energy resource aggregators should not preclude distribution utilities, cooperatives, or municipalities from aggregating distributed energy resources on their systems or even </w:t>
      </w:r>
      <w:r w:rsidRPr="00E75960" w:rsidR="008072CA">
        <w:t xml:space="preserve">microgrids from participating in the </w:t>
      </w:r>
      <w:r w:rsidRPr="00E75960" w:rsidR="00CD6829">
        <w:t>RTO/ISO</w:t>
      </w:r>
      <w:r w:rsidRPr="00E75960" w:rsidR="008072CA">
        <w:t xml:space="preserve"> markets as a distributed energy resource</w:t>
      </w:r>
      <w:r w:rsidRPr="008072CA" w:rsidR="008072CA">
        <w:t xml:space="preserve"> aggregation.</w:t>
      </w:r>
      <w:r w:rsidRPr="00332602">
        <w:t xml:space="preserve"> </w:t>
      </w:r>
    </w:p>
    <w:p w:rsidR="00B373D3" w:rsidP="00E75960" w:rsidRDefault="00D67036" w14:paraId="36FA7642" w14:textId="4DCD80A8">
      <w:pPr>
        <w:pStyle w:val="FERCparanumber"/>
      </w:pPr>
      <w:r>
        <w:t xml:space="preserve">After the </w:t>
      </w:r>
      <w:r w:rsidR="00DB094C">
        <w:t>April 2018</w:t>
      </w:r>
      <w:r>
        <w:t xml:space="preserve"> </w:t>
      </w:r>
      <w:r w:rsidR="00D95727">
        <w:t>t</w:t>
      </w:r>
      <w:r>
        <w:t xml:space="preserve">echnical </w:t>
      </w:r>
      <w:r w:rsidR="00D95727">
        <w:t>c</w:t>
      </w:r>
      <w:r>
        <w:t>onference, the Commission sought comment</w:t>
      </w:r>
      <w:r w:rsidR="00B001C1">
        <w:t xml:space="preserve"> </w:t>
      </w:r>
      <w:r w:rsidR="00696937">
        <w:t>on</w:t>
      </w:r>
      <w:r w:rsidRPr="000C7941" w:rsidR="00696937">
        <w:t xml:space="preserve"> whether the proposed use of market participation agreements address</w:t>
      </w:r>
      <w:r w:rsidR="00696937">
        <w:t>es</w:t>
      </w:r>
      <w:r w:rsidRPr="000C7941" w:rsidR="00696937">
        <w:t xml:space="preserve"> state and local regulator concerns about the role of distribution utilities in the coordination and registration of </w:t>
      </w:r>
      <w:r w:rsidR="00696937">
        <w:t>distributed energy resource</w:t>
      </w:r>
      <w:r w:rsidRPr="000C7941" w:rsidR="00696937">
        <w:t xml:space="preserve">s in aggregations.  </w:t>
      </w:r>
      <w:r w:rsidR="00E167A5">
        <w:t>The Commission</w:t>
      </w:r>
      <w:r w:rsidRPr="000C7941" w:rsidR="00B373D3">
        <w:t xml:space="preserve"> further asked whether the proposed provisions in the market participation agreements that require that </w:t>
      </w:r>
      <w:r w:rsidR="00B373D3">
        <w:t>distributed energy resource</w:t>
      </w:r>
      <w:r w:rsidRPr="000C7941" w:rsidR="00B373D3">
        <w:t xml:space="preserve"> aggregators attest that they are compliant with the tariffs and operation procedures of distribution utilities and state and local regulators </w:t>
      </w:r>
      <w:r w:rsidR="00B373D3">
        <w:t xml:space="preserve">are </w:t>
      </w:r>
      <w:r w:rsidRPr="000C7941" w:rsidR="00B373D3">
        <w:t>sufficient to address such concerns.</w:t>
      </w:r>
      <w:r w:rsidR="00C72DFE">
        <w:rPr>
          <w:rStyle w:val="FootnoteReference"/>
        </w:rPr>
        <w:footnoteReference w:id="794"/>
      </w:r>
    </w:p>
    <w:p w:rsidR="00ED6F47" w:rsidP="00ED6F47" w:rsidRDefault="00ED6F47" w14:paraId="16296B63" w14:textId="4A4428DF">
      <w:pPr>
        <w:pStyle w:val="Heading3"/>
      </w:pPr>
      <w:bookmarkStart w:name="_bmk89" w:id="137"/>
      <w:r>
        <w:t>C</w:t>
      </w:r>
      <w:bookmarkEnd w:id="137"/>
      <w:r>
        <w:t>omments</w:t>
      </w:r>
    </w:p>
    <w:p w:rsidRPr="0036045B" w:rsidR="000C01C5" w:rsidP="00B373D3" w:rsidRDefault="00B373D3" w14:paraId="59A3FAB3" w14:textId="00CAB959">
      <w:pPr>
        <w:pStyle w:val="FERCparanumber"/>
        <w:rPr>
          <w:rFonts w:eastAsia="Calibri"/>
          <w:szCs w:val="26"/>
        </w:rPr>
      </w:pPr>
      <w:r w:rsidRPr="00332602">
        <w:t xml:space="preserve">All commenters that </w:t>
      </w:r>
      <w:r>
        <w:t>address</w:t>
      </w:r>
      <w:r w:rsidRPr="00332602">
        <w:t xml:space="preserve"> this topic agree that market participation agreements </w:t>
      </w:r>
      <w:r w:rsidR="000C01C5">
        <w:t>between RTOs/ISOs and</w:t>
      </w:r>
      <w:r w:rsidR="002B678A">
        <w:t xml:space="preserve"> distributed energy resource aggregators</w:t>
      </w:r>
      <w:r w:rsidRPr="00332602" w:rsidDel="002B678A" w:rsidR="002B678A">
        <w:t xml:space="preserve"> </w:t>
      </w:r>
      <w:r w:rsidR="002B678A">
        <w:t>are</w:t>
      </w:r>
      <w:r w:rsidRPr="00332602">
        <w:t xml:space="preserve"> necessary.  However, commenters disagree on the structure of these agreements.  </w:t>
      </w:r>
    </w:p>
    <w:p w:rsidRPr="00E52EF9" w:rsidR="000C01C5" w:rsidP="00B373D3" w:rsidRDefault="000C01C5" w14:paraId="04D8E6C6" w14:textId="70B84DB1">
      <w:pPr>
        <w:pStyle w:val="FERCparanumber"/>
        <w:rPr>
          <w:rFonts w:eastAsia="Calibri"/>
          <w:szCs w:val="26"/>
        </w:rPr>
      </w:pPr>
      <w:r>
        <w:t>Many</w:t>
      </w:r>
      <w:r w:rsidR="002B678A">
        <w:t xml:space="preserve"> commenters</w:t>
      </w:r>
      <w:r w:rsidRPr="00332602" w:rsidR="00B373D3">
        <w:t xml:space="preserve"> support the NOPR propos</w:t>
      </w:r>
      <w:r w:rsidR="002B678A">
        <w:t>al</w:t>
      </w:r>
      <w:r w:rsidRPr="00332602" w:rsidR="00B373D3">
        <w:t xml:space="preserve"> </w:t>
      </w:r>
      <w:r w:rsidR="002B678A">
        <w:t xml:space="preserve">to </w:t>
      </w:r>
      <w:r w:rsidRPr="00332602" w:rsidR="00B373D3">
        <w:t xml:space="preserve">require </w:t>
      </w:r>
      <w:r>
        <w:t>a</w:t>
      </w:r>
      <w:r w:rsidRPr="00332602" w:rsidR="00B373D3">
        <w:t xml:space="preserve"> market participation agreement for distributed energy resource aggregators.</w:t>
      </w:r>
      <w:r w:rsidRPr="00367C29" w:rsidR="00B373D3">
        <w:rPr>
          <w:rStyle w:val="FootnoteReference"/>
        </w:rPr>
        <w:footnoteReference w:id="795"/>
      </w:r>
      <w:r w:rsidRPr="00332602" w:rsidR="00B373D3">
        <w:t xml:space="preserve">  ISO-NE, however, urges the Commission to exclude from </w:t>
      </w:r>
      <w:r w:rsidR="001C642E">
        <w:t>a</w:t>
      </w:r>
      <w:r w:rsidRPr="00332602" w:rsidR="00B373D3">
        <w:t xml:space="preserve"> final rule any specific directives </w:t>
      </w:r>
      <w:r w:rsidR="009C406F">
        <w:t xml:space="preserve">regarding market participation agreements for aggregations of distributed energy resources, including requiring </w:t>
      </w:r>
      <w:r w:rsidRPr="009C406F" w:rsidR="009C406F">
        <w:t>attestation from the aggregator.</w:t>
      </w:r>
      <w:r w:rsidRPr="00367C29" w:rsidR="00B373D3">
        <w:rPr>
          <w:rStyle w:val="FootnoteReference"/>
        </w:rPr>
        <w:footnoteReference w:id="796"/>
      </w:r>
      <w:r w:rsidRPr="00332602" w:rsidR="00B373D3">
        <w:t xml:space="preserve">  ISO-NE states </w:t>
      </w:r>
      <w:r w:rsidR="001C642E">
        <w:t xml:space="preserve">that </w:t>
      </w:r>
      <w:r w:rsidRPr="00332602" w:rsidR="00B373D3">
        <w:t xml:space="preserve">such directives are not needed because its current generic market participant agreement is sufficient as a “simple and proven” approach to accommodate </w:t>
      </w:r>
      <w:r w:rsidR="00B373D3">
        <w:t>distributed energy resource</w:t>
      </w:r>
      <w:r w:rsidRPr="00332602" w:rsidR="00B373D3">
        <w:t xml:space="preserve"> aggregations and because other coordination processes, including the asset registration process, may be preferable mechanisms for gathering and verifying information related to a participant’s assets.  </w:t>
      </w:r>
    </w:p>
    <w:p w:rsidRPr="000C7941" w:rsidR="00B373D3" w:rsidP="00B373D3" w:rsidRDefault="00B373D3" w14:paraId="54A65BC5" w14:textId="294DD668">
      <w:pPr>
        <w:pStyle w:val="FERCparanumber"/>
        <w:rPr>
          <w:rFonts w:eastAsia="Calibri"/>
          <w:szCs w:val="26"/>
        </w:rPr>
      </w:pPr>
      <w:r w:rsidRPr="000C7941">
        <w:t xml:space="preserve">Some commenters express concerns about the sufficiency of market participation agreements to address state and local regulatory concerns.  </w:t>
      </w:r>
      <w:r w:rsidRPr="000C7941">
        <w:rPr>
          <w:rFonts w:eastAsia="Calibri"/>
          <w:szCs w:val="26"/>
        </w:rPr>
        <w:t xml:space="preserve">The New York Commission, for example, cautions that a rule addressing the nature and use of market participation agreements should not create barriers that hinder a state regulator’s ability to guide the ways that </w:t>
      </w:r>
      <w:r>
        <w:rPr>
          <w:rFonts w:eastAsia="Calibri"/>
          <w:szCs w:val="26"/>
        </w:rPr>
        <w:t>distributed energy resource</w:t>
      </w:r>
      <w:r w:rsidRPr="000C7941">
        <w:rPr>
          <w:rFonts w:eastAsia="Calibri"/>
          <w:szCs w:val="26"/>
        </w:rPr>
        <w:t xml:space="preserve"> aggregations can be formed, registered, managed, and operated, including the role of a distribution utility in the coordination and registration of </w:t>
      </w:r>
      <w:r>
        <w:rPr>
          <w:rFonts w:eastAsia="Calibri"/>
          <w:szCs w:val="26"/>
        </w:rPr>
        <w:t>distributed energy resource</w:t>
      </w:r>
      <w:r w:rsidRPr="000C7941">
        <w:rPr>
          <w:rFonts w:eastAsia="Calibri"/>
          <w:szCs w:val="26"/>
        </w:rPr>
        <w:t xml:space="preserve"> aggregations.</w:t>
      </w:r>
      <w:r w:rsidRPr="0083040F">
        <w:rPr>
          <w:rStyle w:val="FootnoteReference"/>
        </w:rPr>
        <w:footnoteReference w:id="797"/>
      </w:r>
      <w:r>
        <w:rPr>
          <w:rFonts w:eastAsia="Calibri"/>
          <w:szCs w:val="26"/>
        </w:rPr>
        <w:t xml:space="preserve">  </w:t>
      </w:r>
      <w:r w:rsidRPr="000C7941">
        <w:t>Organization of MISO States asserts that concerns remain about the ability to effectively police compliance</w:t>
      </w:r>
      <w:r w:rsidR="001C642E">
        <w:t xml:space="preserve"> with participation agreements</w:t>
      </w:r>
      <w:r w:rsidRPr="000C7941">
        <w:t>, a</w:t>
      </w:r>
      <w:r w:rsidR="00EC2A2E">
        <w:t>nd</w:t>
      </w:r>
      <w:r w:rsidRPr="000C7941">
        <w:t xml:space="preserve"> </w:t>
      </w:r>
      <w:r w:rsidR="00EC2A2E">
        <w:t>that</w:t>
      </w:r>
      <w:r w:rsidRPr="000C7941">
        <w:t xml:space="preserve"> in order to comply, new lines of communication between distribution utilities, </w:t>
      </w:r>
      <w:r>
        <w:t>distributed energy resource</w:t>
      </w:r>
      <w:r w:rsidRPr="000C7941">
        <w:t xml:space="preserve"> aggregators, and the RTO</w:t>
      </w:r>
      <w:r w:rsidR="00735F05">
        <w:t>/ISO</w:t>
      </w:r>
      <w:r w:rsidRPr="000C7941">
        <w:t xml:space="preserve"> will need to be developed.</w:t>
      </w:r>
      <w:r w:rsidRPr="0083040F">
        <w:rPr>
          <w:rStyle w:val="FootnoteReference"/>
        </w:rPr>
        <w:footnoteReference w:id="798"/>
      </w:r>
      <w:r w:rsidRPr="000C7941">
        <w:rPr>
          <w:rFonts w:eastAsia="Calibri"/>
          <w:szCs w:val="26"/>
        </w:rPr>
        <w:t xml:space="preserve">  </w:t>
      </w:r>
    </w:p>
    <w:p w:rsidRPr="00332602" w:rsidR="00B373D3" w:rsidP="00B373D3" w:rsidRDefault="00B373D3" w14:paraId="0D1B6771" w14:textId="2A271CC3">
      <w:pPr>
        <w:pStyle w:val="FERCparanumber"/>
      </w:pPr>
      <w:r w:rsidRPr="000C7941">
        <w:t xml:space="preserve">Organization of MISO States asserts that further participation agreements will need to be crafted to accommodate ever-evolving technology changes and </w:t>
      </w:r>
      <w:r w:rsidR="00EC2A2E">
        <w:t xml:space="preserve">to </w:t>
      </w:r>
      <w:r w:rsidRPr="000C7941">
        <w:t xml:space="preserve">avoid such initial agreements becoming barriers to innovation.  </w:t>
      </w:r>
      <w:r w:rsidR="008431AB">
        <w:t>It</w:t>
      </w:r>
      <w:r w:rsidRPr="000C7941">
        <w:t xml:space="preserve"> asserts that the RTO</w:t>
      </w:r>
      <w:r w:rsidR="00EC2A2E">
        <w:t>/ISO</w:t>
      </w:r>
      <w:r w:rsidRPr="000C7941">
        <w:t xml:space="preserve"> stakeholder process is the appropriate place for these modifications to participation agreements to occur.</w:t>
      </w:r>
      <w:r w:rsidRPr="0083040F">
        <w:rPr>
          <w:rStyle w:val="FootnoteReference"/>
        </w:rPr>
        <w:t xml:space="preserve"> </w:t>
      </w:r>
      <w:r w:rsidRPr="0083040F">
        <w:rPr>
          <w:rStyle w:val="FootnoteReference"/>
        </w:rPr>
        <w:footnoteReference w:id="799"/>
      </w:r>
    </w:p>
    <w:p w:rsidR="00B373D3" w:rsidP="00B373D3" w:rsidRDefault="00B373D3" w14:paraId="6F5C097A" w14:textId="39664551">
      <w:pPr>
        <w:pStyle w:val="FERCparanumber"/>
      </w:pPr>
      <w:r w:rsidRPr="00332602">
        <w:t>Commenters express varying recommendations for the structure of</w:t>
      </w:r>
      <w:r w:rsidR="008D098C">
        <w:t xml:space="preserve"> an agreement or agreements</w:t>
      </w:r>
      <w:r w:rsidRPr="00332602">
        <w:t xml:space="preserve"> and </w:t>
      </w:r>
      <w:r w:rsidR="008D098C">
        <w:t xml:space="preserve">the </w:t>
      </w:r>
      <w:r w:rsidRPr="00332602">
        <w:t xml:space="preserve">parties required to enter </w:t>
      </w:r>
      <w:r w:rsidR="008D098C">
        <w:t>them</w:t>
      </w:r>
      <w:r w:rsidRPr="00332602">
        <w:t>.</w:t>
      </w:r>
      <w:r>
        <w:t xml:space="preserve">  </w:t>
      </w:r>
      <w:r w:rsidRPr="00F65FCA">
        <w:t>AES Companies suggest a three</w:t>
      </w:r>
      <w:r w:rsidR="00786B8A">
        <w:t>-</w:t>
      </w:r>
      <w:r w:rsidRPr="00F65FCA">
        <w:t>party agreement between the aggregator, distribution utility</w:t>
      </w:r>
      <w:r w:rsidR="00786B8A">
        <w:t>,</w:t>
      </w:r>
      <w:r w:rsidRPr="00F65FCA">
        <w:t xml:space="preserve"> and RTO/ISO is appropriate,</w:t>
      </w:r>
      <w:r w:rsidRPr="00367C29">
        <w:rPr>
          <w:rStyle w:val="FootnoteReference"/>
        </w:rPr>
        <w:footnoteReference w:id="800"/>
      </w:r>
      <w:r w:rsidRPr="00F65FCA">
        <w:t xml:space="preserve"> while Pacific Gas &amp; Electric suggests two two-party agreements (one agreement between aggregator and RTO/ISO</w:t>
      </w:r>
      <w:r w:rsidR="00786B8A">
        <w:t>,</w:t>
      </w:r>
      <w:r w:rsidRPr="00F65FCA">
        <w:t xml:space="preserve"> and another between aggregator and distribution utility).</w:t>
      </w:r>
      <w:r w:rsidRPr="00367C29">
        <w:rPr>
          <w:rStyle w:val="FootnoteReference"/>
        </w:rPr>
        <w:footnoteReference w:id="801"/>
      </w:r>
      <w:r w:rsidRPr="00F65FCA">
        <w:t xml:space="preserve">  APPA/NRECA and MISO Transmission Owners favor the utilities being party to the agreements and argue </w:t>
      </w:r>
      <w:r w:rsidR="00C63787">
        <w:t xml:space="preserve">that </w:t>
      </w:r>
      <w:r w:rsidRPr="00F65FCA">
        <w:t>the agreement should demonstrate that the aggregation has been authorized by the utility or its relevant regulatory authority.</w:t>
      </w:r>
      <w:r w:rsidRPr="00367C29">
        <w:rPr>
          <w:rStyle w:val="FootnoteReference"/>
        </w:rPr>
        <w:footnoteReference w:id="802"/>
      </w:r>
      <w:r w:rsidRPr="00F65FCA">
        <w:t xml:space="preserve">  CAISO also suggests that the Commission consider whether a separate Commission-jurisdictional agreement should apply between a distribution utility and a </w:t>
      </w:r>
      <w:r>
        <w:t>distributed energy resource</w:t>
      </w:r>
      <w:r w:rsidRPr="00F65FCA">
        <w:t xml:space="preserve"> aggregator.</w:t>
      </w:r>
      <w:r w:rsidRPr="00367C29">
        <w:rPr>
          <w:rStyle w:val="FootnoteReference"/>
        </w:rPr>
        <w:footnoteReference w:id="803"/>
      </w:r>
      <w:r w:rsidRPr="00F65FCA">
        <w:t xml:space="preserve">  </w:t>
      </w:r>
    </w:p>
    <w:p w:rsidRPr="00A83F94" w:rsidR="00B373D3" w:rsidP="00B373D3" w:rsidRDefault="00B373D3" w14:paraId="38E48CB3" w14:textId="280A52E0">
      <w:pPr>
        <w:pStyle w:val="FERCparanumber"/>
      </w:pPr>
      <w:r>
        <w:t xml:space="preserve">Some commenters request flexibility, further </w:t>
      </w:r>
      <w:r w:rsidR="00702AB7">
        <w:t xml:space="preserve">guidance </w:t>
      </w:r>
      <w:r>
        <w:t>from the Commission</w:t>
      </w:r>
      <w:r w:rsidR="00702AB7">
        <w:t>,</w:t>
      </w:r>
      <w:r>
        <w:t xml:space="preserve"> </w:t>
      </w:r>
      <w:r w:rsidR="00702AB7">
        <w:t>and/</w:t>
      </w:r>
      <w:r>
        <w:t xml:space="preserve">or </w:t>
      </w:r>
      <w:r w:rsidR="00702AB7">
        <w:t xml:space="preserve">the </w:t>
      </w:r>
      <w:r>
        <w:t xml:space="preserve">participation </w:t>
      </w:r>
      <w:r w:rsidR="00702AB7">
        <w:t xml:space="preserve">of </w:t>
      </w:r>
      <w:r>
        <w:t xml:space="preserve">other parties </w:t>
      </w:r>
      <w:r w:rsidR="00786B8A">
        <w:t>in</w:t>
      </w:r>
      <w:r>
        <w:t xml:space="preserve"> crafting market participation agreements.  </w:t>
      </w:r>
      <w:r w:rsidR="00501CD3">
        <w:t>M</w:t>
      </w:r>
      <w:r w:rsidR="00D85DD5">
        <w:t>ost</w:t>
      </w:r>
      <w:r w:rsidRPr="00F65FCA" w:rsidR="001C642E">
        <w:t xml:space="preserve"> RTOs/ISOs suggest that some of their existing agreements may be applicable but argue for flexibility in establishing appropriate agreements.</w:t>
      </w:r>
      <w:r w:rsidRPr="00367C29" w:rsidR="001C642E">
        <w:rPr>
          <w:rStyle w:val="FootnoteReference"/>
        </w:rPr>
        <w:footnoteReference w:id="804"/>
      </w:r>
      <w:r w:rsidRPr="00F65FCA" w:rsidR="001C642E">
        <w:t xml:space="preserve">  </w:t>
      </w:r>
      <w:r>
        <w:t>Pacific Gas &amp; Electric</w:t>
      </w:r>
      <w:r w:rsidRPr="00716CDF">
        <w:t xml:space="preserve"> </w:t>
      </w:r>
      <w:r w:rsidR="001C642E">
        <w:t xml:space="preserve">also </w:t>
      </w:r>
      <w:r w:rsidRPr="00716CDF">
        <w:t>argue</w:t>
      </w:r>
      <w:r w:rsidR="001C642E">
        <w:t>s</w:t>
      </w:r>
      <w:r w:rsidRPr="00716CDF">
        <w:t xml:space="preserve"> that each RTO/ISO should be allowed to craft agreements appropriate for its markets.</w:t>
      </w:r>
      <w:r w:rsidRPr="00367C29">
        <w:rPr>
          <w:rStyle w:val="FootnoteReference"/>
        </w:rPr>
        <w:footnoteReference w:id="805"/>
      </w:r>
      <w:r w:rsidRPr="00716CDF">
        <w:t xml:space="preserve">  </w:t>
      </w:r>
      <w:r w:rsidRPr="007522F9">
        <w:t>NARUC requests that</w:t>
      </w:r>
      <w:r w:rsidR="00786B8A">
        <w:t>,</w:t>
      </w:r>
      <w:r w:rsidRPr="007522F9">
        <w:t xml:space="preserve"> for states that do allow third party aggregations, the Commission only provide broad policy direction in </w:t>
      </w:r>
      <w:r w:rsidR="00312293">
        <w:t>a</w:t>
      </w:r>
      <w:r w:rsidRPr="007522F9">
        <w:t xml:space="preserve"> final rule and allow the RTOs/ISOs to </w:t>
      </w:r>
      <w:r w:rsidR="00B958C2">
        <w:t>develop with state input</w:t>
      </w:r>
      <w:r w:rsidRPr="007522F9">
        <w:t xml:space="preserve"> the </w:t>
      </w:r>
      <w:r w:rsidR="00B958C2">
        <w:t xml:space="preserve">necessary </w:t>
      </w:r>
      <w:r w:rsidRPr="007522F9">
        <w:t xml:space="preserve">details </w:t>
      </w:r>
      <w:r w:rsidR="00B958C2">
        <w:t>for</w:t>
      </w:r>
      <w:r w:rsidRPr="007522F9">
        <w:t xml:space="preserve"> implementation.</w:t>
      </w:r>
      <w:r w:rsidRPr="00367C29">
        <w:rPr>
          <w:rStyle w:val="FootnoteReference"/>
        </w:rPr>
        <w:footnoteReference w:id="806"/>
      </w:r>
      <w:r>
        <w:t xml:space="preserve"> </w:t>
      </w:r>
      <w:r w:rsidR="00786B8A">
        <w:t xml:space="preserve"> </w:t>
      </w:r>
      <w:r w:rsidRPr="00716CDF" w:rsidR="00312293">
        <w:t xml:space="preserve">EEI </w:t>
      </w:r>
      <w:r w:rsidR="00312293">
        <w:t xml:space="preserve">similarly </w:t>
      </w:r>
      <w:r w:rsidRPr="00716CDF" w:rsidR="00312293">
        <w:t>argues that RTOs/ISOs and distribution utilities should develop market participation agreements in conjunction with their stakeholders.</w:t>
      </w:r>
      <w:r w:rsidRPr="00367C29" w:rsidR="00312293">
        <w:rPr>
          <w:rStyle w:val="FootnoteReference"/>
        </w:rPr>
        <w:footnoteReference w:id="807"/>
      </w:r>
      <w:r w:rsidRPr="00716CDF" w:rsidR="00312293">
        <w:t xml:space="preserve">  </w:t>
      </w:r>
      <w:r w:rsidRPr="00716CDF">
        <w:t xml:space="preserve">Xcel Energy Services goes further, stating that the details of market participation </w:t>
      </w:r>
      <w:r w:rsidR="00E459D1">
        <w:t xml:space="preserve">agreements </w:t>
      </w:r>
      <w:r w:rsidRPr="00716CDF">
        <w:t>will need to be addressed by states.</w:t>
      </w:r>
      <w:r w:rsidRPr="00367C29">
        <w:rPr>
          <w:rStyle w:val="FootnoteReference"/>
        </w:rPr>
        <w:footnoteReference w:id="808"/>
      </w:r>
      <w:r w:rsidRPr="00716CDF">
        <w:t xml:space="preserve"> </w:t>
      </w:r>
      <w:r>
        <w:t xml:space="preserve"> </w:t>
      </w:r>
      <w:r w:rsidRPr="00716CDF">
        <w:t xml:space="preserve">PJM asserts that further clarification as to the role of electric distribution companies and other relevant regulatory authorities is needed </w:t>
      </w:r>
      <w:r>
        <w:t xml:space="preserve">for </w:t>
      </w:r>
      <w:r w:rsidRPr="00716CDF">
        <w:t xml:space="preserve">PJM </w:t>
      </w:r>
      <w:r>
        <w:t xml:space="preserve">to </w:t>
      </w:r>
      <w:r w:rsidRPr="00716CDF">
        <w:t xml:space="preserve">finalize </w:t>
      </w:r>
      <w:r>
        <w:t xml:space="preserve">the </w:t>
      </w:r>
      <w:r w:rsidRPr="00716CDF">
        <w:t>appropriate market participant agreement</w:t>
      </w:r>
      <w:r>
        <w:t xml:space="preserve"> design.</w:t>
      </w:r>
      <w:r w:rsidRPr="00367C29">
        <w:rPr>
          <w:rStyle w:val="FootnoteReference"/>
        </w:rPr>
        <w:footnoteReference w:id="809"/>
      </w:r>
      <w:r>
        <w:t xml:space="preserve">  </w:t>
      </w:r>
      <w:r w:rsidRPr="00716CDF">
        <w:t>Massachusetts Municipal Elect</w:t>
      </w:r>
      <w:r>
        <w:t>ric requests</w:t>
      </w:r>
      <w:r w:rsidRPr="00716CDF">
        <w:t xml:space="preserve"> sufficient flexibility for the agreement to accommodate different </w:t>
      </w:r>
      <w:r>
        <w:t xml:space="preserve">conditions at different </w:t>
      </w:r>
      <w:r w:rsidRPr="00716CDF">
        <w:t>distribution utilities.</w:t>
      </w:r>
      <w:r w:rsidRPr="00367C29">
        <w:rPr>
          <w:rStyle w:val="FootnoteReference"/>
        </w:rPr>
        <w:footnoteReference w:id="810"/>
      </w:r>
      <w:r>
        <w:t xml:space="preserve">  </w:t>
      </w:r>
      <w:r w:rsidRPr="00716CDF">
        <w:t>Mensah</w:t>
      </w:r>
      <w:r>
        <w:t>, however,</w:t>
      </w:r>
      <w:r w:rsidRPr="00716CDF">
        <w:t xml:space="preserve"> states that the participation agreement, and any necessary amendments, should be standardized, streamlined, and automated as much as possible to avoid unnecessary costs.</w:t>
      </w:r>
      <w:r w:rsidRPr="00367C29">
        <w:rPr>
          <w:rStyle w:val="FootnoteReference"/>
        </w:rPr>
        <w:footnoteReference w:id="811"/>
      </w:r>
      <w:r>
        <w:t xml:space="preserve"> </w:t>
      </w:r>
    </w:p>
    <w:p w:rsidR="00F64C40" w:rsidP="00B373D3" w:rsidRDefault="00B373D3" w14:paraId="21B74D43" w14:textId="0CD5FD23">
      <w:pPr>
        <w:pStyle w:val="FERCparanumber"/>
      </w:pPr>
      <w:r w:rsidRPr="00184F63">
        <w:t xml:space="preserve">Some commenters advocate for </w:t>
      </w:r>
      <w:r>
        <w:t>specific requirements</w:t>
      </w:r>
      <w:r w:rsidRPr="00184F63">
        <w:t xml:space="preserve"> in market participation agreements.  </w:t>
      </w:r>
      <w:r w:rsidRPr="00716CDF">
        <w:t xml:space="preserve">EEI argues that </w:t>
      </w:r>
      <w:r>
        <w:t xml:space="preserve">the </w:t>
      </w:r>
      <w:r w:rsidRPr="00716CDF">
        <w:t xml:space="preserve">agreements </w:t>
      </w:r>
      <w:r>
        <w:t>should</w:t>
      </w:r>
      <w:r w:rsidRPr="00716CDF">
        <w:t xml:space="preserve"> ensure that distributed energy resource aggregators are subject to comparable requirements as other resources.</w:t>
      </w:r>
      <w:r w:rsidRPr="00367C29">
        <w:rPr>
          <w:rStyle w:val="FootnoteReference"/>
        </w:rPr>
        <w:footnoteReference w:id="812"/>
      </w:r>
      <w:r>
        <w:t xml:space="preserve">  </w:t>
      </w:r>
      <w:r w:rsidRPr="00184F63">
        <w:t xml:space="preserve">AES Companies assert that an </w:t>
      </w:r>
      <w:r w:rsidRPr="00BA4B76">
        <w:t xml:space="preserve">agreement should only obligate the aggregator to conform to the appropriate tariff rules and a proportionate share of </w:t>
      </w:r>
      <w:r w:rsidR="00786B8A">
        <w:t>e</w:t>
      </w:r>
      <w:r w:rsidRPr="00BA4B76">
        <w:t xml:space="preserve">ssential </w:t>
      </w:r>
      <w:r w:rsidR="00786B8A">
        <w:t>r</w:t>
      </w:r>
      <w:r w:rsidRPr="00BA4B76">
        <w:t xml:space="preserve">eliability </w:t>
      </w:r>
      <w:r w:rsidR="00786B8A">
        <w:t>s</w:t>
      </w:r>
      <w:r w:rsidRPr="00BA4B76">
        <w:t>ervices as determined by each RTO/ISO and its stakeholders.</w:t>
      </w:r>
      <w:r w:rsidRPr="00367C29">
        <w:rPr>
          <w:rStyle w:val="FootnoteReference"/>
        </w:rPr>
        <w:footnoteReference w:id="813"/>
      </w:r>
      <w:r w:rsidRPr="00BA4B76">
        <w:t xml:space="preserve">  </w:t>
      </w:r>
      <w:r>
        <w:t xml:space="preserve">Pacific Gas &amp; Electric states that an agreement </w:t>
      </w:r>
      <w:r w:rsidRPr="00184F63">
        <w:t xml:space="preserve">between the aggregator and the distribution </w:t>
      </w:r>
      <w:r w:rsidR="00B50C90">
        <w:t>utility</w:t>
      </w:r>
      <w:r w:rsidRPr="00184F63">
        <w:t xml:space="preserve"> </w:t>
      </w:r>
      <w:r>
        <w:t xml:space="preserve">should </w:t>
      </w:r>
      <w:r w:rsidRPr="00184F63">
        <w:t>include detailed requirements regarding operational coordination, mitigation of system impacts, cost allocation, and notification of changes to the aggregation.</w:t>
      </w:r>
      <w:r w:rsidRPr="00367C29">
        <w:rPr>
          <w:rStyle w:val="FootnoteReference"/>
        </w:rPr>
        <w:footnoteReference w:id="814"/>
      </w:r>
      <w:r w:rsidRPr="00184F63">
        <w:t xml:space="preserve">  </w:t>
      </w:r>
    </w:p>
    <w:p w:rsidR="00B373D3" w:rsidP="00125BB8" w:rsidRDefault="00B373D3" w14:paraId="35B70C4A" w14:textId="179E5D04">
      <w:pPr>
        <w:pStyle w:val="FERCparanumber"/>
      </w:pPr>
      <w:r w:rsidRPr="00716CDF">
        <w:t>Avangrid emphasizes that the market participation agreement should be explicit that the aggregator is a wholesale market participant required to comply with the provisions in the tariff, including operational requirements.</w:t>
      </w:r>
      <w:r w:rsidRPr="00367C29">
        <w:rPr>
          <w:rStyle w:val="FootnoteReference"/>
        </w:rPr>
        <w:footnoteReference w:id="815"/>
      </w:r>
      <w:r w:rsidRPr="00716CDF">
        <w:t xml:space="preserve"> </w:t>
      </w:r>
      <w:r>
        <w:t xml:space="preserve"> </w:t>
      </w:r>
      <w:r w:rsidRPr="00184F63">
        <w:t xml:space="preserve">MISO Transmission Owners and TAPS support requiring </w:t>
      </w:r>
      <w:r w:rsidR="00B958C2">
        <w:t>the</w:t>
      </w:r>
      <w:r w:rsidRPr="00184F63">
        <w:t xml:space="preserve"> </w:t>
      </w:r>
      <w:r>
        <w:t>distributed energy resource</w:t>
      </w:r>
      <w:r w:rsidRPr="00184F63">
        <w:t xml:space="preserve"> aggregator to attest </w:t>
      </w:r>
      <w:r>
        <w:t>to compliance</w:t>
      </w:r>
      <w:r w:rsidRPr="00184F63">
        <w:t xml:space="preserve"> with </w:t>
      </w:r>
      <w:r>
        <w:t xml:space="preserve">distribution utility </w:t>
      </w:r>
      <w:r w:rsidRPr="00184F63">
        <w:t>tariffs and operating</w:t>
      </w:r>
      <w:r w:rsidRPr="00A83F94">
        <w:t xml:space="preserve"> procedures</w:t>
      </w:r>
      <w:r>
        <w:t xml:space="preserve"> and with </w:t>
      </w:r>
      <w:r w:rsidRPr="00A83F94">
        <w:t>the rules and regulations of any other relevant regulatory authority.</w:t>
      </w:r>
      <w:r w:rsidRPr="00367C29">
        <w:rPr>
          <w:rStyle w:val="FootnoteReference"/>
        </w:rPr>
        <w:footnoteReference w:id="816"/>
      </w:r>
      <w:r w:rsidRPr="00A83F94">
        <w:t xml:space="preserve">  </w:t>
      </w:r>
      <w:r w:rsidRPr="00716CDF">
        <w:t xml:space="preserve">APPA/NRECA </w:t>
      </w:r>
      <w:r>
        <w:t xml:space="preserve">support requiring </w:t>
      </w:r>
      <w:r w:rsidRPr="00716CDF">
        <w:t xml:space="preserve">aggregators to demonstrate, rather than simply attest, that the </w:t>
      </w:r>
      <w:r w:rsidRPr="008502BF" w:rsidR="009818CF">
        <w:t>relevant electric retail regulatory authori</w:t>
      </w:r>
      <w:r w:rsidR="009818CF">
        <w:t>ty</w:t>
      </w:r>
      <w:r w:rsidRPr="00716CDF">
        <w:t xml:space="preserve"> has authorized wholesale market participation by the resources in the aggregation, and to include in the market participation agreement requirements for notice to distribution utilities of any changes in resources and for compliance by the aggregator and its resources with the tariffs and operating procedures of the relevant distribution utilities.</w:t>
      </w:r>
      <w:r w:rsidRPr="00367C29">
        <w:rPr>
          <w:rStyle w:val="FootnoteReference"/>
        </w:rPr>
        <w:footnoteReference w:id="817"/>
      </w:r>
      <w:r>
        <w:t xml:space="preserve">  </w:t>
      </w:r>
      <w:r w:rsidRPr="00716CDF">
        <w:t>MISO Transmission Owners make similar arguments</w:t>
      </w:r>
      <w:r w:rsidR="00973179">
        <w:t xml:space="preserve"> in their comments</w:t>
      </w:r>
      <w:r w:rsidRPr="00716CDF">
        <w:t>.</w:t>
      </w:r>
      <w:r w:rsidRPr="00367C29">
        <w:rPr>
          <w:rStyle w:val="FootnoteReference"/>
        </w:rPr>
        <w:footnoteReference w:id="818"/>
      </w:r>
      <w:r w:rsidRPr="00716CDF">
        <w:t xml:space="preserve">  </w:t>
      </w:r>
    </w:p>
    <w:p w:rsidRPr="00716CDF" w:rsidR="00B373D3" w:rsidP="00B373D3" w:rsidRDefault="00B373D3" w14:paraId="4A5F3CFD" w14:textId="5E8E5B1B">
      <w:pPr>
        <w:pStyle w:val="FERCparanumber"/>
      </w:pPr>
      <w:r w:rsidRPr="00716CDF">
        <w:t xml:space="preserve">On the other hand, Tesla/SolarCity </w:t>
      </w:r>
      <w:r>
        <w:t>contend that</w:t>
      </w:r>
      <w:r w:rsidR="00DF7B9A">
        <w:t>,</w:t>
      </w:r>
      <w:r>
        <w:t xml:space="preserve"> b</w:t>
      </w:r>
      <w:r w:rsidRPr="00716CDF">
        <w:t xml:space="preserve">ecause many individual distributed </w:t>
      </w:r>
      <w:r w:rsidRPr="0068486D">
        <w:t xml:space="preserve">energy resources may not be new </w:t>
      </w:r>
      <w:r w:rsidR="00E459D1">
        <w:t>n</w:t>
      </w:r>
      <w:r w:rsidRPr="0068486D">
        <w:t>o</w:t>
      </w:r>
      <w:r>
        <w:t xml:space="preserve">r installed by the aggregator, any </w:t>
      </w:r>
      <w:r w:rsidRPr="0068486D">
        <w:t xml:space="preserve">attestation requirement should </w:t>
      </w:r>
      <w:r>
        <w:t xml:space="preserve">only require aggregators to state </w:t>
      </w:r>
      <w:r w:rsidRPr="0068486D">
        <w:t>that</w:t>
      </w:r>
      <w:r w:rsidR="00912324">
        <w:t>,</w:t>
      </w:r>
      <w:r w:rsidRPr="0068486D">
        <w:t xml:space="preserve"> “to the best of their knowledge</w:t>
      </w:r>
      <w:r w:rsidR="00912324">
        <w:t>,</w:t>
      </w:r>
      <w:r w:rsidRPr="0068486D">
        <w:t xml:space="preserve">” the distributed energy resources in the aggregation are compliant with </w:t>
      </w:r>
      <w:r>
        <w:t xml:space="preserve">distribution company </w:t>
      </w:r>
      <w:r w:rsidRPr="0068486D">
        <w:t xml:space="preserve">tariffs and operating procedures </w:t>
      </w:r>
      <w:r>
        <w:t>an</w:t>
      </w:r>
      <w:r w:rsidRPr="0068486D">
        <w:t>d relevant regulatory authority rules and regulations.</w:t>
      </w:r>
      <w:r w:rsidRPr="00367C29">
        <w:rPr>
          <w:rStyle w:val="FootnoteReference"/>
        </w:rPr>
        <w:footnoteReference w:id="819"/>
      </w:r>
      <w:r w:rsidRPr="0068486D">
        <w:t xml:space="preserve">  </w:t>
      </w:r>
    </w:p>
    <w:p w:rsidRPr="00B373D3" w:rsidR="00B373D3" w:rsidP="00B373D3" w:rsidRDefault="00B373D3" w14:paraId="33E0DDB6" w14:textId="7F612927">
      <w:pPr>
        <w:pStyle w:val="FERCparanumber"/>
      </w:pPr>
      <w:r>
        <w:t xml:space="preserve">APPA/NRECA, Open Access Technology, </w:t>
      </w:r>
      <w:r w:rsidRPr="00716CDF">
        <w:t>MISO Transmission Owners</w:t>
      </w:r>
      <w:r>
        <w:t>,</w:t>
      </w:r>
      <w:r w:rsidRPr="00716CDF">
        <w:t xml:space="preserve"> </w:t>
      </w:r>
      <w:r>
        <w:t xml:space="preserve">and NARUC </w:t>
      </w:r>
      <w:r w:rsidRPr="00716CDF">
        <w:t xml:space="preserve">support the </w:t>
      </w:r>
      <w:r w:rsidR="0052094A">
        <w:t>NOPR</w:t>
      </w:r>
      <w:r w:rsidRPr="00716CDF" w:rsidR="0052094A">
        <w:t xml:space="preserve"> </w:t>
      </w:r>
      <w:r w:rsidRPr="00716CDF">
        <w:t xml:space="preserve">proposal that market participation agreements </w:t>
      </w:r>
      <w:r w:rsidR="003B6CDD">
        <w:t xml:space="preserve">should </w:t>
      </w:r>
      <w:r w:rsidRPr="00716CDF">
        <w:t xml:space="preserve">not restrict the business models for distributed energy resource aggregators, </w:t>
      </w:r>
      <w:r>
        <w:t xml:space="preserve">though the latter two </w:t>
      </w:r>
      <w:r w:rsidR="000C45F5">
        <w:t xml:space="preserve">commenters </w:t>
      </w:r>
      <w:r>
        <w:t xml:space="preserve">condition </w:t>
      </w:r>
      <w:r w:rsidR="000C45F5">
        <w:t>their</w:t>
      </w:r>
      <w:r>
        <w:t xml:space="preserve"> support on</w:t>
      </w:r>
      <w:r w:rsidRPr="00716CDF">
        <w:t xml:space="preserve"> th</w:t>
      </w:r>
      <w:r>
        <w:t>e distributed energy resource</w:t>
      </w:r>
      <w:r w:rsidRPr="00716CDF">
        <w:t xml:space="preserve"> aggregation ha</w:t>
      </w:r>
      <w:r>
        <w:t>ving</w:t>
      </w:r>
      <w:r w:rsidRPr="00716CDF">
        <w:t xml:space="preserve"> been permitted by the state regulatory body and</w:t>
      </w:r>
      <w:r>
        <w:t>,</w:t>
      </w:r>
      <w:r w:rsidRPr="00716CDF">
        <w:t xml:space="preserve"> if applicable, the distribution utility.</w:t>
      </w:r>
      <w:r w:rsidRPr="00367C29">
        <w:rPr>
          <w:rStyle w:val="FootnoteReference"/>
        </w:rPr>
        <w:footnoteReference w:id="820"/>
      </w:r>
      <w:r w:rsidRPr="00716CDF">
        <w:t xml:space="preserve">  </w:t>
      </w:r>
      <w:r>
        <w:t xml:space="preserve">NARUC supports </w:t>
      </w:r>
      <w:r w:rsidR="004459DA">
        <w:t xml:space="preserve">the </w:t>
      </w:r>
      <w:r>
        <w:t xml:space="preserve">NOPR language that </w:t>
      </w:r>
      <w:r w:rsidR="00366DA8">
        <w:t>allows</w:t>
      </w:r>
      <w:r w:rsidRPr="00366DA8" w:rsidR="00366DA8">
        <w:t xml:space="preserve"> </w:t>
      </w:r>
      <w:r w:rsidR="00CA3BF6">
        <w:t xml:space="preserve">a scenario in which </w:t>
      </w:r>
      <w:r w:rsidRPr="00366DA8" w:rsidR="00366DA8">
        <w:t xml:space="preserve">distribution utilities </w:t>
      </w:r>
      <w:r w:rsidR="00CA3BF6">
        <w:t>can</w:t>
      </w:r>
      <w:r w:rsidRPr="00366DA8" w:rsidR="00366DA8">
        <w:t xml:space="preserve"> act as aggregators </w:t>
      </w:r>
      <w:r w:rsidR="00366DA8">
        <w:t>so that the s</w:t>
      </w:r>
      <w:r w:rsidRPr="00366DA8" w:rsidR="00366DA8">
        <w:t xml:space="preserve">tates </w:t>
      </w:r>
      <w:r w:rsidR="00366DA8">
        <w:t>can</w:t>
      </w:r>
      <w:r w:rsidRPr="00366DA8" w:rsidR="00366DA8">
        <w:t xml:space="preserve"> provide oversight of the terms and conditions of their relationship with </w:t>
      </w:r>
      <w:r w:rsidR="00366DA8">
        <w:t>distributed energy resources and customers</w:t>
      </w:r>
      <w:r w:rsidRPr="00366DA8" w:rsidR="00366DA8">
        <w:t xml:space="preserve">, while allowing participation </w:t>
      </w:r>
      <w:r w:rsidR="00366DA8">
        <w:t xml:space="preserve">of the aggregator </w:t>
      </w:r>
      <w:r w:rsidRPr="00366DA8" w:rsidR="00366DA8">
        <w:t>in RTO/ISO</w:t>
      </w:r>
      <w:r w:rsidR="00366DA8">
        <w:t xml:space="preserve"> markets</w:t>
      </w:r>
      <w:r w:rsidRPr="007522F9">
        <w:t>.</w:t>
      </w:r>
      <w:r w:rsidRPr="00367C29">
        <w:rPr>
          <w:rStyle w:val="FootnoteReference"/>
        </w:rPr>
        <w:footnoteReference w:id="821"/>
      </w:r>
      <w:r w:rsidRPr="007522F9">
        <w:t xml:space="preserve">  </w:t>
      </w:r>
      <w:r>
        <w:t xml:space="preserve">On the </w:t>
      </w:r>
      <w:r w:rsidRPr="00E75960">
        <w:t xml:space="preserve">other hand, Xcel Energy Services </w:t>
      </w:r>
      <w:r w:rsidRPr="00E75960" w:rsidR="000E12D2">
        <w:t>asserts</w:t>
      </w:r>
      <w:r w:rsidRPr="00E75960" w:rsidR="00E36CA6">
        <w:t xml:space="preserve"> that </w:t>
      </w:r>
      <w:r w:rsidRPr="00E75960" w:rsidR="000E12D2">
        <w:t xml:space="preserve">the </w:t>
      </w:r>
      <w:r w:rsidRPr="00E75960" w:rsidR="00CD6829">
        <w:t>NOPR language</w:t>
      </w:r>
      <w:r w:rsidRPr="00E75960" w:rsidR="00E36CA6">
        <w:t xml:space="preserve"> </w:t>
      </w:r>
      <w:r w:rsidRPr="00E75960" w:rsidR="000E12D2">
        <w:t>may be too vague</w:t>
      </w:r>
      <w:r w:rsidRPr="00E75960" w:rsidR="0083394F">
        <w:t xml:space="preserve"> </w:t>
      </w:r>
      <w:r w:rsidRPr="00E75960">
        <w:t>to</w:t>
      </w:r>
      <w:r>
        <w:t xml:space="preserve"> protect</w:t>
      </w:r>
      <w:r w:rsidR="00CC706B">
        <w:t xml:space="preserve"> </w:t>
      </w:r>
      <w:r w:rsidR="00495E0C">
        <w:t xml:space="preserve">yet-to-be-designed aggregator </w:t>
      </w:r>
      <w:r>
        <w:t xml:space="preserve">business models and </w:t>
      </w:r>
      <w:r w:rsidR="00B17706">
        <w:t>also could inappropriately limit the ability of RTOs/ISOs to prevent business models that could</w:t>
      </w:r>
      <w:r w:rsidR="00A167DE">
        <w:t xml:space="preserve"> </w:t>
      </w:r>
      <w:r>
        <w:t>threaten grid reliability.</w:t>
      </w:r>
      <w:r w:rsidRPr="00367C29">
        <w:rPr>
          <w:rStyle w:val="FootnoteReference"/>
        </w:rPr>
        <w:footnoteReference w:id="822"/>
      </w:r>
      <w:r>
        <w:t xml:space="preserve">  </w:t>
      </w:r>
    </w:p>
    <w:p w:rsidR="00ED6F47" w:rsidP="00ED6F47" w:rsidRDefault="00ED6F47" w14:paraId="5C703889" w14:textId="16CB73E2">
      <w:pPr>
        <w:pStyle w:val="Heading3"/>
      </w:pPr>
      <w:bookmarkStart w:name="_bmk90" w:id="138"/>
      <w:r>
        <w:t>C</w:t>
      </w:r>
      <w:bookmarkEnd w:id="138"/>
      <w:r>
        <w:t>ommission Determination</w:t>
      </w:r>
    </w:p>
    <w:p w:rsidRPr="00F64C40" w:rsidR="00F64C40" w:rsidP="00F22D97" w:rsidRDefault="008552B0" w14:paraId="080A7DD0" w14:textId="24DBB0F6">
      <w:pPr>
        <w:pStyle w:val="FERCparanumber"/>
        <w:rPr>
          <w:szCs w:val="26"/>
        </w:rPr>
      </w:pPr>
      <w:r>
        <w:t>We</w:t>
      </w:r>
      <w:r w:rsidRPr="000C7941" w:rsidR="00F22D97">
        <w:t xml:space="preserve"> </w:t>
      </w:r>
      <w:r w:rsidR="00F22D97">
        <w:t xml:space="preserve">add </w:t>
      </w:r>
      <w:r w:rsidR="00202177">
        <w:t>§</w:t>
      </w:r>
      <w:r w:rsidR="00F22D97">
        <w:t xml:space="preserve"> 35.2</w:t>
      </w:r>
      <w:r w:rsidR="00CB3F54">
        <w:t>8</w:t>
      </w:r>
      <w:r w:rsidR="00F22D97">
        <w:t>(g)(1</w:t>
      </w:r>
      <w:r w:rsidR="00CD5DB1">
        <w:t>2</w:t>
      </w:r>
      <w:r w:rsidR="00F22D97">
        <w:t>)(ii)(h) to the Commission’s regulations and</w:t>
      </w:r>
      <w:r w:rsidRPr="000C7941" w:rsidR="00F22D97">
        <w:t xml:space="preserve"> adopt the NOPR proposal to require </w:t>
      </w:r>
      <w:r>
        <w:t xml:space="preserve">each RTO/ISO to </w:t>
      </w:r>
      <w:r w:rsidR="004C143A">
        <w:t>establish market rules that address m</w:t>
      </w:r>
      <w:r w:rsidRPr="002E7DF2" w:rsidR="004C143A">
        <w:t>arket participation agreements for distributed energy resource aggregators</w:t>
      </w:r>
      <w:r w:rsidR="004C143A">
        <w:t xml:space="preserve">.  Specifically, we require each RTO/ISO to </w:t>
      </w:r>
      <w:r>
        <w:t xml:space="preserve">revise its tariff to </w:t>
      </w:r>
      <w:r w:rsidR="004C143A">
        <w:t xml:space="preserve">include </w:t>
      </w:r>
      <w:r w:rsidRPr="000C7941" w:rsidR="00F22D97">
        <w:rPr>
          <w:szCs w:val="26"/>
        </w:rPr>
        <w:t xml:space="preserve">a </w:t>
      </w:r>
      <w:r w:rsidR="006C4E7E">
        <w:rPr>
          <w:szCs w:val="26"/>
        </w:rPr>
        <w:t xml:space="preserve">standard </w:t>
      </w:r>
      <w:r>
        <w:rPr>
          <w:szCs w:val="26"/>
        </w:rPr>
        <w:t>market participation</w:t>
      </w:r>
      <w:r w:rsidRPr="000C7941" w:rsidR="00F22D97">
        <w:rPr>
          <w:szCs w:val="26"/>
        </w:rPr>
        <w:t xml:space="preserve"> agreement </w:t>
      </w:r>
      <w:r w:rsidR="002622C5">
        <w:rPr>
          <w:szCs w:val="26"/>
        </w:rPr>
        <w:t>that</w:t>
      </w:r>
      <w:r w:rsidRPr="000C7941" w:rsidDel="00BC1FAC" w:rsidR="002622C5">
        <w:rPr>
          <w:szCs w:val="26"/>
        </w:rPr>
        <w:t xml:space="preserve"> </w:t>
      </w:r>
      <w:r w:rsidRPr="000C7941" w:rsidR="00F22D97">
        <w:rPr>
          <w:szCs w:val="26"/>
        </w:rPr>
        <w:t xml:space="preserve">defines </w:t>
      </w:r>
      <w:r w:rsidR="00CD27AD">
        <w:rPr>
          <w:szCs w:val="26"/>
        </w:rPr>
        <w:t xml:space="preserve">the </w:t>
      </w:r>
      <w:r w:rsidR="004C143A">
        <w:rPr>
          <w:szCs w:val="26"/>
        </w:rPr>
        <w:t xml:space="preserve">distributed energy resource </w:t>
      </w:r>
      <w:r w:rsidR="00CD27AD">
        <w:rPr>
          <w:szCs w:val="26"/>
        </w:rPr>
        <w:t>aggregator</w:t>
      </w:r>
      <w:r w:rsidR="00350EE4">
        <w:rPr>
          <w:szCs w:val="26"/>
        </w:rPr>
        <w:t>’</w:t>
      </w:r>
      <w:r w:rsidR="00CD27AD">
        <w:rPr>
          <w:szCs w:val="26"/>
        </w:rPr>
        <w:t>s</w:t>
      </w:r>
      <w:r w:rsidRPr="000C7941" w:rsidR="00F22D97">
        <w:rPr>
          <w:szCs w:val="26"/>
        </w:rPr>
        <w:t xml:space="preserve"> role and responsibilities and its relationship with the RTO/ISO</w:t>
      </w:r>
      <w:r w:rsidR="004C143A">
        <w:rPr>
          <w:szCs w:val="26"/>
        </w:rPr>
        <w:t xml:space="preserve"> and that an aggregator is required to execute</w:t>
      </w:r>
      <w:r w:rsidRPr="000C7941" w:rsidR="00F22D97">
        <w:rPr>
          <w:szCs w:val="26"/>
        </w:rPr>
        <w:t xml:space="preserve"> before it can participate in the </w:t>
      </w:r>
      <w:r>
        <w:rPr>
          <w:szCs w:val="26"/>
        </w:rPr>
        <w:t>RTO/ISO</w:t>
      </w:r>
      <w:r w:rsidRPr="000C7941" w:rsidR="00F22D97">
        <w:rPr>
          <w:szCs w:val="26"/>
        </w:rPr>
        <w:t xml:space="preserve"> markets.  </w:t>
      </w:r>
      <w:r>
        <w:rPr>
          <w:szCs w:val="26"/>
        </w:rPr>
        <w:t>We</w:t>
      </w:r>
      <w:r w:rsidRPr="000C7941" w:rsidR="00F22D97">
        <w:rPr>
          <w:szCs w:val="26"/>
        </w:rPr>
        <w:t xml:space="preserve"> </w:t>
      </w:r>
      <w:r w:rsidR="004C143A">
        <w:rPr>
          <w:szCs w:val="26"/>
        </w:rPr>
        <w:t xml:space="preserve">also </w:t>
      </w:r>
      <w:r w:rsidRPr="000C7941" w:rsidR="00F22D97">
        <w:rPr>
          <w:szCs w:val="26"/>
        </w:rPr>
        <w:t xml:space="preserve">adopt the </w:t>
      </w:r>
      <w:r>
        <w:rPr>
          <w:szCs w:val="26"/>
        </w:rPr>
        <w:t xml:space="preserve">NOPR </w:t>
      </w:r>
      <w:r w:rsidR="00F22D97">
        <w:rPr>
          <w:szCs w:val="26"/>
        </w:rPr>
        <w:t>proposal</w:t>
      </w:r>
      <w:r w:rsidRPr="000C7941" w:rsidR="00F22D97">
        <w:rPr>
          <w:szCs w:val="26"/>
        </w:rPr>
        <w:t xml:space="preserve"> that this</w:t>
      </w:r>
      <w:r>
        <w:rPr>
          <w:szCs w:val="26"/>
        </w:rPr>
        <w:t xml:space="preserve"> market participation</w:t>
      </w:r>
      <w:r w:rsidRPr="000C7941" w:rsidR="00F22D97">
        <w:rPr>
          <w:szCs w:val="26"/>
        </w:rPr>
        <w:t xml:space="preserve"> agreement </w:t>
      </w:r>
      <w:r w:rsidR="00023F48">
        <w:rPr>
          <w:szCs w:val="26"/>
        </w:rPr>
        <w:t>must</w:t>
      </w:r>
      <w:r w:rsidR="00B958C2">
        <w:rPr>
          <w:szCs w:val="26"/>
        </w:rPr>
        <w:t xml:space="preserve"> </w:t>
      </w:r>
      <w:r w:rsidRPr="000C7941" w:rsidR="00F22D97">
        <w:rPr>
          <w:szCs w:val="26"/>
        </w:rPr>
        <w:t xml:space="preserve">include an attestation that the </w:t>
      </w:r>
      <w:r w:rsidR="00F22D97">
        <w:rPr>
          <w:szCs w:val="26"/>
        </w:rPr>
        <w:t>distributed energy resource</w:t>
      </w:r>
      <w:r w:rsidRPr="000C7941" w:rsidR="00F22D97">
        <w:rPr>
          <w:szCs w:val="26"/>
        </w:rPr>
        <w:t xml:space="preserve"> aggregator’s aggregation is compliant with the tariffs and operating procedures of the distribution utilities and the rules and regulations of any relevant</w:t>
      </w:r>
      <w:r w:rsidRPr="000C7941" w:rsidDel="001121E0" w:rsidR="00F22D97">
        <w:rPr>
          <w:szCs w:val="26"/>
        </w:rPr>
        <w:t xml:space="preserve"> </w:t>
      </w:r>
      <w:r w:rsidRPr="000C7941" w:rsidR="00F22D97">
        <w:rPr>
          <w:szCs w:val="26"/>
        </w:rPr>
        <w:t>electric retail regulatory authority.  As</w:t>
      </w:r>
      <w:r w:rsidR="002E60D3">
        <w:rPr>
          <w:szCs w:val="26"/>
        </w:rPr>
        <w:t xml:space="preserve"> the Commission</w:t>
      </w:r>
      <w:r w:rsidRPr="000C7941" w:rsidR="00F22D97">
        <w:rPr>
          <w:szCs w:val="26"/>
        </w:rPr>
        <w:t xml:space="preserve"> explained in the NOPR, these requirements are necessary to ensure that a </w:t>
      </w:r>
      <w:r w:rsidR="00F22D97">
        <w:rPr>
          <w:szCs w:val="26"/>
        </w:rPr>
        <w:t>distributed energy resource</w:t>
      </w:r>
      <w:r w:rsidRPr="000C7941" w:rsidR="00F22D97">
        <w:rPr>
          <w:szCs w:val="26"/>
        </w:rPr>
        <w:t xml:space="preserve"> aggregator complies with all relevant provisions of the RTO/ISO tariffs</w:t>
      </w:r>
      <w:r w:rsidR="00B958C2">
        <w:rPr>
          <w:szCs w:val="26"/>
        </w:rPr>
        <w:t>,</w:t>
      </w:r>
      <w:r w:rsidRPr="000C7941" w:rsidR="00F22D97">
        <w:rPr>
          <w:szCs w:val="26"/>
        </w:rPr>
        <w:t xml:space="preserve"> the tariffs and operating procedures of the distribution utilities</w:t>
      </w:r>
      <w:r w:rsidR="00B958C2">
        <w:rPr>
          <w:szCs w:val="26"/>
        </w:rPr>
        <w:t>,</w:t>
      </w:r>
      <w:r w:rsidRPr="000C7941" w:rsidR="00F22D97">
        <w:rPr>
          <w:szCs w:val="26"/>
        </w:rPr>
        <w:t xml:space="preserve"> and the rules and regulations of any other relevant </w:t>
      </w:r>
      <w:r w:rsidR="00587DAD">
        <w:rPr>
          <w:szCs w:val="26"/>
        </w:rPr>
        <w:t xml:space="preserve">electric retail </w:t>
      </w:r>
      <w:r w:rsidRPr="000C7941" w:rsidR="00F22D97">
        <w:rPr>
          <w:szCs w:val="26"/>
        </w:rPr>
        <w:t>regulatory authority.</w:t>
      </w:r>
      <w:r w:rsidRPr="00367C29" w:rsidR="00F22D97">
        <w:rPr>
          <w:rStyle w:val="FootnoteReference"/>
        </w:rPr>
        <w:footnoteReference w:id="823"/>
      </w:r>
      <w:r w:rsidRPr="000C7941" w:rsidR="00F22D97">
        <w:rPr>
          <w:szCs w:val="26"/>
        </w:rPr>
        <w:t xml:space="preserve">  </w:t>
      </w:r>
      <w:r w:rsidR="004B59F2">
        <w:rPr>
          <w:szCs w:val="26"/>
        </w:rPr>
        <w:t>These requirements are</w:t>
      </w:r>
      <w:r w:rsidRPr="000C7941" w:rsidR="00F22D97">
        <w:rPr>
          <w:szCs w:val="26"/>
        </w:rPr>
        <w:t xml:space="preserve"> also supported by a general consensus among commenters that market participation agreements are necessary and, as expressed by some commenters, that the use of market participation agreements could help address state and local regulatory concerns.</w:t>
      </w:r>
      <w:r w:rsidRPr="007D2FCB" w:rsidR="007D2FCB">
        <w:t xml:space="preserve"> </w:t>
      </w:r>
    </w:p>
    <w:p w:rsidRPr="000C7941" w:rsidR="00F22D97" w:rsidP="00F22D97" w:rsidRDefault="007D2FCB" w14:paraId="26D312A7" w14:textId="3FB80DE9">
      <w:pPr>
        <w:pStyle w:val="FERCparanumber"/>
        <w:rPr>
          <w:szCs w:val="26"/>
        </w:rPr>
      </w:pPr>
      <w:r>
        <w:t xml:space="preserve">Also, as proposed in the NOPR, we </w:t>
      </w:r>
      <w:r w:rsidR="00545D5F">
        <w:rPr>
          <w:szCs w:val="26"/>
        </w:rPr>
        <w:t>require</w:t>
      </w:r>
      <w:r w:rsidRPr="007D2FCB">
        <w:rPr>
          <w:szCs w:val="26"/>
        </w:rPr>
        <w:t xml:space="preserve"> that the market participation agreements that the RTOs/ISOs </w:t>
      </w:r>
      <w:r w:rsidR="00AF21A3">
        <w:rPr>
          <w:szCs w:val="26"/>
        </w:rPr>
        <w:t>include</w:t>
      </w:r>
      <w:r w:rsidRPr="007D2FCB">
        <w:rPr>
          <w:szCs w:val="26"/>
        </w:rPr>
        <w:t xml:space="preserve"> in their tariffs not limit the business models under which distributed energy resource aggregators can operate</w:t>
      </w:r>
      <w:r w:rsidR="00F64C40">
        <w:rPr>
          <w:szCs w:val="26"/>
        </w:rPr>
        <w:t xml:space="preserve">.  Allowing </w:t>
      </w:r>
      <w:r w:rsidR="00B958C2">
        <w:rPr>
          <w:szCs w:val="26"/>
        </w:rPr>
        <w:t xml:space="preserve">distributed energy resource aggregators with </w:t>
      </w:r>
      <w:r w:rsidR="00F64C40">
        <w:rPr>
          <w:szCs w:val="26"/>
        </w:rPr>
        <w:t xml:space="preserve">varying business models </w:t>
      </w:r>
      <w:r w:rsidR="00E74F16">
        <w:rPr>
          <w:szCs w:val="26"/>
        </w:rPr>
        <w:t xml:space="preserve">to be included in such agreements </w:t>
      </w:r>
      <w:r w:rsidRPr="00F64C40" w:rsidR="00F64C40">
        <w:rPr>
          <w:szCs w:val="26"/>
        </w:rPr>
        <w:t>should increase the ability of the distributed energy resource aggregators, and resources within such aggregations, to participate in the RTO/ISO markets</w:t>
      </w:r>
      <w:r w:rsidR="00DF7B9A">
        <w:rPr>
          <w:szCs w:val="26"/>
        </w:rPr>
        <w:t>.</w:t>
      </w:r>
    </w:p>
    <w:p w:rsidRPr="000C7941" w:rsidR="00F22D97" w:rsidP="00F22D97" w:rsidRDefault="00B958C2" w14:paraId="0A7F58C1" w14:textId="3E131791">
      <w:pPr>
        <w:pStyle w:val="FERCparanumber"/>
        <w:rPr>
          <w:szCs w:val="26"/>
        </w:rPr>
      </w:pPr>
      <w:r>
        <w:t>W</w:t>
      </w:r>
      <w:r w:rsidR="00824AEF">
        <w:t>ith the exception of</w:t>
      </w:r>
      <w:r w:rsidR="007D2FCB">
        <w:t xml:space="preserve"> the attestation requirement and prohibition o</w:t>
      </w:r>
      <w:r>
        <w:t>f</w:t>
      </w:r>
      <w:r w:rsidR="007D2FCB">
        <w:t xml:space="preserve"> business model limitations described above</w:t>
      </w:r>
      <w:r w:rsidRPr="000C7941" w:rsidR="00F22D97">
        <w:t xml:space="preserve">, </w:t>
      </w:r>
      <w:r w:rsidR="00EE50A7">
        <w:t>we</w:t>
      </w:r>
      <w:r w:rsidRPr="000C7941" w:rsidR="00F22D97">
        <w:t xml:space="preserve"> </w:t>
      </w:r>
      <w:r w:rsidR="00AB2435">
        <w:t>will not specify</w:t>
      </w:r>
      <w:r w:rsidRPr="000C7941" w:rsidR="00F22D97">
        <w:t xml:space="preserve"> the </w:t>
      </w:r>
      <w:r w:rsidR="00DF7B9A">
        <w:t>exact</w:t>
      </w:r>
      <w:r w:rsidRPr="000C7941" w:rsidR="00DF7B9A">
        <w:t xml:space="preserve"> </w:t>
      </w:r>
      <w:r w:rsidRPr="000C7941" w:rsidR="00F22D97">
        <w:t xml:space="preserve">terms and conditions of the </w:t>
      </w:r>
      <w:r w:rsidR="00EE50A7">
        <w:t xml:space="preserve">market participation </w:t>
      </w:r>
      <w:r w:rsidRPr="000C7941" w:rsidR="00F22D97">
        <w:t xml:space="preserve">agreements.  </w:t>
      </w:r>
      <w:r w:rsidR="00E74F16">
        <w:t>This</w:t>
      </w:r>
      <w:r w:rsidRPr="000C7941" w:rsidR="00F22D97">
        <w:t xml:space="preserve"> approach will give the RTOs/ISOs</w:t>
      </w:r>
      <w:r w:rsidR="008431AB">
        <w:t xml:space="preserve"> and stakeholders</w:t>
      </w:r>
      <w:r w:rsidRPr="000C7941" w:rsidR="00F22D97">
        <w:t xml:space="preserve"> flexibility to develop appropriate agreements, </w:t>
      </w:r>
      <w:r w:rsidR="00DF7B9A">
        <w:t xml:space="preserve">and </w:t>
      </w:r>
      <w:r w:rsidR="00276C3F">
        <w:t>increase the ability of</w:t>
      </w:r>
      <w:r w:rsidRPr="000C7941" w:rsidR="00F22D97">
        <w:t xml:space="preserve"> the </w:t>
      </w:r>
      <w:r w:rsidR="00F22D97">
        <w:t>distributed energy resource</w:t>
      </w:r>
      <w:r w:rsidR="00276C3F">
        <w:t xml:space="preserve"> aggregators, and </w:t>
      </w:r>
      <w:r w:rsidR="00F22D97">
        <w:t>resource</w:t>
      </w:r>
      <w:r w:rsidRPr="000C7941" w:rsidR="00F22D97">
        <w:t xml:space="preserve">s </w:t>
      </w:r>
      <w:r w:rsidR="00276C3F">
        <w:t xml:space="preserve">within such aggregations, </w:t>
      </w:r>
      <w:r w:rsidRPr="000C7941" w:rsidR="00F22D97">
        <w:t xml:space="preserve">to participate in </w:t>
      </w:r>
      <w:r w:rsidR="009B5F4A">
        <w:t>RTO/ISO</w:t>
      </w:r>
      <w:r w:rsidRPr="000C7941" w:rsidR="00F22D97">
        <w:t xml:space="preserve"> markets</w:t>
      </w:r>
      <w:r w:rsidR="008D718B">
        <w:t xml:space="preserve"> by better tailoring agreements to the operating conditions and needs of those markets</w:t>
      </w:r>
      <w:r w:rsidR="00E74F16">
        <w:t xml:space="preserve">, and thereby </w:t>
      </w:r>
      <w:r w:rsidRPr="000C7941" w:rsidR="00E74F16">
        <w:t xml:space="preserve">help </w:t>
      </w:r>
      <w:r w:rsidR="00824AEF">
        <w:t>to</w:t>
      </w:r>
      <w:r w:rsidRPr="000C7941" w:rsidR="00E74F16">
        <w:t xml:space="preserve"> enhance competition in the markets</w:t>
      </w:r>
      <w:r w:rsidR="00E74F16">
        <w:t>.</w:t>
      </w:r>
      <w:r w:rsidRPr="000C7941" w:rsidR="00F22D97">
        <w:t xml:space="preserve">  Commenters, including the RTOs/ISOs, express a variety of views about the </w:t>
      </w:r>
      <w:r w:rsidR="003A1713">
        <w:t>specific</w:t>
      </w:r>
      <w:r w:rsidR="008431AB">
        <w:t xml:space="preserve"> requirements that should be included in</w:t>
      </w:r>
      <w:r w:rsidRPr="000C7941" w:rsidR="00F22D97">
        <w:t xml:space="preserve"> such agreements and the potential need for additional agreements, and most commenters request flexibility in </w:t>
      </w:r>
      <w:r w:rsidRPr="00E75960" w:rsidR="00F22D97">
        <w:t xml:space="preserve">ability to design these agreements.  </w:t>
      </w:r>
      <w:r w:rsidRPr="00E75960" w:rsidR="0070731A">
        <w:t>We</w:t>
      </w:r>
      <w:r w:rsidRPr="00E75960" w:rsidR="00F22D97">
        <w:t xml:space="preserve"> believe that </w:t>
      </w:r>
      <w:r w:rsidRPr="00E75960" w:rsidR="008431AB">
        <w:t xml:space="preserve">this flexibility will </w:t>
      </w:r>
      <w:r w:rsidRPr="00E75960" w:rsidR="00F22462">
        <w:t>provide</w:t>
      </w:r>
      <w:r w:rsidRPr="00E75960" w:rsidR="008431AB">
        <w:t xml:space="preserve"> RTOs/ISOs </w:t>
      </w:r>
      <w:r w:rsidRPr="00E75960" w:rsidR="00CD6829">
        <w:t>working with their</w:t>
      </w:r>
      <w:r w:rsidRPr="00E75960" w:rsidR="008431AB">
        <w:t xml:space="preserve"> stakeholders </w:t>
      </w:r>
      <w:r w:rsidRPr="00E75960" w:rsidR="00CD6829">
        <w:t xml:space="preserve">the ability </w:t>
      </w:r>
      <w:r w:rsidRPr="00E75960" w:rsidR="008431AB">
        <w:t>to design the appropriate</w:t>
      </w:r>
      <w:r w:rsidR="008431AB">
        <w:t xml:space="preserve"> agreements for their regions</w:t>
      </w:r>
      <w:r w:rsidR="00D1452E">
        <w:t xml:space="preserve"> </w:t>
      </w:r>
      <w:r w:rsidRPr="00D1452E" w:rsidR="00D1452E">
        <w:t>and the reasonableness of such proposals will be evaluated</w:t>
      </w:r>
      <w:r w:rsidR="00B50D7A">
        <w:t xml:space="preserve"> </w:t>
      </w:r>
      <w:r w:rsidR="000541C0">
        <w:t>in each RTO/ISO-specific</w:t>
      </w:r>
      <w:r w:rsidR="00B50D7A">
        <w:t xml:space="preserve"> compliance</w:t>
      </w:r>
      <w:r w:rsidR="000541C0">
        <w:t xml:space="preserve"> proceeding</w:t>
      </w:r>
      <w:r w:rsidRPr="000C7941" w:rsidR="00F22D97">
        <w:t xml:space="preserve">.  </w:t>
      </w:r>
    </w:p>
    <w:p w:rsidRPr="000C7941" w:rsidR="00F22D97" w:rsidP="00F22D97" w:rsidRDefault="00F22D97" w14:paraId="527C8D8C" w14:textId="37A98712">
      <w:pPr>
        <w:pStyle w:val="FERCparanumber"/>
        <w:rPr>
          <w:szCs w:val="26"/>
        </w:rPr>
      </w:pPr>
      <w:r w:rsidRPr="000C7941">
        <w:t xml:space="preserve">We also </w:t>
      </w:r>
      <w:r>
        <w:t>are not persuaded by</w:t>
      </w:r>
      <w:r w:rsidRPr="000C7941">
        <w:t xml:space="preserve"> the suggestion of some commenters that we require additional agreements </w:t>
      </w:r>
      <w:r w:rsidR="0031025D">
        <w:t>to</w:t>
      </w:r>
      <w:r w:rsidRPr="000C7941">
        <w:t xml:space="preserve"> help facilitate </w:t>
      </w:r>
      <w:r w:rsidR="0097675B">
        <w:t xml:space="preserve">participation by </w:t>
      </w:r>
      <w:r>
        <w:t>distributed energy resource</w:t>
      </w:r>
      <w:r w:rsidRPr="000C7941">
        <w:t xml:space="preserve"> aggregation</w:t>
      </w:r>
      <w:r w:rsidR="0097675B">
        <w:t>s</w:t>
      </w:r>
      <w:r w:rsidRPr="000C7941">
        <w:t xml:space="preserve"> in </w:t>
      </w:r>
      <w:r w:rsidR="0031025D">
        <w:t>RTO/ISO</w:t>
      </w:r>
      <w:r w:rsidRPr="000C7941" w:rsidR="0031025D">
        <w:t xml:space="preserve"> </w:t>
      </w:r>
      <w:r w:rsidRPr="000C7941">
        <w:t>markets</w:t>
      </w:r>
      <w:r w:rsidR="0031025D">
        <w:t>,</w:t>
      </w:r>
      <w:r w:rsidRPr="000C7941">
        <w:t xml:space="preserve"> or </w:t>
      </w:r>
      <w:r w:rsidR="0031025D">
        <w:t xml:space="preserve">that we </w:t>
      </w:r>
      <w:r w:rsidR="000765A9">
        <w:t>require</w:t>
      </w:r>
      <w:r w:rsidR="0031025D">
        <w:t xml:space="preserve"> </w:t>
      </w:r>
      <w:r w:rsidRPr="000C7941">
        <w:t xml:space="preserve">additional </w:t>
      </w:r>
      <w:r w:rsidR="0097675B">
        <w:t>entities</w:t>
      </w:r>
      <w:r w:rsidRPr="000C7941">
        <w:t>, such as distribution utilities, distribut</w:t>
      </w:r>
      <w:r w:rsidR="00311261">
        <w:t>ion</w:t>
      </w:r>
      <w:r w:rsidRPr="000C7941">
        <w:t xml:space="preserve"> system operators, or relevant regulatory authorities, </w:t>
      </w:r>
      <w:r w:rsidR="000765A9">
        <w:t>to be</w:t>
      </w:r>
      <w:r w:rsidR="0097675B">
        <w:t xml:space="preserve"> parties </w:t>
      </w:r>
      <w:r w:rsidRPr="000C7941">
        <w:t xml:space="preserve">to the market participation agreements that we are requiring. </w:t>
      </w:r>
      <w:r w:rsidR="0031025D">
        <w:t xml:space="preserve"> </w:t>
      </w:r>
      <w:r w:rsidRPr="000C7941">
        <w:t xml:space="preserve">We believe that the attestation requirement </w:t>
      </w:r>
      <w:r w:rsidR="0031025D">
        <w:t xml:space="preserve">that </w:t>
      </w:r>
      <w:r w:rsidRPr="000C7941">
        <w:t xml:space="preserve">we adopt </w:t>
      </w:r>
      <w:r w:rsidR="0031025D">
        <w:t xml:space="preserve">in this </w:t>
      </w:r>
      <w:r w:rsidRPr="008232DA" w:rsidR="008232DA">
        <w:t>final rule</w:t>
      </w:r>
      <w:r w:rsidRPr="000C7941">
        <w:t xml:space="preserve"> will help ensure </w:t>
      </w:r>
      <w:r>
        <w:t>distributed energy resource</w:t>
      </w:r>
      <w:r w:rsidRPr="000C7941">
        <w:t xml:space="preserve"> aggregator compliance with the tariffs and operating procedures of distribution utilities and the rules and regulations of other relevant regulatory authorities. </w:t>
      </w:r>
      <w:r w:rsidR="0031025D">
        <w:t xml:space="preserve"> </w:t>
      </w:r>
      <w:r w:rsidRPr="000C7941">
        <w:t>RTOs</w:t>
      </w:r>
      <w:r w:rsidR="003E16E2">
        <w:t>/ISOs</w:t>
      </w:r>
      <w:r w:rsidRPr="000C7941">
        <w:t xml:space="preserve"> and their stakeholders are best equipped to determine the nature</w:t>
      </w:r>
      <w:r w:rsidR="006437E9">
        <w:t xml:space="preserve"> and</w:t>
      </w:r>
      <w:r w:rsidRPr="000C7941">
        <w:t xml:space="preserve"> composition</w:t>
      </w:r>
      <w:r w:rsidR="006437E9">
        <w:t xml:space="preserve"> of</w:t>
      </w:r>
      <w:r w:rsidRPr="000C7941">
        <w:t>, and counterparties to</w:t>
      </w:r>
      <w:r w:rsidR="006437E9">
        <w:t>,</w:t>
      </w:r>
      <w:r w:rsidRPr="000C7941">
        <w:t xml:space="preserve"> additional agreements.  </w:t>
      </w:r>
      <w:r w:rsidR="00126679">
        <w:t xml:space="preserve">We note that </w:t>
      </w:r>
      <w:r w:rsidRPr="000C7941">
        <w:t>RTOs</w:t>
      </w:r>
      <w:r w:rsidR="00037314">
        <w:t>/ISOs</w:t>
      </w:r>
      <w:r w:rsidRPr="000C7941">
        <w:t xml:space="preserve"> </w:t>
      </w:r>
      <w:r w:rsidR="00B57138">
        <w:t xml:space="preserve">and stakeholders </w:t>
      </w:r>
      <w:r w:rsidRPr="000C7941">
        <w:t xml:space="preserve">may </w:t>
      </w:r>
      <w:r w:rsidR="00B57138">
        <w:t xml:space="preserve">choose </w:t>
      </w:r>
      <w:r w:rsidRPr="000C7941">
        <w:t>to include additional parties or incorporate related agreements</w:t>
      </w:r>
      <w:r w:rsidR="00B57138">
        <w:t xml:space="preserve"> in the proposed market participation agreements</w:t>
      </w:r>
      <w:r w:rsidRPr="000C7941">
        <w:t xml:space="preserve">. </w:t>
      </w:r>
      <w:r w:rsidR="006437E9">
        <w:t xml:space="preserve"> </w:t>
      </w:r>
      <w:r w:rsidR="008F58FB">
        <w:t>Moreover</w:t>
      </w:r>
      <w:r w:rsidR="006437E9">
        <w:t>, as discussed above</w:t>
      </w:r>
      <w:r w:rsidR="0097675B">
        <w:t xml:space="preserve"> </w:t>
      </w:r>
      <w:r w:rsidRPr="005400EA" w:rsidR="0097675B">
        <w:t xml:space="preserve">in </w:t>
      </w:r>
      <w:r w:rsidRPr="005400EA" w:rsidR="00202177">
        <w:t>S</w:t>
      </w:r>
      <w:r w:rsidRPr="005400EA" w:rsidR="0097675B">
        <w:t>ection</w:t>
      </w:r>
      <w:r w:rsidRPr="005400EA" w:rsidR="001543D0">
        <w:t>s</w:t>
      </w:r>
      <w:r w:rsidRPr="005400EA" w:rsidR="0097675B">
        <w:t xml:space="preserve"> </w:t>
      </w:r>
      <w:r w:rsidRPr="005400EA" w:rsidR="00587DAD">
        <w:t>IV.</w:t>
      </w:r>
      <w:r w:rsidRPr="005400EA" w:rsidR="001543D0">
        <w:t>H.2 and IV.I</w:t>
      </w:r>
      <w:r w:rsidR="006437E9">
        <w:t xml:space="preserve">, </w:t>
      </w:r>
      <w:r w:rsidR="00FD744F">
        <w:t xml:space="preserve">our directive to </w:t>
      </w:r>
      <w:r w:rsidR="006437E9">
        <w:t>RTO</w:t>
      </w:r>
      <w:r w:rsidR="00FD744F">
        <w:t>s</w:t>
      </w:r>
      <w:r w:rsidR="006437E9">
        <w:t>/ISO</w:t>
      </w:r>
      <w:r w:rsidR="00FD744F">
        <w:t>s</w:t>
      </w:r>
      <w:r w:rsidR="006437E9">
        <w:t xml:space="preserve"> to establish market rules on coordination will address coordination</w:t>
      </w:r>
      <w:r w:rsidRPr="006437E9" w:rsidR="006437E9">
        <w:t xml:space="preserve"> </w:t>
      </w:r>
      <w:r w:rsidR="006437E9">
        <w:t xml:space="preserve">among </w:t>
      </w:r>
      <w:r w:rsidR="00126679">
        <w:t xml:space="preserve">any </w:t>
      </w:r>
      <w:r w:rsidR="006437E9">
        <w:t>parties not included as parties to the market participation agreements (i.e., the distribution utility and the relevant state and local regulators)</w:t>
      </w:r>
      <w:r w:rsidR="00B57138">
        <w:t xml:space="preserve">, including </w:t>
      </w:r>
      <w:r w:rsidR="001543D0">
        <w:t xml:space="preserve">the ability of </w:t>
      </w:r>
      <w:r w:rsidR="00B57138">
        <w:t xml:space="preserve">distribution utilities </w:t>
      </w:r>
      <w:r w:rsidR="001543D0">
        <w:t>to review</w:t>
      </w:r>
      <w:r w:rsidR="00B57138">
        <w:t xml:space="preserve"> modifications</w:t>
      </w:r>
      <w:r w:rsidR="008F39A7">
        <w:t>.</w:t>
      </w:r>
      <w:r w:rsidR="001D2548">
        <w:rPr>
          <w:rStyle w:val="FootnoteReference"/>
        </w:rPr>
        <w:footnoteReference w:id="824"/>
      </w:r>
      <w:r w:rsidR="006437E9">
        <w:t xml:space="preserve"> </w:t>
      </w:r>
    </w:p>
    <w:p w:rsidRPr="00E75960" w:rsidR="00ED6F47" w:rsidP="00F22D97" w:rsidRDefault="00F22D97" w14:paraId="644BA5F5" w14:textId="3F005D9F">
      <w:pPr>
        <w:pStyle w:val="FERCparanumber"/>
        <w:rPr>
          <w:szCs w:val="26"/>
        </w:rPr>
      </w:pPr>
      <w:r w:rsidRPr="000C7941">
        <w:t xml:space="preserve">In response to Xcel Energy Services’ assertion that the </w:t>
      </w:r>
      <w:r w:rsidR="00311261">
        <w:t xml:space="preserve">NOPR proposal to </w:t>
      </w:r>
      <w:r w:rsidR="00FD744F">
        <w:t xml:space="preserve">prohibit RTOs/ISOs from limiting the </w:t>
      </w:r>
      <w:r w:rsidRPr="007D2FCB" w:rsidR="00FD744F">
        <w:rPr>
          <w:szCs w:val="26"/>
        </w:rPr>
        <w:t>business models under which distributed energy resource aggregators can operate</w:t>
      </w:r>
      <w:r w:rsidR="00FD744F">
        <w:t xml:space="preserve"> </w:t>
      </w:r>
      <w:r w:rsidR="009C4ED7">
        <w:t>does not</w:t>
      </w:r>
      <w:r w:rsidR="00DD3623">
        <w:t xml:space="preserve"> </w:t>
      </w:r>
      <w:r w:rsidRPr="000C7941">
        <w:t xml:space="preserve">protect </w:t>
      </w:r>
      <w:r w:rsidR="00F108DD">
        <w:t>future</w:t>
      </w:r>
      <w:r w:rsidR="009C4ED7">
        <w:t xml:space="preserve"> </w:t>
      </w:r>
      <w:r w:rsidRPr="000C7941">
        <w:t xml:space="preserve">business models and </w:t>
      </w:r>
      <w:r w:rsidR="00587DAD">
        <w:t xml:space="preserve">may </w:t>
      </w:r>
      <w:r w:rsidR="00042B49">
        <w:t>allow other</w:t>
      </w:r>
      <w:r w:rsidRPr="000C7941">
        <w:t xml:space="preserve"> business models </w:t>
      </w:r>
      <w:r w:rsidR="00042B49">
        <w:t xml:space="preserve">that </w:t>
      </w:r>
      <w:r w:rsidRPr="000C7941">
        <w:t>threaten grid reliability, we disagree</w:t>
      </w:r>
      <w:r w:rsidR="00CE0799">
        <w:t>.  Instead,</w:t>
      </w:r>
      <w:r w:rsidR="001D2548">
        <w:t xml:space="preserve"> it is responsive to many commenters’ requests</w:t>
      </w:r>
      <w:r w:rsidR="008E157A">
        <w:t xml:space="preserve"> to avoid undue Commission specificity with respect to the required contents of market </w:t>
      </w:r>
      <w:r w:rsidR="001543D0">
        <w:t xml:space="preserve">participation </w:t>
      </w:r>
      <w:r w:rsidR="008E157A">
        <w:t>agreement</w:t>
      </w:r>
      <w:r w:rsidR="001543D0">
        <w:t>s</w:t>
      </w:r>
      <w:r w:rsidR="001D2548">
        <w:t xml:space="preserve"> to </w:t>
      </w:r>
      <w:r w:rsidR="008E157A">
        <w:t>allow</w:t>
      </w:r>
      <w:r w:rsidR="001D2548">
        <w:t xml:space="preserve"> RTOs/ISOs </w:t>
      </w:r>
      <w:r w:rsidR="008E157A">
        <w:t xml:space="preserve">sufficient </w:t>
      </w:r>
      <w:r w:rsidR="001D2548">
        <w:t>regional flexibility in developing these agreements</w:t>
      </w:r>
      <w:r w:rsidR="00F108DD">
        <w:t>, including to address any business model challenges and any implications for grid reliability</w:t>
      </w:r>
      <w:r w:rsidR="001D2548">
        <w:t xml:space="preserve">. </w:t>
      </w:r>
      <w:r w:rsidRPr="000C7941">
        <w:t xml:space="preserve"> </w:t>
      </w:r>
      <w:r w:rsidR="001D2548">
        <w:t>Further,</w:t>
      </w:r>
      <w:r w:rsidRPr="000C7941">
        <w:t xml:space="preserve"> we note </w:t>
      </w:r>
      <w:r w:rsidR="001D2548">
        <w:t>that</w:t>
      </w:r>
      <w:r w:rsidRPr="000C7941">
        <w:t xml:space="preserve"> Xcel Energy Service</w:t>
      </w:r>
      <w:r w:rsidR="00311261">
        <w:t>s</w:t>
      </w:r>
      <w:r>
        <w:t xml:space="preserve"> does not provide </w:t>
      </w:r>
      <w:r w:rsidR="008E568A">
        <w:t>examples or</w:t>
      </w:r>
      <w:r>
        <w:t xml:space="preserve"> support </w:t>
      </w:r>
      <w:r w:rsidR="00781836">
        <w:t>for</w:t>
      </w:r>
      <w:r>
        <w:t xml:space="preserve"> its</w:t>
      </w:r>
      <w:r w:rsidRPr="000C7941">
        <w:t xml:space="preserve"> concerns </w:t>
      </w:r>
      <w:r>
        <w:t>that</w:t>
      </w:r>
      <w:r w:rsidRPr="000C7941">
        <w:t xml:space="preserve"> </w:t>
      </w:r>
      <w:r w:rsidR="00AA1F3B">
        <w:t xml:space="preserve">certain </w:t>
      </w:r>
      <w:r w:rsidRPr="000C7941">
        <w:t xml:space="preserve">business models </w:t>
      </w:r>
      <w:r>
        <w:t>could</w:t>
      </w:r>
      <w:r w:rsidRPr="000C7941">
        <w:t xml:space="preserve"> threaten grid reliability</w:t>
      </w:r>
      <w:r w:rsidR="00F108DD">
        <w:t xml:space="preserve"> or future business models</w:t>
      </w:r>
      <w:r w:rsidRPr="000C7941">
        <w:t xml:space="preserve">.  </w:t>
      </w:r>
      <w:r w:rsidR="00F108DD">
        <w:t xml:space="preserve">We think permitting RTO/ISO prohibitions against certain business models in their </w:t>
      </w:r>
      <w:r w:rsidRPr="000C7941">
        <w:t>market participation agreement</w:t>
      </w:r>
      <w:r w:rsidR="00F108DD">
        <w:t>s</w:t>
      </w:r>
      <w:r w:rsidRPr="000C7941">
        <w:t xml:space="preserve"> is not necessary given a </w:t>
      </w:r>
      <w:r>
        <w:t>distributed energy resource</w:t>
      </w:r>
      <w:r w:rsidRPr="000C7941">
        <w:t xml:space="preserve"> aggregator’s duty to adhere to RTO/ISO market rules</w:t>
      </w:r>
      <w:r w:rsidR="00CE0799">
        <w:t xml:space="preserve">, </w:t>
      </w:r>
      <w:r w:rsidRPr="000C7941">
        <w:t xml:space="preserve">the attestation requirement that we require </w:t>
      </w:r>
      <w:r w:rsidR="00E76F5F">
        <w:t>to be included in</w:t>
      </w:r>
      <w:r w:rsidRPr="000C7941">
        <w:t xml:space="preserve"> the market participation agreements</w:t>
      </w:r>
      <w:r w:rsidR="00F108DD">
        <w:t>, as well as the ability of RTOs/ISO to craft any necessary safeguards short of business model prohibitions within these agreements</w:t>
      </w:r>
      <w:r w:rsidRPr="000C7941">
        <w:t xml:space="preserve">.  In response to PJM’s assertion that further clarification </w:t>
      </w:r>
      <w:r w:rsidR="00824AEF">
        <w:t>about</w:t>
      </w:r>
      <w:r w:rsidRPr="000C7941">
        <w:t xml:space="preserve"> the role of distribution </w:t>
      </w:r>
      <w:r w:rsidR="00AA1F3B">
        <w:t>utilities</w:t>
      </w:r>
      <w:r w:rsidRPr="000C7941" w:rsidR="00AA1F3B">
        <w:t xml:space="preserve"> </w:t>
      </w:r>
      <w:r w:rsidRPr="000C7941">
        <w:t xml:space="preserve">and other relevant regulatory authorities is needed for PJM to finalize the appropriate market participant agreement design, we </w:t>
      </w:r>
      <w:r w:rsidR="00AA1F3B">
        <w:t>believe</w:t>
      </w:r>
      <w:r w:rsidRPr="000C7941" w:rsidR="00AA1F3B">
        <w:t xml:space="preserve"> </w:t>
      </w:r>
      <w:r w:rsidR="00330DDB">
        <w:t xml:space="preserve">that we have provided </w:t>
      </w:r>
      <w:r w:rsidRPr="00E75960">
        <w:t xml:space="preserve">such clarification to the extent possible, elsewhere within this </w:t>
      </w:r>
      <w:r w:rsidRPr="008232DA" w:rsidR="008232DA">
        <w:t>final rule</w:t>
      </w:r>
      <w:r w:rsidRPr="00E75960">
        <w:t>.</w:t>
      </w:r>
      <w:r w:rsidRPr="00E75960">
        <w:rPr>
          <w:rStyle w:val="FootnoteReference"/>
        </w:rPr>
        <w:footnoteReference w:id="825"/>
      </w:r>
      <w:r w:rsidRPr="00E75960">
        <w:rPr>
          <w:szCs w:val="26"/>
        </w:rPr>
        <w:t xml:space="preserve">  </w:t>
      </w:r>
    </w:p>
    <w:p w:rsidR="00401D32" w:rsidP="008E71F4" w:rsidRDefault="006A38A4" w14:paraId="185BBC26" w14:textId="3BF94F6C">
      <w:pPr>
        <w:pStyle w:val="Heading2"/>
      </w:pPr>
      <w:bookmarkStart w:name="_bmk91" w:id="139"/>
      <w:r>
        <w:t>C</w:t>
      </w:r>
      <w:bookmarkEnd w:id="139"/>
      <w:r>
        <w:t>ompliance</w:t>
      </w:r>
    </w:p>
    <w:p w:rsidRPr="00810E12" w:rsidR="00810E12" w:rsidP="00D62837" w:rsidRDefault="00810E12" w14:paraId="1FAFBCB8" w14:textId="4B0D4FD9">
      <w:pPr>
        <w:pStyle w:val="FERCparanumber"/>
      </w:pPr>
      <w:r>
        <w:t xml:space="preserve">In the NOPR, the Commission proposed </w:t>
      </w:r>
      <w:r w:rsidR="00605F75">
        <w:t xml:space="preserve">to require each RTO/ISO to submit a compliance filing within six months of the date the </w:t>
      </w:r>
      <w:r w:rsidRPr="008232DA" w:rsidR="008232DA">
        <w:t>final rule</w:t>
      </w:r>
      <w:r w:rsidR="00605F75">
        <w:t xml:space="preserve"> in this proceeding is published in the </w:t>
      </w:r>
      <w:r w:rsidRPr="00E75960" w:rsidR="00605F75">
        <w:rPr>
          <w:i/>
        </w:rPr>
        <w:t>Federal Register</w:t>
      </w:r>
      <w:r w:rsidR="00605F75">
        <w:t>.  The Commission stated that it believed that six months is sufficient for each RTO/ISO to develop and submit its compliance filing, but recognized that implementation of the reforms proposed in the NOPR could take more time due to the changes that may be necessary to each RTO’s/ISO’s modeling and dispatch software.  Therefore, the Commission propose</w:t>
      </w:r>
      <w:r w:rsidR="001D5CAC">
        <w:t>d</w:t>
      </w:r>
      <w:r w:rsidR="00605F75">
        <w:t xml:space="preserve"> to allow </w:t>
      </w:r>
      <w:r w:rsidR="005C1A58">
        <w:t>12</w:t>
      </w:r>
      <w:r w:rsidR="00605F75">
        <w:t xml:space="preserve"> months from the date of the compliance filing for implementation of the proposed reforms to become effective.</w:t>
      </w:r>
    </w:p>
    <w:p w:rsidRPr="00B9488C" w:rsidR="00B9488C" w:rsidP="00D62837" w:rsidRDefault="00B9488C" w14:paraId="35AF0176" w14:textId="18888AA0">
      <w:pPr>
        <w:pStyle w:val="Heading3"/>
      </w:pPr>
      <w:bookmarkStart w:name="_bmk92" w:id="140"/>
      <w:r>
        <w:t>C</w:t>
      </w:r>
      <w:bookmarkEnd w:id="140"/>
      <w:r>
        <w:t>omments</w:t>
      </w:r>
    </w:p>
    <w:p w:rsidRPr="00ED37E7" w:rsidR="00ED37E7" w:rsidP="00B9488C" w:rsidRDefault="00ED37E7" w14:paraId="157C75BD" w14:textId="77777777">
      <w:pPr>
        <w:pStyle w:val="FERCparanumber"/>
        <w:rPr>
          <w:b/>
        </w:rPr>
      </w:pPr>
      <w:r w:rsidRPr="00A50DBE">
        <w:t xml:space="preserve">Most </w:t>
      </w:r>
      <w:r>
        <w:t xml:space="preserve">RTO/ISO </w:t>
      </w:r>
      <w:r w:rsidRPr="00A50DBE">
        <w:t xml:space="preserve">commenters, with the exception of PJM, indicate that </w:t>
      </w:r>
      <w:r>
        <w:t xml:space="preserve">they would need to modify their existing rules </w:t>
      </w:r>
      <w:r w:rsidRPr="00A50DBE">
        <w:t xml:space="preserve">to appropriately integrate </w:t>
      </w:r>
      <w:r>
        <w:t>distributed energy resource</w:t>
      </w:r>
      <w:r w:rsidRPr="00A50DBE">
        <w:t xml:space="preserve"> aggregations.</w:t>
      </w:r>
      <w:r w:rsidRPr="00D457DD">
        <w:rPr>
          <w:rStyle w:val="FootnoteReference"/>
        </w:rPr>
        <w:footnoteReference w:id="826"/>
      </w:r>
      <w:r w:rsidRPr="00D457DD">
        <w:rPr>
          <w:rStyle w:val="FootnoteReference"/>
        </w:rPr>
        <w:t xml:space="preserve"> </w:t>
      </w:r>
      <w:r w:rsidRPr="00A50DBE">
        <w:t xml:space="preserve"> PJM states that it does not require significant modifications to dispatch software, communication platforms, or automation tools, as PJM already has developed many tools that can be adapted for </w:t>
      </w:r>
      <w:r>
        <w:t>distributed energy resource aggregations</w:t>
      </w:r>
      <w:r w:rsidRPr="00A50DBE">
        <w:t xml:space="preserve">, but </w:t>
      </w:r>
      <w:r>
        <w:t xml:space="preserve">that </w:t>
      </w:r>
      <w:r w:rsidRPr="00A50DBE">
        <w:t>improved coordination with electric distribution providers may be a challenge.</w:t>
      </w:r>
      <w:r w:rsidRPr="00D457DD">
        <w:rPr>
          <w:rStyle w:val="FootnoteReference"/>
        </w:rPr>
        <w:footnoteReference w:id="827"/>
      </w:r>
    </w:p>
    <w:p w:rsidRPr="00B671A4" w:rsidR="00B9488C" w:rsidP="00B9488C" w:rsidRDefault="00B9488C" w14:paraId="6730D515" w14:textId="7F1ECA59">
      <w:pPr>
        <w:pStyle w:val="FERCparanumber"/>
        <w:rPr>
          <w:b/>
        </w:rPr>
      </w:pPr>
      <w:r w:rsidRPr="00A50DBE">
        <w:t>Eversource recommends that the Commission provide sufficient time for proposals to be developed through the stakeholder process on this complex issue.</w:t>
      </w:r>
      <w:r w:rsidRPr="00D457DD">
        <w:rPr>
          <w:rStyle w:val="FootnoteReference"/>
        </w:rPr>
        <w:footnoteReference w:id="828"/>
      </w:r>
      <w:r>
        <w:t xml:space="preserve">  </w:t>
      </w:r>
      <w:r w:rsidRPr="008E71F4">
        <w:t>Dominion suggests a pilot project should be undertaken first.</w:t>
      </w:r>
      <w:r>
        <w:rPr>
          <w:rStyle w:val="FootnoteReference"/>
        </w:rPr>
        <w:footnoteReference w:id="829"/>
      </w:r>
      <w:r w:rsidRPr="008E71F4">
        <w:t xml:space="preserve">  Duquesne Light notes that distributed energy resource integration should proceed in a “measured” way to assess operational, reliability, safety and cost implications, noting that some </w:t>
      </w:r>
      <w:r>
        <w:t>new</w:t>
      </w:r>
      <w:r w:rsidRPr="008E71F4">
        <w:t xml:space="preserve"> technologies may require observation and testing before being </w:t>
      </w:r>
      <w:r>
        <w:t>deemed capable of providing expanded services such as being deemed a</w:t>
      </w:r>
      <w:r w:rsidRPr="008E71F4">
        <w:t xml:space="preserve"> capacity resource.</w:t>
      </w:r>
      <w:r w:rsidRPr="008636DC">
        <w:rPr>
          <w:rStyle w:val="FootnoteReference"/>
        </w:rPr>
        <w:footnoteReference w:id="830"/>
      </w:r>
      <w:r w:rsidRPr="008E71F4">
        <w:t xml:space="preserve">  Distributed energy resource developers and their advocates, as well as some state commissions, believe that the proposal is timely and should not be delayed, especially given the rapid pace of technological advancement.</w:t>
      </w:r>
      <w:r w:rsidRPr="008636DC">
        <w:rPr>
          <w:rStyle w:val="FootnoteReference"/>
        </w:rPr>
        <w:footnoteReference w:id="831"/>
      </w:r>
    </w:p>
    <w:p w:rsidR="006A38A4" w:rsidP="00B9488C" w:rsidRDefault="00B9488C" w14:paraId="3653FB15" w14:textId="2753D7D5">
      <w:pPr>
        <w:pStyle w:val="Heading3"/>
      </w:pPr>
      <w:bookmarkStart w:name="_bmk93" w:id="141"/>
      <w:r>
        <w:t>C</w:t>
      </w:r>
      <w:bookmarkEnd w:id="141"/>
      <w:r>
        <w:t>ommission Determination</w:t>
      </w:r>
    </w:p>
    <w:p w:rsidRPr="00A02AE8" w:rsidR="00A02AE8" w:rsidP="007A7E5B" w:rsidRDefault="00DF081D" w14:paraId="01FCCFEC" w14:textId="2DA83223">
      <w:pPr>
        <w:pStyle w:val="FERCparanumber"/>
      </w:pPr>
      <w:r>
        <w:t>After consideration of the comments submitted</w:t>
      </w:r>
      <w:r w:rsidRPr="00767729" w:rsidR="00810E12">
        <w:t>,</w:t>
      </w:r>
      <w:r>
        <w:t xml:space="preserve"> </w:t>
      </w:r>
      <w:r w:rsidR="00674E72">
        <w:t xml:space="preserve">we find that it is reasonable to provide RTOs/ISOs </w:t>
      </w:r>
      <w:r w:rsidR="005C1A58">
        <w:t xml:space="preserve">with </w:t>
      </w:r>
      <w:r w:rsidR="00674E72">
        <w:t xml:space="preserve">additional time to submit their proposed tariff revisions in response to the </w:t>
      </w:r>
      <w:r w:rsidRPr="008232DA" w:rsidR="008232DA">
        <w:t>final rule</w:t>
      </w:r>
      <w:r w:rsidR="00674E72">
        <w:t xml:space="preserve">, given that the changes could require significant work on the part of RTOs/ISOs.  Consequently, </w:t>
      </w:r>
      <w:r w:rsidR="00D619A9">
        <w:t>a</w:t>
      </w:r>
      <w:r>
        <w:t>fter consideration of the comments submitted</w:t>
      </w:r>
      <w:r w:rsidRPr="00767729" w:rsidR="00810E12">
        <w:t>,</w:t>
      </w:r>
      <w:r>
        <w:t xml:space="preserve"> </w:t>
      </w:r>
      <w:r w:rsidR="00D018D8">
        <w:t>we</w:t>
      </w:r>
      <w:r>
        <w:t xml:space="preserve"> will require</w:t>
      </w:r>
      <w:r w:rsidRPr="00767729" w:rsidR="00810E12">
        <w:t xml:space="preserve"> each RTO/ISO </w:t>
      </w:r>
      <w:r>
        <w:t>to</w:t>
      </w:r>
      <w:r w:rsidRPr="00767729" w:rsidR="00810E12">
        <w:t xml:space="preserve"> file the tariff changes needed to implement the requirements of this </w:t>
      </w:r>
      <w:r w:rsidRPr="008232DA" w:rsidR="008232DA">
        <w:t>final rule</w:t>
      </w:r>
      <w:r w:rsidRPr="00767729" w:rsidR="00810E12">
        <w:t xml:space="preserve"> within 270 days of the publication date of this </w:t>
      </w:r>
      <w:r w:rsidRPr="008232DA" w:rsidR="008232DA">
        <w:t>final rule</w:t>
      </w:r>
      <w:r w:rsidRPr="00767729" w:rsidR="00810E12">
        <w:t xml:space="preserve"> in the </w:t>
      </w:r>
      <w:r w:rsidRPr="00E75960" w:rsidR="00810E12">
        <w:rPr>
          <w:i/>
        </w:rPr>
        <w:t>Federal Register</w:t>
      </w:r>
      <w:r>
        <w:t xml:space="preserve">.  </w:t>
      </w:r>
      <w:r w:rsidRPr="00D4148D" w:rsidR="00F43600">
        <w:t>To the extent that an RTO</w:t>
      </w:r>
      <w:r w:rsidR="00F43600">
        <w:t xml:space="preserve">/ISO proposes to comply with any or all of the requirements in this </w:t>
      </w:r>
      <w:r w:rsidRPr="008232DA" w:rsidR="008232DA">
        <w:t>final rule</w:t>
      </w:r>
      <w:r w:rsidR="00F43600">
        <w:t xml:space="preserve"> using</w:t>
      </w:r>
      <w:r w:rsidRPr="00D4148D" w:rsidR="00F43600">
        <w:t xml:space="preserve"> its currently</w:t>
      </w:r>
      <w:r w:rsidR="00F43600">
        <w:t xml:space="preserve"> </w:t>
      </w:r>
      <w:r w:rsidRPr="00D4148D" w:rsidR="00F43600">
        <w:t xml:space="preserve">effective requirements for </w:t>
      </w:r>
      <w:r w:rsidR="00F43600">
        <w:t>distributed energy resource</w:t>
      </w:r>
      <w:r w:rsidRPr="00D4148D" w:rsidR="00F43600">
        <w:t xml:space="preserve">s, it </w:t>
      </w:r>
      <w:r w:rsidR="00F43600">
        <w:t>must</w:t>
      </w:r>
      <w:r w:rsidRPr="00D4148D" w:rsidR="00F43600">
        <w:t xml:space="preserve"> demonstrate</w:t>
      </w:r>
      <w:r w:rsidR="00F43600">
        <w:t xml:space="preserve"> on compliance</w:t>
      </w:r>
      <w:r w:rsidRPr="00D4148D" w:rsidR="00F43600">
        <w:t xml:space="preserve"> that its </w:t>
      </w:r>
      <w:r w:rsidR="00F43600">
        <w:t xml:space="preserve">existing </w:t>
      </w:r>
      <w:r w:rsidRPr="00D4148D" w:rsidR="00F43600">
        <w:t xml:space="preserve">approach meets </w:t>
      </w:r>
      <w:r w:rsidR="00F43600">
        <w:t>the</w:t>
      </w:r>
      <w:r w:rsidRPr="00D4148D" w:rsidR="00F43600">
        <w:t xml:space="preserve"> requirement</w:t>
      </w:r>
      <w:r w:rsidR="00F43600">
        <w:t xml:space="preserve">s in this </w:t>
      </w:r>
      <w:r w:rsidRPr="008232DA" w:rsidR="008232DA">
        <w:t>final rule</w:t>
      </w:r>
      <w:r w:rsidRPr="00D4148D" w:rsidR="00F43600">
        <w:t>.</w:t>
      </w:r>
    </w:p>
    <w:p w:rsidRPr="00743C0B" w:rsidR="00B9488C" w:rsidP="00175FF8" w:rsidRDefault="00A02AE8" w14:paraId="4E7EDD84" w14:textId="036FA47A">
      <w:pPr>
        <w:pStyle w:val="FERCparanumber"/>
      </w:pPr>
      <w:r w:rsidRPr="00C979F6">
        <w:t xml:space="preserve">Based on comments submitted about the complexity of changes to RTO/ISO </w:t>
      </w:r>
      <w:r w:rsidRPr="00C905AF" w:rsidR="00FB5085">
        <w:t>market rules</w:t>
      </w:r>
      <w:r w:rsidRPr="00C905AF" w:rsidR="00205A50">
        <w:t xml:space="preserve"> and systems</w:t>
      </w:r>
      <w:r w:rsidRPr="00C905AF">
        <w:t xml:space="preserve">, we will not require </w:t>
      </w:r>
      <w:r w:rsidRPr="00C905AF" w:rsidR="00175FF8">
        <w:t xml:space="preserve">the implementation of the tariff provisions within </w:t>
      </w:r>
      <w:r w:rsidRPr="00C905AF" w:rsidR="005C1A58">
        <w:t>12</w:t>
      </w:r>
      <w:r w:rsidRPr="00C905AF" w:rsidR="008D09FB">
        <w:t xml:space="preserve"> months from the date</w:t>
      </w:r>
      <w:r w:rsidRPr="00C905AF" w:rsidR="00175FF8">
        <w:t xml:space="preserve"> of the </w:t>
      </w:r>
      <w:r w:rsidRPr="00C905AF" w:rsidR="008D09FB">
        <w:t xml:space="preserve">compliance </w:t>
      </w:r>
      <w:r w:rsidRPr="00C905AF" w:rsidR="00175FF8">
        <w:t>filing</w:t>
      </w:r>
      <w:r w:rsidRPr="00C905AF" w:rsidR="007E304E">
        <w:t xml:space="preserve">, as </w:t>
      </w:r>
      <w:r w:rsidRPr="00C905AF" w:rsidR="001F7576">
        <w:t>proposed</w:t>
      </w:r>
      <w:r w:rsidRPr="00C905AF" w:rsidR="00175FF8">
        <w:t xml:space="preserve"> in the NOPR.  Instead, we will require </w:t>
      </w:r>
      <w:r w:rsidRPr="00C905AF" w:rsidR="00265BC1">
        <w:t xml:space="preserve">each </w:t>
      </w:r>
      <w:r w:rsidRPr="00C905AF" w:rsidR="00175FF8">
        <w:t xml:space="preserve">RTO/ISO to </w:t>
      </w:r>
      <w:r w:rsidRPr="00C905AF" w:rsidR="008D09FB">
        <w:t>propose</w:t>
      </w:r>
      <w:r w:rsidRPr="00C905AF" w:rsidR="00175FF8">
        <w:t xml:space="preserve"> a reasonable implementation date</w:t>
      </w:r>
      <w:r w:rsidRPr="00C905AF" w:rsidR="008D09FB">
        <w:t xml:space="preserve">, together with adequate support explaining </w:t>
      </w:r>
      <w:r w:rsidRPr="00C905AF" w:rsidR="001022BF">
        <w:t>how</w:t>
      </w:r>
      <w:r w:rsidRPr="00C905AF" w:rsidR="008D09FB">
        <w:t xml:space="preserve"> the proposal is appropriately</w:t>
      </w:r>
      <w:r w:rsidRPr="00C905AF" w:rsidR="00175FF8">
        <w:t xml:space="preserve"> tailored for </w:t>
      </w:r>
      <w:r w:rsidRPr="00C905AF" w:rsidR="00265BC1">
        <w:t>its</w:t>
      </w:r>
      <w:r w:rsidRPr="00C905AF" w:rsidR="00175FF8">
        <w:t xml:space="preserve"> region </w:t>
      </w:r>
      <w:r w:rsidRPr="00C905AF" w:rsidR="00FD2318">
        <w:t>and</w:t>
      </w:r>
      <w:r w:rsidRPr="00C905AF" w:rsidR="00175FF8">
        <w:t xml:space="preserve"> implements this </w:t>
      </w:r>
      <w:r w:rsidRPr="008232DA" w:rsidR="008232DA">
        <w:t>final rule</w:t>
      </w:r>
      <w:r w:rsidRPr="00C905AF" w:rsidR="00175FF8">
        <w:t xml:space="preserve"> in a timely manner.</w:t>
      </w:r>
      <w:r w:rsidRPr="00511E64" w:rsidR="00C06B08">
        <w:t xml:space="preserve">  The Commission will establish on compliance the effective date for each RTO’s/ISO’s compliance filing.</w:t>
      </w:r>
    </w:p>
    <w:p w:rsidRPr="00ED6F47" w:rsidR="00ED6F47" w:rsidP="008E71F4" w:rsidRDefault="00ED6F47" w14:paraId="1976FCD0" w14:textId="38D9D8B7">
      <w:pPr>
        <w:pStyle w:val="Heading2"/>
      </w:pPr>
      <w:bookmarkStart w:name="_bmk94" w:id="142"/>
      <w:r>
        <w:t>I</w:t>
      </w:r>
      <w:bookmarkEnd w:id="142"/>
      <w:r>
        <w:t>ssues Beyond the Scope of this Rulemaking</w:t>
      </w:r>
    </w:p>
    <w:p w:rsidR="00ED6F47" w:rsidP="00ED6F47" w:rsidRDefault="00ED6F47" w14:paraId="284356C3" w14:textId="63318563">
      <w:pPr>
        <w:pStyle w:val="Heading3"/>
      </w:pPr>
      <w:bookmarkStart w:name="_bmk95" w:id="143"/>
      <w:r>
        <w:t>C</w:t>
      </w:r>
      <w:bookmarkEnd w:id="143"/>
      <w:r>
        <w:t>omments</w:t>
      </w:r>
    </w:p>
    <w:p w:rsidRPr="00FA32D9" w:rsidR="00E71D0E" w:rsidP="00FA32D9" w:rsidRDefault="008E71F4" w14:paraId="5D3E8006" w14:textId="10721A1F">
      <w:pPr>
        <w:pStyle w:val="FERCparanumber"/>
        <w:rPr>
          <w:rFonts w:eastAsia="Times New Roman"/>
          <w:color w:val="000000"/>
        </w:rPr>
      </w:pPr>
      <w:r w:rsidRPr="008E71F4">
        <w:t xml:space="preserve">Some commenters raise issues that were not addressed in the NOPR.  </w:t>
      </w:r>
      <w:r w:rsidR="00F02F62">
        <w:t>For instance, c</w:t>
      </w:r>
      <w:r w:rsidRPr="008E71F4">
        <w:t xml:space="preserve">ommenters raise issues </w:t>
      </w:r>
      <w:r w:rsidR="00023495">
        <w:t>regarding</w:t>
      </w:r>
      <w:r w:rsidRPr="008E71F4" w:rsidR="00023495">
        <w:t xml:space="preserve"> </w:t>
      </w:r>
      <w:r w:rsidRPr="008E71F4">
        <w:t xml:space="preserve">how the deduction of behind-the-meter </w:t>
      </w:r>
      <w:r w:rsidR="00023495">
        <w:t xml:space="preserve">resources </w:t>
      </w:r>
      <w:r w:rsidRPr="008E71F4">
        <w:t>from reserve margin requirements affects price formation;</w:t>
      </w:r>
      <w:r w:rsidRPr="008E71F4">
        <w:rPr>
          <w:b/>
          <w:vertAlign w:val="superscript"/>
        </w:rPr>
        <w:footnoteReference w:id="832"/>
      </w:r>
      <w:r w:rsidRPr="008E71F4">
        <w:t xml:space="preserve"> impacts of subsidizing resources on functioning of RTO/ISO markets;</w:t>
      </w:r>
      <w:r w:rsidRPr="008E71F4">
        <w:rPr>
          <w:b/>
          <w:vertAlign w:val="superscript"/>
        </w:rPr>
        <w:footnoteReference w:id="833"/>
      </w:r>
      <w:r w:rsidRPr="008E71F4">
        <w:t xml:space="preserve"> capacity market mitigation policies for distributed energy resources;</w:t>
      </w:r>
      <w:r w:rsidRPr="008E71F4">
        <w:rPr>
          <w:b/>
          <w:vertAlign w:val="superscript"/>
        </w:rPr>
        <w:footnoteReference w:id="834"/>
      </w:r>
      <w:r w:rsidRPr="008E71F4">
        <w:t xml:space="preserve"> impacts on system variability and unpredictable operation due to </w:t>
      </w:r>
      <w:r w:rsidR="00023495">
        <w:t>RTO/ISO market</w:t>
      </w:r>
      <w:r w:rsidRPr="008E71F4" w:rsidR="00023495">
        <w:t xml:space="preserve"> </w:t>
      </w:r>
      <w:r w:rsidRPr="008E71F4">
        <w:t>participation of distributed energy resources;</w:t>
      </w:r>
      <w:r w:rsidRPr="008E71F4">
        <w:rPr>
          <w:b/>
          <w:vertAlign w:val="superscript"/>
        </w:rPr>
        <w:footnoteReference w:id="835"/>
      </w:r>
      <w:r w:rsidRPr="008E71F4">
        <w:t xml:space="preserve"> impacts of distributed energy resource aggregation</w:t>
      </w:r>
      <w:r w:rsidR="00023495">
        <w:t>s</w:t>
      </w:r>
      <w:r w:rsidRPr="008E71F4">
        <w:t xml:space="preserve"> </w:t>
      </w:r>
      <w:r w:rsidR="00023495">
        <w:t>on</w:t>
      </w:r>
      <w:r w:rsidRPr="008E71F4">
        <w:t xml:space="preserve"> distribution system operations and reliability</w:t>
      </w:r>
      <w:r w:rsidR="00023495">
        <w:t>,</w:t>
      </w:r>
      <w:r w:rsidRPr="008E71F4">
        <w:t xml:space="preserve"> and necessary distribution system adjustments;</w:t>
      </w:r>
      <w:r w:rsidRPr="008E71F4">
        <w:rPr>
          <w:b/>
          <w:vertAlign w:val="superscript"/>
        </w:rPr>
        <w:footnoteReference w:id="836"/>
      </w:r>
      <w:r w:rsidRPr="008E71F4">
        <w:t xml:space="preserve"> reflecting distribution system </w:t>
      </w:r>
      <w:r w:rsidR="00E13416">
        <w:t xml:space="preserve">    </w:t>
      </w:r>
      <w:r w:rsidRPr="008E71F4">
        <w:t>benefits associated with distributed energy resource aggregation</w:t>
      </w:r>
      <w:r w:rsidR="00023495">
        <w:t>s</w:t>
      </w:r>
      <w:r w:rsidRPr="008E71F4">
        <w:t xml:space="preserve"> into </w:t>
      </w:r>
      <w:r w:rsidR="00023495">
        <w:t>RTO/ISO market</w:t>
      </w:r>
      <w:r w:rsidRPr="008E71F4">
        <w:t xml:space="preserve"> operation;</w:t>
      </w:r>
      <w:r w:rsidRPr="008E71F4">
        <w:rPr>
          <w:b/>
          <w:vertAlign w:val="superscript"/>
        </w:rPr>
        <w:t xml:space="preserve"> </w:t>
      </w:r>
      <w:r w:rsidRPr="008E71F4">
        <w:rPr>
          <w:b/>
          <w:vertAlign w:val="superscript"/>
        </w:rPr>
        <w:footnoteReference w:id="837"/>
      </w:r>
      <w:r w:rsidRPr="008E71F4">
        <w:t xml:space="preserve"> distribution system configuration issues;</w:t>
      </w:r>
      <w:r w:rsidRPr="008E71F4">
        <w:rPr>
          <w:b/>
          <w:vertAlign w:val="superscript"/>
        </w:rPr>
        <w:footnoteReference w:id="838"/>
      </w:r>
      <w:r w:rsidRPr="008E71F4">
        <w:t xml:space="preserve"> need for modernizing distribution system equipment, such as the deployment of distributed energy resource management systems (DERMS);</w:t>
      </w:r>
      <w:r w:rsidRPr="008E71F4">
        <w:rPr>
          <w:b/>
          <w:vertAlign w:val="superscript"/>
        </w:rPr>
        <w:footnoteReference w:id="839"/>
      </w:r>
      <w:r w:rsidR="009E334E">
        <w:t xml:space="preserve"> </w:t>
      </w:r>
      <w:r w:rsidRPr="008E71F4">
        <w:t>privacy and cybersecurity concerns;</w:t>
      </w:r>
      <w:r w:rsidRPr="008E71F4">
        <w:rPr>
          <w:b/>
          <w:vertAlign w:val="superscript"/>
        </w:rPr>
        <w:footnoteReference w:id="840"/>
      </w:r>
      <w:r w:rsidRPr="008E71F4">
        <w:t xml:space="preserve"> </w:t>
      </w:r>
      <w:r w:rsidRPr="004805D1" w:rsidR="000E2A70">
        <w:t xml:space="preserve">data collection </w:t>
      </w:r>
      <w:r w:rsidR="000E2A70">
        <w:t xml:space="preserve">practices </w:t>
      </w:r>
      <w:r w:rsidR="000F30F5">
        <w:t xml:space="preserve">during distributed energy resource registration </w:t>
      </w:r>
      <w:r w:rsidR="000E2A70">
        <w:t xml:space="preserve">focused on </w:t>
      </w:r>
      <w:r w:rsidRPr="004805D1" w:rsidR="000E2A70">
        <w:t xml:space="preserve">attributes available for essential grid services, </w:t>
      </w:r>
      <w:r w:rsidR="000E2A70">
        <w:t xml:space="preserve">but not </w:t>
      </w:r>
      <w:r w:rsidR="000F30F5">
        <w:t xml:space="preserve">necessarily in support of </w:t>
      </w:r>
      <w:r w:rsidRPr="004805D1" w:rsidR="000E2A70">
        <w:t>a market product</w:t>
      </w:r>
      <w:r w:rsidR="000F30F5">
        <w:t>;</w:t>
      </w:r>
      <w:r w:rsidRPr="007A657D" w:rsidR="000E2A70">
        <w:rPr>
          <w:rStyle w:val="FootnoteReference"/>
        </w:rPr>
        <w:footnoteReference w:id="841"/>
      </w:r>
      <w:r w:rsidR="000F30F5">
        <w:t xml:space="preserve"> </w:t>
      </w:r>
      <w:r w:rsidRPr="00641833" w:rsidR="00633D33">
        <w:t>differing compensation for short-duration resources to account for reduced run times</w:t>
      </w:r>
      <w:r w:rsidR="00633D33">
        <w:t xml:space="preserve"> in the capacity market</w:t>
      </w:r>
      <w:r w:rsidR="000A7FE0">
        <w:t>;</w:t>
      </w:r>
      <w:r w:rsidRPr="00AF5267">
        <w:rPr>
          <w:rStyle w:val="FootnoteReference"/>
        </w:rPr>
        <w:footnoteReference w:id="842"/>
      </w:r>
      <w:r w:rsidR="000A7FE0">
        <w:t xml:space="preserve"> and clarification that the term electric storage resource </w:t>
      </w:r>
      <w:r w:rsidRPr="00E71D0E" w:rsidR="00E71D0E">
        <w:rPr>
          <w:rFonts w:eastAsia="Times New Roman"/>
          <w:color w:val="000000"/>
        </w:rPr>
        <w:t xml:space="preserve">as defined in Order </w:t>
      </w:r>
      <w:r w:rsidR="00E71D0E">
        <w:rPr>
          <w:rFonts w:eastAsia="Times New Roman"/>
          <w:color w:val="000000"/>
        </w:rPr>
        <w:t xml:space="preserve">No. </w:t>
      </w:r>
      <w:r w:rsidRPr="00E71D0E" w:rsidR="00E71D0E">
        <w:rPr>
          <w:rFonts w:eastAsia="Times New Roman"/>
          <w:color w:val="000000"/>
        </w:rPr>
        <w:t xml:space="preserve">841 may include an aggregation of distributed </w:t>
      </w:r>
      <w:r w:rsidR="00E71D0E">
        <w:rPr>
          <w:rFonts w:eastAsia="Times New Roman"/>
          <w:color w:val="000000"/>
        </w:rPr>
        <w:t xml:space="preserve">electric </w:t>
      </w:r>
      <w:r w:rsidRPr="00E71D0E" w:rsidR="00E71D0E">
        <w:rPr>
          <w:rFonts w:eastAsia="Times New Roman"/>
          <w:color w:val="000000"/>
        </w:rPr>
        <w:t>storage resources</w:t>
      </w:r>
      <w:r w:rsidRPr="00FA32D9" w:rsidR="00FA32D9">
        <w:rPr>
          <w:rFonts w:eastAsia="Times New Roman"/>
          <w:color w:val="000000"/>
        </w:rPr>
        <w:t>.</w:t>
      </w:r>
      <w:r w:rsidR="00E71D0E">
        <w:rPr>
          <w:rStyle w:val="FootnoteReference"/>
          <w:rFonts w:eastAsia="Times New Roman"/>
          <w:color w:val="000000"/>
        </w:rPr>
        <w:footnoteReference w:id="843"/>
      </w:r>
    </w:p>
    <w:p w:rsidR="00ED6F47" w:rsidP="00ED6F47" w:rsidRDefault="00ED6F47" w14:paraId="3469C10A" w14:textId="1AE299C1">
      <w:pPr>
        <w:pStyle w:val="Heading3"/>
      </w:pPr>
      <w:bookmarkStart w:name="_bmk96" w:id="144"/>
      <w:r>
        <w:t>C</w:t>
      </w:r>
      <w:bookmarkEnd w:id="144"/>
      <w:r>
        <w:t>ommission Determination</w:t>
      </w:r>
    </w:p>
    <w:p w:rsidR="00ED6F47" w:rsidP="008E71F4" w:rsidRDefault="00905227" w14:paraId="3E4EFEE8" w14:textId="0E385DF8">
      <w:pPr>
        <w:pStyle w:val="FERCparanumber"/>
      </w:pPr>
      <w:r>
        <w:t>T</w:t>
      </w:r>
      <w:r w:rsidRPr="008E71F4" w:rsidR="008E71F4">
        <w:t>he NOPR did not prop</w:t>
      </w:r>
      <w:r w:rsidR="008E71F4">
        <w:t>o</w:t>
      </w:r>
      <w:r w:rsidRPr="008E71F4" w:rsidR="008E71F4">
        <w:t>se reforms related to these issues raised by commenters.  Therefore, these issues are outside the scope of this proceeding and will not be addressed here.</w:t>
      </w:r>
    </w:p>
    <w:p w:rsidRPr="004A6E8D" w:rsidR="002A4C61" w:rsidP="002A4C61" w:rsidRDefault="00A054BC" w14:paraId="6C7B6247" w14:textId="5FCC056F">
      <w:pPr>
        <w:pStyle w:val="Heading1"/>
      </w:pPr>
      <w:bookmarkStart w:name="_bmk97" w:id="145"/>
      <w:r w:rsidRPr="004A6E8D">
        <w:t>I</w:t>
      </w:r>
      <w:bookmarkEnd w:id="145"/>
      <w:r w:rsidRPr="004A6E8D">
        <w:t>nformation Collection Statement</w:t>
      </w:r>
    </w:p>
    <w:p w:rsidRPr="004A6E8D" w:rsidR="002A4C61" w:rsidP="002A4C61" w:rsidRDefault="002A4C61" w14:paraId="5476341B" w14:textId="0C394587">
      <w:pPr>
        <w:pStyle w:val="FERCparanumber"/>
      </w:pPr>
      <w:r w:rsidRPr="004A6E8D">
        <w:t xml:space="preserve">The information </w:t>
      </w:r>
      <w:r w:rsidR="00C654BD">
        <w:t>collection (IC)</w:t>
      </w:r>
      <w:r w:rsidRPr="004A6E8D">
        <w:t xml:space="preserve"> contained in this </w:t>
      </w:r>
      <w:r w:rsidRPr="008232DA" w:rsidR="008232DA">
        <w:t>final rule</w:t>
      </w:r>
      <w:r w:rsidRPr="004A6E8D">
        <w:t xml:space="preserve"> is being submitted to the Office of Management and Budget (OMB) for review under section 3507(d) of the Paperwork Reduction Act of 1995.</w:t>
      </w:r>
      <w:r w:rsidRPr="004A6E8D">
        <w:rPr>
          <w:b/>
          <w:vertAlign w:val="superscript"/>
        </w:rPr>
        <w:footnoteReference w:id="844"/>
      </w:r>
      <w:r w:rsidRPr="004A6E8D">
        <w:t xml:space="preserve">  OMB’s regulations,</w:t>
      </w:r>
      <w:r w:rsidRPr="004A6E8D">
        <w:rPr>
          <w:b/>
          <w:vertAlign w:val="superscript"/>
        </w:rPr>
        <w:footnoteReference w:id="845"/>
      </w:r>
      <w:r w:rsidRPr="004A6E8D">
        <w:t xml:space="preserve"> in turn, require approval of certain information collection requirements imposed by agency rules.  Respondents subject to the filing requirements of a rule will not be penalized for failing to respond to the collection of information unless the collection of information displays a valid OMB control number. </w:t>
      </w:r>
    </w:p>
    <w:p w:rsidR="00C654BD" w:rsidP="00C654BD" w:rsidRDefault="00C654BD" w14:paraId="151FEC51" w14:textId="7357D285">
      <w:pPr>
        <w:pStyle w:val="FERCparanumber"/>
      </w:pPr>
      <w:r>
        <w:t>The Commission has submitted this IC to OMB as a revision of FERC-516H.  OMB has assigned control number 1902-0303 to FERC-516H.  The Commission is not asking OMB to change the expiration date of control number 1902-0303 (May 31, 2021).</w:t>
      </w:r>
    </w:p>
    <w:p w:rsidR="00C654BD" w:rsidP="00C654BD" w:rsidRDefault="00C654BD" w14:paraId="536F5C83" w14:textId="2F368074">
      <w:pPr>
        <w:pStyle w:val="Heading2"/>
      </w:pPr>
      <w:bookmarkStart w:name="_bmk98" w:id="146"/>
      <w:r>
        <w:t>S</w:t>
      </w:r>
      <w:bookmarkEnd w:id="146"/>
      <w:r>
        <w:t>ummary of this IC</w:t>
      </w:r>
    </w:p>
    <w:p w:rsidRPr="00C654BD" w:rsidR="00C654BD" w:rsidP="00F02952" w:rsidRDefault="00C654BD" w14:paraId="73FCD96A" w14:textId="2DF0BE6B">
      <w:pPr>
        <w:pStyle w:val="FERCparanumber"/>
        <w:numPr>
          <w:ilvl w:val="0"/>
          <w:numId w:val="0"/>
        </w:numPr>
      </w:pPr>
      <w:r w:rsidRPr="00C654BD">
        <w:rPr>
          <w:i/>
        </w:rPr>
        <w:t>Title:</w:t>
      </w:r>
      <w:r w:rsidRPr="00C654BD">
        <w:t xml:space="preserve">  FERC-516H (Electric Rate Schedules and Tariff Filings, in Docket No. RM18-9-000)</w:t>
      </w:r>
    </w:p>
    <w:p w:rsidRPr="00C654BD" w:rsidR="00C654BD" w:rsidP="00F02952" w:rsidRDefault="00C654BD" w14:paraId="462DB769" w14:textId="77777777">
      <w:pPr>
        <w:pStyle w:val="FERCparanumber"/>
        <w:numPr>
          <w:ilvl w:val="0"/>
          <w:numId w:val="0"/>
        </w:numPr>
      </w:pPr>
      <w:r w:rsidRPr="00F02952">
        <w:rPr>
          <w:i/>
          <w:iCs/>
        </w:rPr>
        <w:t>OMB Control No.</w:t>
      </w:r>
      <w:r w:rsidRPr="00C654BD">
        <w:t xml:space="preserve">  1902-0303</w:t>
      </w:r>
    </w:p>
    <w:p w:rsidR="00C654BD" w:rsidP="00C654BD" w:rsidRDefault="00C654BD" w14:paraId="62E21361" w14:textId="77777777">
      <w:pPr>
        <w:pStyle w:val="FERCparanumber"/>
        <w:numPr>
          <w:ilvl w:val="0"/>
          <w:numId w:val="0"/>
        </w:numPr>
      </w:pPr>
      <w:r>
        <w:rPr>
          <w:i/>
        </w:rPr>
        <w:t>Type of Request:</w:t>
      </w:r>
      <w:r>
        <w:t xml:space="preserve">  Revision of FERC-516H</w:t>
      </w:r>
    </w:p>
    <w:p w:rsidR="00C654BD" w:rsidP="00C654BD" w:rsidRDefault="00C654BD" w14:paraId="160E6115" w14:textId="49438CE8">
      <w:pPr>
        <w:spacing w:line="480" w:lineRule="auto"/>
        <w:rPr>
          <w:bCs/>
          <w:i/>
        </w:rPr>
      </w:pPr>
      <w:r>
        <w:rPr>
          <w:i/>
        </w:rPr>
        <w:t xml:space="preserve">Abstract:  </w:t>
      </w:r>
      <w:r>
        <w:t xml:space="preserve">This </w:t>
      </w:r>
      <w:r w:rsidRPr="008232DA" w:rsidR="008232DA">
        <w:t>final rule</w:t>
      </w:r>
      <w:r>
        <w:t>, at 18 CFR 35.2</w:t>
      </w:r>
      <w:r w:rsidR="00874D8E">
        <w:t>8</w:t>
      </w:r>
      <w:r>
        <w:t>(g)(1</w:t>
      </w:r>
      <w:r w:rsidR="00CD5DB1">
        <w:t>2</w:t>
      </w:r>
      <w:r>
        <w:t xml:space="preserve">), includes two IC activities.  Each RTO and ISO must have tariff provisions </w:t>
      </w:r>
      <w:r w:rsidRPr="002E7DF2">
        <w:t xml:space="preserve">that allow </w:t>
      </w:r>
      <w:r>
        <w:t xml:space="preserve">DER </w:t>
      </w:r>
      <w:r w:rsidRPr="002E7DF2">
        <w:t>aggregations to participate directly in the organized wholesale electric markets</w:t>
      </w:r>
      <w:r>
        <w:t xml:space="preserve">.  </w:t>
      </w:r>
      <w:r w:rsidRPr="00F02952">
        <w:t xml:space="preserve">In addition, each RTO and ISO must </w:t>
      </w:r>
      <w:r w:rsidRPr="00F02952" w:rsidR="00D85592">
        <w:t>updat</w:t>
      </w:r>
      <w:r w:rsidRPr="00F02952" w:rsidR="000E2994">
        <w:t>e</w:t>
      </w:r>
      <w:r w:rsidRPr="00F02952" w:rsidR="00D85592">
        <w:t xml:space="preserve"> the economic dispatch software accordingly</w:t>
      </w:r>
      <w:r w:rsidRPr="00F02952">
        <w:t>.</w:t>
      </w:r>
      <w:r>
        <w:t xml:space="preserve"> </w:t>
      </w:r>
    </w:p>
    <w:p w:rsidR="00C654BD" w:rsidP="00C654BD" w:rsidRDefault="00C654BD" w14:paraId="40AF2B3C" w14:textId="77777777">
      <w:pPr>
        <w:pStyle w:val="FERCparanumber"/>
        <w:numPr>
          <w:ilvl w:val="0"/>
          <w:numId w:val="0"/>
        </w:numPr>
        <w:rPr>
          <w:bCs/>
        </w:rPr>
      </w:pPr>
      <w:r w:rsidRPr="00B35522">
        <w:rPr>
          <w:bCs/>
          <w:i/>
        </w:rPr>
        <w:t>Type</w:t>
      </w:r>
      <w:r>
        <w:rPr>
          <w:bCs/>
          <w:i/>
        </w:rPr>
        <w:t>s</w:t>
      </w:r>
      <w:r w:rsidRPr="00B35522">
        <w:rPr>
          <w:bCs/>
          <w:i/>
        </w:rPr>
        <w:t xml:space="preserve"> of Respondent:</w:t>
      </w:r>
      <w:r w:rsidRPr="00B35522">
        <w:rPr>
          <w:bCs/>
        </w:rPr>
        <w:t xml:space="preserve"> </w:t>
      </w:r>
      <w:r w:rsidRPr="00344470">
        <w:rPr>
          <w:bCs/>
        </w:rPr>
        <w:t>RTOs and ISOs</w:t>
      </w:r>
    </w:p>
    <w:p w:rsidRPr="00F95DA3" w:rsidR="00C654BD" w:rsidP="00F02952" w:rsidRDefault="00C654BD" w14:paraId="1B1A7703" w14:textId="77777777">
      <w:pPr>
        <w:pStyle w:val="FERCparanumber"/>
        <w:numPr>
          <w:ilvl w:val="0"/>
          <w:numId w:val="0"/>
        </w:numPr>
      </w:pPr>
      <w:r w:rsidRPr="00F02952">
        <w:rPr>
          <w:i/>
          <w:iCs/>
        </w:rPr>
        <w:t>Frequency of Collection:</w:t>
      </w:r>
      <w:r>
        <w:t xml:space="preserve">  One time</w:t>
      </w:r>
    </w:p>
    <w:p w:rsidRPr="00B35522" w:rsidR="00C654BD" w:rsidP="00F02952" w:rsidRDefault="00C654BD" w14:paraId="61547C3D" w14:textId="24A23694">
      <w:pPr>
        <w:pStyle w:val="FERCparanumber"/>
        <w:numPr>
          <w:ilvl w:val="0"/>
          <w:numId w:val="0"/>
        </w:numPr>
      </w:pPr>
      <w:r w:rsidRPr="00B35522">
        <w:rPr>
          <w:i/>
        </w:rPr>
        <w:t>Estimate of Annual Burden</w:t>
      </w:r>
      <w:r w:rsidRPr="00B35522">
        <w:rPr>
          <w:b/>
          <w:iCs/>
          <w:vertAlign w:val="superscript"/>
        </w:rPr>
        <w:footnoteReference w:id="846"/>
      </w:r>
      <w:r w:rsidRPr="00B35522">
        <w:t>: The Commission estimates the total annual burden and cost</w:t>
      </w:r>
      <w:r w:rsidRPr="00B35522">
        <w:rPr>
          <w:b/>
          <w:vertAlign w:val="superscript"/>
        </w:rPr>
        <w:footnoteReference w:id="847"/>
      </w:r>
      <w:r w:rsidRPr="00B35522">
        <w:t xml:space="preserve"> for this </w:t>
      </w:r>
      <w:r w:rsidR="00CD026F">
        <w:t>IC</w:t>
      </w:r>
      <w:r w:rsidRPr="00B35522">
        <w:t xml:space="preserve"> in the </w:t>
      </w:r>
      <w:r>
        <w:t xml:space="preserve">following </w:t>
      </w:r>
      <w:r w:rsidRPr="00B35522">
        <w:t>table</w:t>
      </w:r>
      <w:r>
        <w:t>:</w:t>
      </w:r>
    </w:p>
    <w:p w:rsidRPr="002A4C61" w:rsidR="00C654BD" w:rsidP="00C654BD" w:rsidRDefault="00C654BD" w14:paraId="012F1B50" w14:textId="04D9354C">
      <w:pPr>
        <w:pStyle w:val="FERCparanumber"/>
        <w:numPr>
          <w:ilvl w:val="0"/>
          <w:numId w:val="0"/>
        </w:numPr>
      </w:pPr>
      <w:r>
        <w:t xml:space="preserve">In response to comments on the NOPR, we have increased the estimated burden and cost for the requirements of the </w:t>
      </w:r>
      <w:r w:rsidRPr="008232DA" w:rsidR="008232DA">
        <w:t>final rule</w:t>
      </w:r>
      <w:r>
        <w:t xml:space="preserve"> from those originally proposed in the NOPR. </w:t>
      </w:r>
      <w:r w:rsidRPr="002A4C61" w:rsidDel="00442C4F">
        <w:t xml:space="preserve"> </w:t>
      </w:r>
      <w:r w:rsidRPr="002A4C61">
        <w:t xml:space="preserve">The estimated burden and cost for the requirements contained in this </w:t>
      </w:r>
      <w:r w:rsidRPr="008232DA" w:rsidR="008232DA">
        <w:t>final rule</w:t>
      </w:r>
      <w:r w:rsidRPr="002A4C61">
        <w:t xml:space="preserve"> follow.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88"/>
        <w:gridCol w:w="1510"/>
        <w:gridCol w:w="1412"/>
        <w:gridCol w:w="1285"/>
        <w:gridCol w:w="1187"/>
        <w:gridCol w:w="1356"/>
        <w:gridCol w:w="1412"/>
      </w:tblGrid>
      <w:tr w:rsidRPr="00C654BD" w:rsidR="00C654BD" w:rsidTr="00C654BD" w14:paraId="19939980" w14:textId="77777777">
        <w:trPr>
          <w:cantSplit/>
          <w:trHeight w:val="64"/>
        </w:trPr>
        <w:tc>
          <w:tcPr>
            <w:tcW w:w="9350" w:type="dxa"/>
            <w:gridSpan w:val="7"/>
            <w:tcBorders>
              <w:bottom w:val="single" w:color="auto" w:sz="4" w:space="0"/>
            </w:tcBorders>
            <w:shd w:val="clear" w:color="auto" w:fill="auto"/>
          </w:tcPr>
          <w:p w:rsidRPr="00C654BD" w:rsidR="00C654BD" w:rsidP="00C654BD" w:rsidRDefault="00C654BD" w14:paraId="314E397C" w14:textId="77777777">
            <w:pPr>
              <w:widowControl/>
              <w:jc w:val="center"/>
              <w:rPr>
                <w:b/>
                <w:u w:val="single"/>
              </w:rPr>
            </w:pPr>
            <w:r w:rsidRPr="00C654BD">
              <w:rPr>
                <w:b/>
                <w:u w:val="single"/>
              </w:rPr>
              <w:t>Additions to FERC-516H, as implemented in the Final Rule in</w:t>
            </w:r>
          </w:p>
          <w:p w:rsidRPr="00C654BD" w:rsidR="00C654BD" w:rsidP="00C654BD" w:rsidRDefault="00C654BD" w14:paraId="21000A30" w14:textId="24896CA9">
            <w:pPr>
              <w:widowControl/>
              <w:jc w:val="center"/>
              <w:rPr>
                <w:b/>
                <w:u w:val="single"/>
              </w:rPr>
            </w:pPr>
            <w:r w:rsidRPr="00C654BD">
              <w:rPr>
                <w:b/>
                <w:u w:val="single"/>
              </w:rPr>
              <w:t>Docket No. RM18-9-000</w:t>
            </w:r>
          </w:p>
        </w:tc>
      </w:tr>
      <w:tr w:rsidRPr="00C654BD" w:rsidR="00C654BD" w:rsidTr="00C654BD" w14:paraId="495DAFA3" w14:textId="77777777">
        <w:trPr>
          <w:cantSplit/>
          <w:trHeight w:val="1925"/>
        </w:trPr>
        <w:tc>
          <w:tcPr>
            <w:tcW w:w="1188" w:type="dxa"/>
            <w:shd w:val="clear" w:color="auto" w:fill="auto"/>
            <w:vAlign w:val="center"/>
          </w:tcPr>
          <w:p w:rsidRPr="00C654BD" w:rsidR="00C654BD" w:rsidP="00C654BD" w:rsidRDefault="00C654BD" w14:paraId="4E74709B" w14:textId="77777777">
            <w:pPr>
              <w:widowControl/>
              <w:jc w:val="center"/>
              <w:rPr>
                <w:bCs/>
                <w:u w:val="single"/>
              </w:rPr>
            </w:pPr>
            <w:r w:rsidRPr="00C654BD">
              <w:rPr>
                <w:bCs/>
                <w:u w:val="single"/>
              </w:rPr>
              <w:t>A.</w:t>
            </w:r>
          </w:p>
          <w:p w:rsidRPr="00C654BD" w:rsidR="00C654BD" w:rsidP="00C654BD" w:rsidRDefault="00C654BD" w14:paraId="6410D17C" w14:textId="77777777">
            <w:pPr>
              <w:widowControl/>
              <w:jc w:val="center"/>
              <w:rPr>
                <w:bCs/>
                <w:u w:val="single"/>
              </w:rPr>
            </w:pPr>
            <w:r w:rsidRPr="00C654BD">
              <w:rPr>
                <w:bCs/>
                <w:u w:val="single"/>
              </w:rPr>
              <w:t>Types of Response</w:t>
            </w:r>
          </w:p>
        </w:tc>
        <w:tc>
          <w:tcPr>
            <w:tcW w:w="1510" w:type="dxa"/>
            <w:shd w:val="clear" w:color="auto" w:fill="auto"/>
            <w:vAlign w:val="center"/>
          </w:tcPr>
          <w:p w:rsidRPr="00C654BD" w:rsidR="00C654BD" w:rsidP="00C654BD" w:rsidRDefault="00C654BD" w14:paraId="74416074" w14:textId="77777777">
            <w:pPr>
              <w:widowControl/>
              <w:jc w:val="center"/>
              <w:rPr>
                <w:bCs/>
              </w:rPr>
            </w:pPr>
            <w:r w:rsidRPr="00C654BD">
              <w:rPr>
                <w:bCs/>
              </w:rPr>
              <w:t>B.</w:t>
            </w:r>
          </w:p>
          <w:p w:rsidRPr="00C654BD" w:rsidR="00C654BD" w:rsidP="00C654BD" w:rsidRDefault="00C654BD" w14:paraId="0B1E3D40" w14:textId="77777777">
            <w:pPr>
              <w:widowControl/>
              <w:jc w:val="center"/>
              <w:rPr>
                <w:bCs/>
              </w:rPr>
            </w:pPr>
            <w:r w:rsidRPr="00C654BD">
              <w:rPr>
                <w:bCs/>
              </w:rPr>
              <w:t>No. of Respondents</w:t>
            </w:r>
          </w:p>
        </w:tc>
        <w:tc>
          <w:tcPr>
            <w:tcW w:w="1412" w:type="dxa"/>
            <w:shd w:val="clear" w:color="auto" w:fill="auto"/>
            <w:vAlign w:val="center"/>
          </w:tcPr>
          <w:p w:rsidRPr="00C654BD" w:rsidR="00C654BD" w:rsidP="00C654BD" w:rsidRDefault="00C654BD" w14:paraId="22208483" w14:textId="77777777">
            <w:pPr>
              <w:widowControl/>
              <w:jc w:val="center"/>
              <w:rPr>
                <w:bCs/>
              </w:rPr>
            </w:pPr>
            <w:r w:rsidRPr="00C654BD">
              <w:rPr>
                <w:bCs/>
              </w:rPr>
              <w:t>C.</w:t>
            </w:r>
          </w:p>
          <w:p w:rsidRPr="00C654BD" w:rsidR="00C654BD" w:rsidP="00C654BD" w:rsidRDefault="00C654BD" w14:paraId="54885B46" w14:textId="77777777">
            <w:pPr>
              <w:widowControl/>
              <w:jc w:val="center"/>
              <w:rPr>
                <w:bCs/>
              </w:rPr>
            </w:pPr>
            <w:r w:rsidRPr="00C654BD">
              <w:rPr>
                <w:bCs/>
              </w:rPr>
              <w:t>Avg. No. of Responses per Respondent</w:t>
            </w:r>
          </w:p>
        </w:tc>
        <w:tc>
          <w:tcPr>
            <w:tcW w:w="1285" w:type="dxa"/>
            <w:shd w:val="clear" w:color="auto" w:fill="auto"/>
            <w:vAlign w:val="center"/>
          </w:tcPr>
          <w:p w:rsidRPr="00C654BD" w:rsidR="00C654BD" w:rsidP="00C654BD" w:rsidRDefault="00C654BD" w14:paraId="0E22636D" w14:textId="77777777">
            <w:pPr>
              <w:widowControl/>
              <w:jc w:val="center"/>
              <w:rPr>
                <w:bCs/>
              </w:rPr>
            </w:pPr>
            <w:r w:rsidRPr="00C654BD">
              <w:rPr>
                <w:bCs/>
              </w:rPr>
              <w:t>D.</w:t>
            </w:r>
          </w:p>
          <w:p w:rsidRPr="00C654BD" w:rsidR="00C654BD" w:rsidP="00C654BD" w:rsidRDefault="00C654BD" w14:paraId="584CFBA7" w14:textId="77777777">
            <w:pPr>
              <w:widowControl/>
              <w:jc w:val="center"/>
              <w:rPr>
                <w:bCs/>
              </w:rPr>
            </w:pPr>
            <w:r w:rsidRPr="00C654BD">
              <w:rPr>
                <w:bCs/>
              </w:rPr>
              <w:t>Total Number of Responses</w:t>
            </w:r>
          </w:p>
          <w:p w:rsidRPr="00C654BD" w:rsidR="00C654BD" w:rsidP="00C654BD" w:rsidRDefault="00C654BD" w14:paraId="1C5F1235" w14:textId="77777777">
            <w:pPr>
              <w:widowControl/>
              <w:jc w:val="center"/>
              <w:rPr>
                <w:bCs/>
              </w:rPr>
            </w:pPr>
            <w:r w:rsidRPr="00C654BD">
              <w:rPr>
                <w:bCs/>
              </w:rPr>
              <w:t>(Col. B x Col. C)</w:t>
            </w:r>
          </w:p>
        </w:tc>
        <w:tc>
          <w:tcPr>
            <w:tcW w:w="1187" w:type="dxa"/>
            <w:shd w:val="clear" w:color="auto" w:fill="auto"/>
            <w:vAlign w:val="center"/>
          </w:tcPr>
          <w:p w:rsidRPr="00C654BD" w:rsidR="00C654BD" w:rsidP="00C654BD" w:rsidRDefault="00C654BD" w14:paraId="064A3B3F" w14:textId="77777777">
            <w:pPr>
              <w:widowControl/>
              <w:jc w:val="center"/>
              <w:rPr>
                <w:bCs/>
              </w:rPr>
            </w:pPr>
            <w:r w:rsidRPr="00C654BD">
              <w:rPr>
                <w:bCs/>
              </w:rPr>
              <w:t>E.</w:t>
            </w:r>
          </w:p>
          <w:p w:rsidRPr="00C654BD" w:rsidR="00C654BD" w:rsidP="00C654BD" w:rsidRDefault="00C654BD" w14:paraId="68CF9801" w14:textId="77777777">
            <w:pPr>
              <w:widowControl/>
              <w:jc w:val="center"/>
              <w:rPr>
                <w:bCs/>
              </w:rPr>
            </w:pPr>
            <w:r w:rsidRPr="00C654BD">
              <w:rPr>
                <w:bCs/>
              </w:rPr>
              <w:t>Average Burden (Hours) &amp; Cost Per Response</w:t>
            </w:r>
          </w:p>
        </w:tc>
        <w:tc>
          <w:tcPr>
            <w:tcW w:w="1356" w:type="dxa"/>
            <w:shd w:val="clear" w:color="auto" w:fill="auto"/>
            <w:vAlign w:val="center"/>
          </w:tcPr>
          <w:p w:rsidRPr="00C654BD" w:rsidR="00C654BD" w:rsidP="00C654BD" w:rsidRDefault="00C654BD" w14:paraId="7F07606F" w14:textId="77777777">
            <w:pPr>
              <w:widowControl/>
              <w:jc w:val="center"/>
              <w:rPr>
                <w:bCs/>
              </w:rPr>
            </w:pPr>
            <w:r w:rsidRPr="00C654BD">
              <w:rPr>
                <w:bCs/>
              </w:rPr>
              <w:t>F.</w:t>
            </w:r>
          </w:p>
          <w:p w:rsidRPr="00C654BD" w:rsidR="00C654BD" w:rsidP="00C654BD" w:rsidRDefault="00C654BD" w14:paraId="590B8F1D" w14:textId="77777777">
            <w:pPr>
              <w:widowControl/>
              <w:jc w:val="center"/>
              <w:rPr>
                <w:bCs/>
              </w:rPr>
            </w:pPr>
            <w:r w:rsidRPr="00C654BD">
              <w:rPr>
                <w:bCs/>
              </w:rPr>
              <w:t>Total Annual Burden Hours &amp; Total Annual Cost</w:t>
            </w:r>
          </w:p>
          <w:p w:rsidRPr="00C654BD" w:rsidR="00C654BD" w:rsidP="00C654BD" w:rsidRDefault="00C654BD" w14:paraId="2B7E3111" w14:textId="77777777">
            <w:pPr>
              <w:widowControl/>
              <w:jc w:val="center"/>
              <w:rPr>
                <w:bCs/>
              </w:rPr>
            </w:pPr>
            <w:r w:rsidRPr="00C654BD">
              <w:rPr>
                <w:bCs/>
              </w:rPr>
              <w:t>(Col. D x Col. E)</w:t>
            </w:r>
          </w:p>
        </w:tc>
        <w:tc>
          <w:tcPr>
            <w:tcW w:w="1412" w:type="dxa"/>
            <w:shd w:val="clear" w:color="auto" w:fill="auto"/>
            <w:vAlign w:val="center"/>
          </w:tcPr>
          <w:p w:rsidRPr="00C654BD" w:rsidR="00C654BD" w:rsidP="00C654BD" w:rsidRDefault="00C654BD" w14:paraId="232D1160" w14:textId="77777777">
            <w:pPr>
              <w:widowControl/>
              <w:jc w:val="center"/>
              <w:rPr>
                <w:bCs/>
              </w:rPr>
            </w:pPr>
            <w:r w:rsidRPr="00C654BD">
              <w:rPr>
                <w:bCs/>
              </w:rPr>
              <w:t>G.</w:t>
            </w:r>
          </w:p>
          <w:p w:rsidRPr="00C654BD" w:rsidR="00C654BD" w:rsidP="00C654BD" w:rsidRDefault="00C654BD" w14:paraId="13004C32" w14:textId="77777777">
            <w:pPr>
              <w:widowControl/>
              <w:jc w:val="center"/>
              <w:rPr>
                <w:bCs/>
              </w:rPr>
            </w:pPr>
            <w:r w:rsidRPr="00C654BD">
              <w:rPr>
                <w:bCs/>
              </w:rPr>
              <w:t>Cost per Respondent</w:t>
            </w:r>
          </w:p>
          <w:p w:rsidRPr="00C654BD" w:rsidR="00C654BD" w:rsidP="00C654BD" w:rsidRDefault="00C654BD" w14:paraId="0D77D61C" w14:textId="77777777">
            <w:pPr>
              <w:widowControl/>
              <w:jc w:val="center"/>
              <w:rPr>
                <w:bCs/>
              </w:rPr>
            </w:pPr>
            <w:r w:rsidRPr="00C654BD">
              <w:rPr>
                <w:bCs/>
              </w:rPr>
              <w:t>(Col. F ÷ Col. B)</w:t>
            </w:r>
          </w:p>
        </w:tc>
      </w:tr>
      <w:tr w:rsidRPr="00C654BD" w:rsidR="00C654BD" w:rsidTr="00C654BD" w14:paraId="2AD53F1C" w14:textId="77777777">
        <w:trPr>
          <w:cantSplit/>
          <w:trHeight w:val="584"/>
        </w:trPr>
        <w:tc>
          <w:tcPr>
            <w:tcW w:w="1188" w:type="dxa"/>
          </w:tcPr>
          <w:p w:rsidRPr="00C654BD" w:rsidR="00C654BD" w:rsidP="00C654BD" w:rsidRDefault="00C654BD" w14:paraId="2A27D449" w14:textId="77777777">
            <w:pPr>
              <w:widowControl/>
              <w:rPr>
                <w:u w:val="single"/>
              </w:rPr>
            </w:pPr>
            <w:r w:rsidRPr="00C654BD">
              <w:rPr>
                <w:u w:val="single"/>
              </w:rPr>
              <w:t xml:space="preserve">One-Time </w:t>
            </w:r>
          </w:p>
          <w:p w:rsidRPr="00C654BD" w:rsidR="00C654BD" w:rsidP="00C654BD" w:rsidRDefault="00C654BD" w14:paraId="5507C6B7" w14:textId="77777777">
            <w:pPr>
              <w:widowControl/>
              <w:rPr>
                <w:u w:val="single"/>
              </w:rPr>
            </w:pPr>
            <w:r w:rsidRPr="00C654BD">
              <w:rPr>
                <w:u w:val="single"/>
              </w:rPr>
              <w:t xml:space="preserve">Tariff Filing Due to RM18-9 Final Rule </w:t>
            </w:r>
          </w:p>
        </w:tc>
        <w:tc>
          <w:tcPr>
            <w:tcW w:w="1510" w:type="dxa"/>
            <w:vAlign w:val="center"/>
          </w:tcPr>
          <w:p w:rsidRPr="00C654BD" w:rsidR="00C654BD" w:rsidP="00C654BD" w:rsidRDefault="00C654BD" w14:paraId="265F3E49" w14:textId="77777777">
            <w:pPr>
              <w:widowControl/>
              <w:jc w:val="right"/>
            </w:pPr>
            <w:r w:rsidRPr="00C654BD">
              <w:t>6</w:t>
            </w:r>
          </w:p>
        </w:tc>
        <w:tc>
          <w:tcPr>
            <w:tcW w:w="1412" w:type="dxa"/>
            <w:vAlign w:val="center"/>
          </w:tcPr>
          <w:p w:rsidRPr="00C654BD" w:rsidR="00C654BD" w:rsidP="00C654BD" w:rsidRDefault="00C654BD" w14:paraId="2EE54E43" w14:textId="77777777">
            <w:pPr>
              <w:widowControl/>
              <w:jc w:val="right"/>
            </w:pPr>
            <w:r w:rsidRPr="00C654BD">
              <w:t>1</w:t>
            </w:r>
          </w:p>
        </w:tc>
        <w:tc>
          <w:tcPr>
            <w:tcW w:w="1285" w:type="dxa"/>
            <w:vAlign w:val="center"/>
          </w:tcPr>
          <w:p w:rsidRPr="00C654BD" w:rsidR="00C654BD" w:rsidP="00C654BD" w:rsidRDefault="00C654BD" w14:paraId="2DF82EB7" w14:textId="77777777">
            <w:pPr>
              <w:widowControl/>
              <w:jc w:val="right"/>
            </w:pPr>
            <w:r w:rsidRPr="00C654BD">
              <w:t>6</w:t>
            </w:r>
          </w:p>
        </w:tc>
        <w:tc>
          <w:tcPr>
            <w:tcW w:w="1187" w:type="dxa"/>
            <w:vAlign w:val="center"/>
          </w:tcPr>
          <w:p w:rsidRPr="00C654BD" w:rsidR="00C654BD" w:rsidP="00C654BD" w:rsidRDefault="00C654BD" w14:paraId="2524FC2C" w14:textId="77777777">
            <w:pPr>
              <w:widowControl/>
              <w:jc w:val="right"/>
            </w:pPr>
            <w:r w:rsidRPr="00C654BD">
              <w:t>1,529 hrs;</w:t>
            </w:r>
          </w:p>
          <w:p w:rsidRPr="00C654BD" w:rsidR="00C654BD" w:rsidP="00C654BD" w:rsidRDefault="00C654BD" w14:paraId="16EAE7B9" w14:textId="77777777">
            <w:pPr>
              <w:widowControl/>
              <w:jc w:val="right"/>
            </w:pPr>
            <w:r w:rsidRPr="00C654BD">
              <w:t>$126,907</w:t>
            </w:r>
          </w:p>
        </w:tc>
        <w:tc>
          <w:tcPr>
            <w:tcW w:w="1356" w:type="dxa"/>
            <w:vAlign w:val="center"/>
          </w:tcPr>
          <w:p w:rsidRPr="00C654BD" w:rsidR="00C654BD" w:rsidP="00C654BD" w:rsidRDefault="00C654BD" w14:paraId="4CC85F7A" w14:textId="77777777">
            <w:pPr>
              <w:widowControl/>
              <w:jc w:val="right"/>
            </w:pPr>
            <w:r w:rsidRPr="00C654BD">
              <w:t>9,174 hrs;</w:t>
            </w:r>
          </w:p>
          <w:p w:rsidRPr="00C654BD" w:rsidR="00C654BD" w:rsidP="00C654BD" w:rsidRDefault="00C654BD" w14:paraId="3E0398CC" w14:textId="77777777">
            <w:pPr>
              <w:widowControl/>
              <w:jc w:val="center"/>
            </w:pPr>
            <w:r w:rsidRPr="00C654BD">
              <w:t>$761,442</w:t>
            </w:r>
          </w:p>
        </w:tc>
        <w:tc>
          <w:tcPr>
            <w:tcW w:w="1412" w:type="dxa"/>
            <w:vAlign w:val="center"/>
          </w:tcPr>
          <w:p w:rsidRPr="00C654BD" w:rsidR="00C654BD" w:rsidP="00C654BD" w:rsidRDefault="00C654BD" w14:paraId="2B099CE8" w14:textId="77777777">
            <w:pPr>
              <w:widowControl/>
              <w:jc w:val="right"/>
            </w:pPr>
            <w:r w:rsidRPr="00C654BD">
              <w:t>$126,907</w:t>
            </w:r>
          </w:p>
        </w:tc>
      </w:tr>
      <w:tr w:rsidRPr="00C654BD" w:rsidR="00C654BD" w:rsidTr="00C654BD" w14:paraId="0C6602A7" w14:textId="77777777">
        <w:trPr>
          <w:cantSplit/>
          <w:trHeight w:val="584"/>
        </w:trPr>
        <w:tc>
          <w:tcPr>
            <w:tcW w:w="1188" w:type="dxa"/>
          </w:tcPr>
          <w:p w:rsidRPr="00C654BD" w:rsidR="00C654BD" w:rsidP="00C654BD" w:rsidRDefault="00C654BD" w14:paraId="51E2CBF2" w14:textId="77777777">
            <w:pPr>
              <w:widowControl/>
              <w:rPr>
                <w:u w:val="single"/>
              </w:rPr>
            </w:pPr>
            <w:r w:rsidRPr="00C654BD">
              <w:rPr>
                <w:u w:val="single"/>
              </w:rPr>
              <w:t>Software Update</w:t>
            </w:r>
          </w:p>
        </w:tc>
        <w:tc>
          <w:tcPr>
            <w:tcW w:w="1510" w:type="dxa"/>
            <w:vAlign w:val="center"/>
          </w:tcPr>
          <w:p w:rsidRPr="00C654BD" w:rsidR="00C654BD" w:rsidP="00C654BD" w:rsidRDefault="00C654BD" w14:paraId="04B6D44A" w14:textId="77777777">
            <w:pPr>
              <w:widowControl/>
            </w:pPr>
            <w:r w:rsidRPr="00C654BD">
              <w:t>6</w:t>
            </w:r>
          </w:p>
        </w:tc>
        <w:tc>
          <w:tcPr>
            <w:tcW w:w="1412" w:type="dxa"/>
            <w:vAlign w:val="center"/>
          </w:tcPr>
          <w:p w:rsidRPr="00C654BD" w:rsidR="00C654BD" w:rsidP="00C654BD" w:rsidRDefault="00C654BD" w14:paraId="74FAD865" w14:textId="77777777">
            <w:pPr>
              <w:widowControl/>
            </w:pPr>
            <w:r w:rsidRPr="00C654BD">
              <w:t>1</w:t>
            </w:r>
          </w:p>
        </w:tc>
        <w:tc>
          <w:tcPr>
            <w:tcW w:w="1285" w:type="dxa"/>
            <w:vAlign w:val="center"/>
          </w:tcPr>
          <w:p w:rsidRPr="00C654BD" w:rsidR="00C654BD" w:rsidP="00C654BD" w:rsidRDefault="00C654BD" w14:paraId="564C9FC3" w14:textId="77777777">
            <w:pPr>
              <w:widowControl/>
            </w:pPr>
            <w:r w:rsidRPr="00C654BD">
              <w:t>6</w:t>
            </w:r>
          </w:p>
        </w:tc>
        <w:tc>
          <w:tcPr>
            <w:tcW w:w="1187" w:type="dxa"/>
            <w:vAlign w:val="center"/>
          </w:tcPr>
          <w:p w:rsidRPr="00C654BD" w:rsidR="00C654BD" w:rsidP="00C654BD" w:rsidRDefault="00C654BD" w14:paraId="5499EC75" w14:textId="77777777">
            <w:pPr>
              <w:widowControl/>
            </w:pPr>
            <w:r w:rsidRPr="00C654BD">
              <w:t>1,500 hrs;</w:t>
            </w:r>
          </w:p>
          <w:p w:rsidRPr="00C654BD" w:rsidR="00C654BD" w:rsidP="00C654BD" w:rsidRDefault="00C654BD" w14:paraId="30111E92" w14:textId="77777777">
            <w:pPr>
              <w:widowControl/>
            </w:pPr>
            <w:r w:rsidRPr="00C654BD">
              <w:t>$124,500</w:t>
            </w:r>
          </w:p>
        </w:tc>
        <w:tc>
          <w:tcPr>
            <w:tcW w:w="1356" w:type="dxa"/>
            <w:vAlign w:val="center"/>
          </w:tcPr>
          <w:p w:rsidRPr="00C654BD" w:rsidR="00C654BD" w:rsidP="00C654BD" w:rsidRDefault="00C654BD" w14:paraId="1BCE8741" w14:textId="77777777">
            <w:pPr>
              <w:widowControl/>
            </w:pPr>
            <w:r w:rsidRPr="00C654BD">
              <w:t>9,000 hrs;</w:t>
            </w:r>
          </w:p>
          <w:p w:rsidRPr="00C654BD" w:rsidR="00C654BD" w:rsidP="00C654BD" w:rsidRDefault="00C654BD" w14:paraId="5D2795A3" w14:textId="77777777">
            <w:pPr>
              <w:widowControl/>
            </w:pPr>
            <w:r w:rsidRPr="00C654BD">
              <w:t>$747,000</w:t>
            </w:r>
          </w:p>
        </w:tc>
        <w:tc>
          <w:tcPr>
            <w:tcW w:w="1412" w:type="dxa"/>
            <w:vAlign w:val="center"/>
          </w:tcPr>
          <w:p w:rsidRPr="00C654BD" w:rsidR="00C654BD" w:rsidP="00C654BD" w:rsidRDefault="00C654BD" w14:paraId="52A483ED" w14:textId="77777777">
            <w:pPr>
              <w:widowControl/>
            </w:pPr>
            <w:r w:rsidRPr="00C654BD">
              <w:t>$124,500</w:t>
            </w:r>
          </w:p>
        </w:tc>
      </w:tr>
      <w:tr w:rsidRPr="00C654BD" w:rsidR="00C654BD" w:rsidTr="00C654BD" w14:paraId="3E293166" w14:textId="77777777">
        <w:trPr>
          <w:cantSplit/>
          <w:trHeight w:val="584"/>
        </w:trPr>
        <w:tc>
          <w:tcPr>
            <w:tcW w:w="1188" w:type="dxa"/>
          </w:tcPr>
          <w:p w:rsidRPr="00C654BD" w:rsidR="00C654BD" w:rsidP="00C654BD" w:rsidRDefault="00C654BD" w14:paraId="40807531" w14:textId="77777777">
            <w:pPr>
              <w:widowControl/>
              <w:rPr>
                <w:u w:val="single"/>
              </w:rPr>
            </w:pPr>
            <w:r w:rsidRPr="00C654BD">
              <w:rPr>
                <w:u w:val="single"/>
              </w:rPr>
              <w:t>Total Burden</w:t>
            </w:r>
          </w:p>
        </w:tc>
        <w:tc>
          <w:tcPr>
            <w:tcW w:w="1510" w:type="dxa"/>
            <w:vAlign w:val="center"/>
          </w:tcPr>
          <w:p w:rsidRPr="00C654BD" w:rsidR="00C654BD" w:rsidP="00C654BD" w:rsidRDefault="00C654BD" w14:paraId="1B1CBF4E" w14:textId="77777777">
            <w:pPr>
              <w:widowControl/>
            </w:pPr>
          </w:p>
        </w:tc>
        <w:tc>
          <w:tcPr>
            <w:tcW w:w="1412" w:type="dxa"/>
            <w:vAlign w:val="center"/>
          </w:tcPr>
          <w:p w:rsidRPr="00C654BD" w:rsidR="00C654BD" w:rsidP="00C654BD" w:rsidRDefault="00C654BD" w14:paraId="38E3D965" w14:textId="77777777">
            <w:pPr>
              <w:widowControl/>
            </w:pPr>
          </w:p>
        </w:tc>
        <w:tc>
          <w:tcPr>
            <w:tcW w:w="1285" w:type="dxa"/>
            <w:vAlign w:val="center"/>
          </w:tcPr>
          <w:p w:rsidRPr="00C654BD" w:rsidR="00C654BD" w:rsidP="00C654BD" w:rsidRDefault="00C654BD" w14:paraId="1817CB2A" w14:textId="77777777">
            <w:pPr>
              <w:widowControl/>
            </w:pPr>
          </w:p>
        </w:tc>
        <w:tc>
          <w:tcPr>
            <w:tcW w:w="1187" w:type="dxa"/>
            <w:vAlign w:val="center"/>
          </w:tcPr>
          <w:p w:rsidRPr="00C654BD" w:rsidR="00C654BD" w:rsidP="00C654BD" w:rsidRDefault="00C654BD" w14:paraId="63D9CB12" w14:textId="77777777">
            <w:pPr>
              <w:widowControl/>
            </w:pPr>
            <w:r w:rsidRPr="00C654BD">
              <w:t>3029 hrs;</w:t>
            </w:r>
          </w:p>
          <w:p w:rsidRPr="00C654BD" w:rsidR="00C654BD" w:rsidP="00C654BD" w:rsidRDefault="00C654BD" w14:paraId="35504FF3" w14:textId="77777777">
            <w:pPr>
              <w:widowControl/>
            </w:pPr>
            <w:r w:rsidRPr="00C654BD">
              <w:t>$251,407</w:t>
            </w:r>
          </w:p>
        </w:tc>
        <w:tc>
          <w:tcPr>
            <w:tcW w:w="1356" w:type="dxa"/>
            <w:vAlign w:val="center"/>
          </w:tcPr>
          <w:p w:rsidRPr="00C654BD" w:rsidR="00C654BD" w:rsidP="00C654BD" w:rsidRDefault="00C654BD" w14:paraId="6517F205" w14:textId="77777777">
            <w:pPr>
              <w:widowControl/>
            </w:pPr>
            <w:r w:rsidRPr="00C654BD">
              <w:t>18,174 hrs;</w:t>
            </w:r>
          </w:p>
          <w:p w:rsidRPr="00C654BD" w:rsidR="00C654BD" w:rsidP="00C654BD" w:rsidRDefault="00C654BD" w14:paraId="62AC945D" w14:textId="77777777">
            <w:pPr>
              <w:widowControl/>
            </w:pPr>
            <w:r w:rsidRPr="00C654BD">
              <w:t>$1,508,442</w:t>
            </w:r>
          </w:p>
        </w:tc>
        <w:tc>
          <w:tcPr>
            <w:tcW w:w="1412" w:type="dxa"/>
            <w:vAlign w:val="center"/>
          </w:tcPr>
          <w:p w:rsidRPr="00C654BD" w:rsidR="00C654BD" w:rsidP="00C654BD" w:rsidRDefault="00C654BD" w14:paraId="11C498DE" w14:textId="77777777">
            <w:pPr>
              <w:widowControl/>
            </w:pPr>
            <w:r w:rsidRPr="00C654BD">
              <w:t>$251,407</w:t>
            </w:r>
          </w:p>
        </w:tc>
      </w:tr>
    </w:tbl>
    <w:p w:rsidR="00C654BD" w:rsidP="00C654BD" w:rsidRDefault="00C654BD" w14:paraId="58EA9C35" w14:textId="331B2988">
      <w:pPr>
        <w:pStyle w:val="FERCparanumber"/>
        <w:numPr>
          <w:ilvl w:val="0"/>
          <w:numId w:val="0"/>
        </w:numPr>
      </w:pPr>
    </w:p>
    <w:p w:rsidR="00C654BD" w:rsidP="00C654BD" w:rsidRDefault="00C654BD" w14:paraId="34150F2A" w14:textId="6099BD42">
      <w:pPr>
        <w:pStyle w:val="Heading2"/>
      </w:pPr>
      <w:bookmarkStart w:name="_bmk99" w:id="147"/>
      <w:r>
        <w:t>D</w:t>
      </w:r>
      <w:bookmarkEnd w:id="147"/>
      <w:r>
        <w:t>iscussion</w:t>
      </w:r>
    </w:p>
    <w:p w:rsidR="00C654BD" w:rsidP="00C654BD" w:rsidRDefault="00C654BD" w14:paraId="7B302B24" w14:textId="3385D694">
      <w:pPr>
        <w:pStyle w:val="FERCparanumber"/>
      </w:pPr>
      <w:r w:rsidRPr="00971BA0">
        <w:t xml:space="preserve">The Commission implements this </w:t>
      </w:r>
      <w:r w:rsidRPr="008232DA" w:rsidR="008232DA">
        <w:t>final rule</w:t>
      </w:r>
      <w:r w:rsidRPr="00971BA0">
        <w:t xml:space="preserve"> </w:t>
      </w:r>
      <w:r>
        <w:t xml:space="preserve">and FERC-516H </w:t>
      </w:r>
      <w:r w:rsidRPr="00971BA0">
        <w:t>to</w:t>
      </w:r>
      <w:r w:rsidRPr="002A4C61">
        <w:t xml:space="preserve"> </w:t>
      </w:r>
      <w:r w:rsidRPr="004D7570">
        <w:t xml:space="preserve">remove barriers to the participation of distributed energy resource aggregations in the capacity, energy, and ancillary service markets operated by </w:t>
      </w:r>
      <w:r>
        <w:t>RTOs and ISOs</w:t>
      </w:r>
      <w:r w:rsidRPr="004D7570">
        <w:t>.</w:t>
      </w:r>
      <w:r>
        <w:t xml:space="preserve">  </w:t>
      </w:r>
      <w:r w:rsidRPr="00971BA0">
        <w:t>Th</w:t>
      </w:r>
      <w:r w:rsidR="004C0EA7">
        <w:t>is</w:t>
      </w:r>
      <w:r w:rsidRPr="00971BA0">
        <w:t xml:space="preserve"> </w:t>
      </w:r>
      <w:r>
        <w:t xml:space="preserve">IC in this </w:t>
      </w:r>
      <w:r w:rsidRPr="008232DA" w:rsidR="008232DA">
        <w:t>final rule</w:t>
      </w:r>
      <w:r w:rsidRPr="00971BA0">
        <w:t xml:space="preserve"> conform</w:t>
      </w:r>
      <w:r w:rsidR="008F551B">
        <w:t>s</w:t>
      </w:r>
      <w:r w:rsidRPr="00971BA0">
        <w:t xml:space="preserve"> to the Commission’s need for efficient information collection, communication, and management within the energy industry</w:t>
      </w:r>
      <w:r>
        <w:t>.</w:t>
      </w:r>
    </w:p>
    <w:p w:rsidRPr="004D2777" w:rsidR="00D62C87" w:rsidP="00D62C87" w:rsidRDefault="002A4C61" w14:paraId="3E720404" w14:textId="5060AFB7">
      <w:pPr>
        <w:pStyle w:val="FERCparanumber"/>
        <w:rPr>
          <w:lang w:val="fr-FR"/>
        </w:rPr>
      </w:pPr>
      <w:r w:rsidRPr="002A4C61">
        <w:t xml:space="preserve">In this </w:t>
      </w:r>
      <w:r w:rsidRPr="008232DA" w:rsidR="008232DA">
        <w:t>final rule</w:t>
      </w:r>
      <w:r w:rsidRPr="002A4C61">
        <w:t xml:space="preserve">, we are requiring each RTO/ISO to propose revisions to its tariff </w:t>
      </w:r>
      <w:r w:rsidR="00031A55">
        <w:t>that</w:t>
      </w:r>
      <w:r w:rsidRPr="002A4C61">
        <w:t xml:space="preserve"> </w:t>
      </w:r>
      <w:r w:rsidRPr="00767729" w:rsidR="00DE1391">
        <w:t xml:space="preserve">(1) </w:t>
      </w:r>
      <w:r w:rsidRPr="00A27EC6" w:rsidR="00DE1391">
        <w:t>allow distributed energy resource aggregations to participate directly in RTO/ISO markets and establish distributed energy resource aggregators as a type of market participant; (2) allow distributed energy resource aggregators to register</w:t>
      </w:r>
      <w:r w:rsidRPr="00767729" w:rsidR="00DE1391">
        <w:t xml:space="preserve"> distributed energy resource aggregations </w:t>
      </w:r>
      <w:r w:rsidRPr="00A27EC6" w:rsidR="00DE1391">
        <w:t>under one or more</w:t>
      </w:r>
      <w:r w:rsidRPr="00767729" w:rsidR="00DE1391">
        <w:t xml:space="preserve"> participation models </w:t>
      </w:r>
      <w:r w:rsidR="00DE1391">
        <w:t xml:space="preserve">that </w:t>
      </w:r>
      <w:r w:rsidRPr="00A27EC6" w:rsidR="00DE1391">
        <w:t>accommodate the physical and operational characteristics</w:t>
      </w:r>
      <w:r w:rsidRPr="00767729" w:rsidR="00DE1391">
        <w:t xml:space="preserve"> of </w:t>
      </w:r>
      <w:r w:rsidR="00DE1391">
        <w:t xml:space="preserve">the </w:t>
      </w:r>
      <w:r w:rsidRPr="00767729" w:rsidR="00DE1391">
        <w:t>distributed energy resource aggregations</w:t>
      </w:r>
      <w:r w:rsidR="00DE1391">
        <w:t>;</w:t>
      </w:r>
      <w:r w:rsidRPr="00767729" w:rsidR="00DE1391">
        <w:t xml:space="preserve"> (3) </w:t>
      </w:r>
      <w:r w:rsidRPr="00185DC2" w:rsidR="00DE1391">
        <w:t>establish a minimum size requirement for distributed energy resource aggregations that does not exceed 100 kW</w:t>
      </w:r>
      <w:r w:rsidR="00DE1391">
        <w:t>;</w:t>
      </w:r>
      <w:r w:rsidRPr="00767729" w:rsidR="00DE1391">
        <w:t xml:space="preserve"> (</w:t>
      </w:r>
      <w:r w:rsidR="00DE1391">
        <w:t>4</w:t>
      </w:r>
      <w:r w:rsidRPr="00767729" w:rsidR="00DE1391">
        <w:t xml:space="preserve">) </w:t>
      </w:r>
      <w:r w:rsidR="00DE1391">
        <w:t xml:space="preserve">address </w:t>
      </w:r>
      <w:r w:rsidRPr="00767729" w:rsidR="00DE1391">
        <w:t>locational requirements for distributed energy resource aggregations</w:t>
      </w:r>
      <w:r w:rsidR="00875421">
        <w:t>;</w:t>
      </w:r>
      <w:r w:rsidRPr="00767729" w:rsidR="00DE1391">
        <w:t xml:space="preserve"> (</w:t>
      </w:r>
      <w:r w:rsidR="00DE1391">
        <w:t>5</w:t>
      </w:r>
      <w:r w:rsidRPr="00767729" w:rsidR="00DE1391">
        <w:t>) address distribution factor</w:t>
      </w:r>
      <w:r w:rsidR="00DE1391">
        <w:t>s</w:t>
      </w:r>
      <w:r w:rsidRPr="00767729" w:rsidR="00DE1391">
        <w:t xml:space="preserve"> and bidding parameter</w:t>
      </w:r>
      <w:r w:rsidR="00DE1391">
        <w:t>s</w:t>
      </w:r>
      <w:r w:rsidRPr="00767729" w:rsidR="00DE1391">
        <w:t xml:space="preserve"> for distributed energy resource aggregat</w:t>
      </w:r>
      <w:r w:rsidR="00DE1391">
        <w:t>ion</w:t>
      </w:r>
      <w:r w:rsidRPr="00767729" w:rsidR="00DE1391">
        <w:t>s</w:t>
      </w:r>
      <w:r w:rsidR="00DE1391">
        <w:t>;</w:t>
      </w:r>
      <w:r w:rsidRPr="00767729" w:rsidR="00DE1391">
        <w:t xml:space="preserve"> (</w:t>
      </w:r>
      <w:r w:rsidR="00DE1391">
        <w:t>6</w:t>
      </w:r>
      <w:r w:rsidRPr="00767729" w:rsidR="00DE1391">
        <w:t xml:space="preserve">) </w:t>
      </w:r>
      <w:r w:rsidR="00DE1391">
        <w:t xml:space="preserve">address </w:t>
      </w:r>
      <w:r w:rsidRPr="00767729" w:rsidR="00DE1391">
        <w:t>information and data requirements for distributed energy resource aggregations</w:t>
      </w:r>
      <w:r w:rsidR="00DE1391">
        <w:t>;</w:t>
      </w:r>
      <w:r w:rsidRPr="00767729" w:rsidR="00DE1391">
        <w:t xml:space="preserve"> (</w:t>
      </w:r>
      <w:r w:rsidR="00DE1391">
        <w:t>7</w:t>
      </w:r>
      <w:r w:rsidRPr="00767729" w:rsidR="00DE1391">
        <w:t xml:space="preserve">) </w:t>
      </w:r>
      <w:r w:rsidR="00DE1391">
        <w:t xml:space="preserve">address </w:t>
      </w:r>
      <w:r w:rsidRPr="00767729" w:rsidR="00DE1391">
        <w:t xml:space="preserve">metering and telemetry </w:t>
      </w:r>
      <w:r w:rsidR="00DE1391">
        <w:t xml:space="preserve">requirements </w:t>
      </w:r>
      <w:r w:rsidRPr="00767729" w:rsidR="00DE1391">
        <w:t>for distributed energy resource aggregation</w:t>
      </w:r>
      <w:r w:rsidR="00DE1391">
        <w:t>s;</w:t>
      </w:r>
      <w:r w:rsidRPr="00767729" w:rsidR="00DE1391">
        <w:t xml:space="preserve"> (</w:t>
      </w:r>
      <w:r w:rsidR="00DE1391">
        <w:t>8</w:t>
      </w:r>
      <w:r w:rsidRPr="00767729" w:rsidR="00DE1391">
        <w:t xml:space="preserve">) </w:t>
      </w:r>
      <w:r w:rsidR="00DE1391">
        <w:t>address coordination between the RTO/ISO, the distributed energy resource aggregator, the distribution utility, and the relevant electric retail regulatory authorities;</w:t>
      </w:r>
      <w:r w:rsidRPr="00767729" w:rsidR="00DE1391">
        <w:t xml:space="preserve"> </w:t>
      </w:r>
      <w:r w:rsidR="00DE1391">
        <w:t xml:space="preserve">(9) </w:t>
      </w:r>
      <w:r w:rsidRPr="00185DC2" w:rsidR="00DE1391">
        <w:t>address modification to the list of resources in a distributed energy resource aggregation</w:t>
      </w:r>
      <w:r w:rsidR="00DE1391">
        <w:t xml:space="preserve">; </w:t>
      </w:r>
      <w:r w:rsidRPr="00767729" w:rsidR="00DE1391">
        <w:t xml:space="preserve">and </w:t>
      </w:r>
      <w:r w:rsidR="00875421">
        <w:t xml:space="preserve"> </w:t>
      </w:r>
      <w:r w:rsidRPr="00767729" w:rsidR="00DE1391">
        <w:t xml:space="preserve">(10) </w:t>
      </w:r>
      <w:r w:rsidRPr="004D2777" w:rsidR="00DE1391">
        <w:t>address market participation agreements for distributed energy resource aggregators</w:t>
      </w:r>
      <w:r w:rsidRPr="004D2777" w:rsidR="008664C3">
        <w:t>.</w:t>
      </w:r>
    </w:p>
    <w:p w:rsidRPr="00971BA0" w:rsidR="002A4C61" w:rsidP="002A4C61" w:rsidRDefault="002A4C61" w14:paraId="118E9BED" w14:textId="662F44DF">
      <w:pPr>
        <w:pStyle w:val="FERCparanumber"/>
        <w:rPr>
          <w:lang w:val="fr-FR"/>
        </w:rPr>
      </w:pPr>
      <w:r w:rsidRPr="00971BA0">
        <w:t>Interested persons may obtain information on the reporting requirements by contacting Ellen Brown, Office of the Executive Director</w:t>
      </w:r>
      <w:r w:rsidR="008664C3">
        <w:t>,</w:t>
      </w:r>
      <w:r w:rsidR="008664C3">
        <w:rPr>
          <w:lang w:val="fr-FR"/>
        </w:rPr>
        <w:t xml:space="preserve"> </w:t>
      </w:r>
      <w:r w:rsidRPr="00971BA0">
        <w:rPr>
          <w:lang w:val="fr-FR"/>
        </w:rPr>
        <w:t xml:space="preserve">E-mail: DataClearance@ferc.gov; Phone: (202) 502-8663.  </w:t>
      </w:r>
    </w:p>
    <w:p w:rsidRPr="00971BA0" w:rsidR="002A4C61" w:rsidP="0066265D" w:rsidRDefault="002A4C61" w14:paraId="6BFFDF06" w14:textId="77777777">
      <w:pPr>
        <w:pStyle w:val="Heading1"/>
      </w:pPr>
      <w:bookmarkStart w:name="_bmk100" w:id="148"/>
      <w:bookmarkStart w:name="_Toc464143504" w:id="149"/>
      <w:bookmarkStart w:name="_Toc465190139" w:id="150"/>
      <w:bookmarkStart w:name="_Toc465346099" w:id="151"/>
      <w:bookmarkStart w:name="_Toc465931997" w:id="152"/>
      <w:bookmarkStart w:name="_Toc497745756" w:id="153"/>
      <w:bookmarkStart w:name="_Toc497919411" w:id="154"/>
      <w:bookmarkStart w:name="_Toc497920341" w:id="155"/>
      <w:bookmarkStart w:name="_Toc497920501" w:id="156"/>
      <w:bookmarkStart w:name="_Toc498598243" w:id="157"/>
      <w:bookmarkStart w:name="_Toc498611888" w:id="158"/>
      <w:bookmarkStart w:name="_Toc498612163" w:id="159"/>
      <w:bookmarkStart w:name="_Toc498613597" w:id="160"/>
      <w:bookmarkStart w:name="_Toc499649211" w:id="161"/>
      <w:bookmarkStart w:name="_Toc499716028" w:id="162"/>
      <w:bookmarkStart w:name="_Toc499720347" w:id="163"/>
      <w:bookmarkStart w:name="_Toc499721715" w:id="164"/>
      <w:bookmarkStart w:name="_Toc499722642" w:id="165"/>
      <w:bookmarkStart w:name="_Toc499725551" w:id="166"/>
      <w:bookmarkStart w:name="_Toc499730708" w:id="167"/>
      <w:bookmarkStart w:name="_Toc500505863" w:id="168"/>
      <w:bookmarkStart w:name="_Toc500843608" w:id="169"/>
      <w:bookmarkStart w:name="_Toc500856396" w:id="170"/>
      <w:bookmarkStart w:name="_Toc500937599" w:id="171"/>
      <w:bookmarkStart w:name="_Toc500939253" w:id="172"/>
      <w:bookmarkStart w:name="_Toc501368351" w:id="173"/>
      <w:bookmarkStart w:name="_Toc501369532" w:id="174"/>
      <w:bookmarkStart w:name="_Toc501376084" w:id="175"/>
      <w:bookmarkStart w:name="_Toc501376354" w:id="176"/>
      <w:bookmarkStart w:name="_Toc501381297" w:id="177"/>
      <w:bookmarkStart w:name="_Toc501441061" w:id="178"/>
      <w:bookmarkStart w:name="_Toc501433690" w:id="179"/>
      <w:bookmarkStart w:name="_Toc501444756" w:id="180"/>
      <w:bookmarkStart w:name="_Toc501446924" w:id="181"/>
      <w:bookmarkStart w:name="_Toc501455474" w:id="182"/>
      <w:bookmarkStart w:name="_Toc501459372" w:id="183"/>
      <w:bookmarkStart w:name="_Toc501460868" w:id="184"/>
      <w:bookmarkStart w:name="_Toc501465756" w:id="185"/>
      <w:bookmarkStart w:name="_Toc501466367" w:id="186"/>
      <w:bookmarkStart w:name="_Toc501467969" w:id="187"/>
      <w:bookmarkStart w:name="_Toc501544859" w:id="188"/>
      <w:bookmarkStart w:name="_Toc501549394" w:id="189"/>
      <w:bookmarkStart w:name="_Toc501550657" w:id="190"/>
      <w:bookmarkStart w:name="_Toc501550787" w:id="191"/>
      <w:bookmarkStart w:name="_Toc501552126" w:id="192"/>
      <w:bookmarkStart w:name="_Toc501553953" w:id="193"/>
      <w:bookmarkStart w:name="_Toc501554480" w:id="194"/>
      <w:bookmarkStart w:name="_Toc501556656" w:id="195"/>
      <w:bookmarkStart w:name="_Toc501558496" w:id="196"/>
      <w:bookmarkStart w:name="_Toc501561462" w:id="197"/>
      <w:bookmarkStart w:name="_Toc501561553" w:id="198"/>
      <w:bookmarkStart w:name="_Toc501640200" w:id="199"/>
      <w:bookmarkStart w:name="_Toc501644423" w:id="200"/>
      <w:bookmarkStart w:name="_Toc501647577" w:id="201"/>
      <w:bookmarkStart w:name="_Toc501650335" w:id="202"/>
      <w:bookmarkStart w:name="_Toc501652141" w:id="203"/>
      <w:bookmarkStart w:name="_Toc501721845" w:id="204"/>
      <w:bookmarkStart w:name="_Toc501726796" w:id="205"/>
      <w:bookmarkStart w:name="_Toc502671879" w:id="206"/>
      <w:bookmarkStart w:name="_Toc502674039" w:id="207"/>
      <w:bookmarkStart w:name="_Toc502757903" w:id="208"/>
      <w:bookmarkStart w:name="_Toc502758169" w:id="209"/>
      <w:bookmarkStart w:name="_Toc502759833" w:id="210"/>
      <w:bookmarkStart w:name="_Toc502761563" w:id="211"/>
      <w:bookmarkStart w:name="_Toc502762022" w:id="212"/>
      <w:bookmarkStart w:name="_Toc502762688" w:id="213"/>
      <w:bookmarkStart w:name="_Toc502762937" w:id="214"/>
      <w:bookmarkStart w:name="_Toc502764279" w:id="215"/>
      <w:bookmarkStart w:name="_Toc502764488" w:id="216"/>
      <w:bookmarkStart w:name="_Toc502833733" w:id="217"/>
      <w:bookmarkStart w:name="_Toc502839030" w:id="218"/>
      <w:bookmarkStart w:name="_Toc502846518" w:id="219"/>
      <w:bookmarkStart w:name="_Toc502849055" w:id="220"/>
      <w:bookmarkStart w:name="_Toc502849476" w:id="221"/>
      <w:bookmarkStart w:name="_Toc502869564" w:id="222"/>
      <w:bookmarkStart w:name="_Toc502870051" w:id="223"/>
      <w:bookmarkStart w:name="_Toc502911698" w:id="224"/>
      <w:bookmarkStart w:name="_Toc502917156" w:id="225"/>
      <w:bookmarkStart w:name="_Toc502919614" w:id="226"/>
      <w:bookmarkStart w:name="_Toc502922413" w:id="227"/>
      <w:bookmarkStart w:name="_Toc502923786" w:id="228"/>
      <w:bookmarkStart w:name="_Toc502924434" w:id="229"/>
      <w:bookmarkStart w:name="_Toc503188468" w:id="230"/>
      <w:bookmarkStart w:name="_Toc502934315" w:id="231"/>
      <w:bookmarkStart w:name="_Toc502934458" w:id="232"/>
      <w:bookmarkStart w:name="_Toc502935379" w:id="233"/>
      <w:bookmarkStart w:name="_Toc502935429" w:id="234"/>
      <w:bookmarkStart w:name="_Toc503189954" w:id="235"/>
      <w:bookmarkStart w:name="_Toc503192505" w:id="236"/>
      <w:bookmarkStart w:name="_Toc503192573" w:id="237"/>
      <w:bookmarkStart w:name="_Toc503193443" w:id="238"/>
      <w:bookmarkStart w:name="_Toc503194258" w:id="239"/>
      <w:bookmarkStart w:name="_Toc503210895" w:id="240"/>
      <w:bookmarkStart w:name="_Toc503257700" w:id="241"/>
      <w:bookmarkStart w:name="_Toc503257878" w:id="242"/>
      <w:bookmarkStart w:name="_Toc503258756" w:id="243"/>
      <w:bookmarkStart w:name="_Toc503266214" w:id="244"/>
      <w:bookmarkStart w:name="_Toc503271623" w:id="245"/>
      <w:bookmarkStart w:name="_Toc503273705" w:id="246"/>
      <w:bookmarkStart w:name="_Toc503277804" w:id="247"/>
      <w:bookmarkStart w:name="_Toc503280360" w:id="248"/>
      <w:bookmarkStart w:name="_Toc503283185" w:id="249"/>
      <w:bookmarkStart w:name="_Toc503284280" w:id="250"/>
      <w:bookmarkStart w:name="_Toc503287468" w:id="251"/>
      <w:bookmarkStart w:name="_Toc503370251" w:id="252"/>
      <w:bookmarkStart w:name="_Toc504393061" w:id="253"/>
      <w:bookmarkStart w:name="_Toc504401995" w:id="254"/>
      <w:bookmarkStart w:name="_Toc504408354" w:id="255"/>
      <w:bookmarkStart w:name="_Toc504470330" w:id="256"/>
      <w:bookmarkStart w:name="_Toc504474008" w:id="257"/>
      <w:bookmarkStart w:name="_Toc504573853" w:id="258"/>
      <w:r w:rsidRPr="00971BA0">
        <w:t>E</w:t>
      </w:r>
      <w:bookmarkEnd w:id="148"/>
      <w:r w:rsidRPr="00971BA0">
        <w:t>nvironmental Analysis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971BA0">
        <w:t xml:space="preserve"> </w:t>
      </w:r>
    </w:p>
    <w:p w:rsidRPr="00971BA0" w:rsidR="002A4C61" w:rsidP="002A4C61" w:rsidRDefault="002A4C61" w14:paraId="521BEC61" w14:textId="5E097D39">
      <w:pPr>
        <w:pStyle w:val="FERCparanumber"/>
      </w:pPr>
      <w:r w:rsidRPr="00971BA0">
        <w:t>The Commission is required to prepare an Environmental Assessment or an Environmental Impact Statement for any action that may have a significant adverse effect on the human environment.</w:t>
      </w:r>
      <w:r w:rsidRPr="00971BA0">
        <w:rPr>
          <w:b/>
          <w:vertAlign w:val="superscript"/>
        </w:rPr>
        <w:footnoteReference w:id="848"/>
      </w:r>
      <w:r w:rsidRPr="00971BA0">
        <w:t xml:space="preserve">  We conclude that neither an Environmental Assessment nor an Environmental Impact Statement is required for this </w:t>
      </w:r>
      <w:r w:rsidRPr="008232DA" w:rsidR="008232DA">
        <w:t>final rule</w:t>
      </w:r>
      <w:r w:rsidRPr="00971BA0">
        <w:t xml:space="preserve"> under </w:t>
      </w:r>
      <w:r w:rsidRPr="00971BA0">
        <w:br/>
      </w:r>
      <w:r w:rsidR="00611BDD">
        <w:t xml:space="preserve">§ </w:t>
      </w:r>
      <w:r w:rsidRPr="00971BA0">
        <w:t>380.4(a)(15) of the Commission’s regulations, which provides a categorical exemption for approval of actions under sections 205 and 206 of the FPA relating to the filing of schedules containing all rates and charges for the transmission or sale of electric energy subject to the Commission’s jurisdiction, plus the classification, practices, contracts, and regulations that affect rates, charges, classifications, and services.</w:t>
      </w:r>
      <w:r w:rsidRPr="00971BA0">
        <w:rPr>
          <w:b/>
          <w:vertAlign w:val="superscript"/>
        </w:rPr>
        <w:footnoteReference w:id="849"/>
      </w:r>
    </w:p>
    <w:p w:rsidRPr="00971BA0" w:rsidR="002A4C61" w:rsidP="009804E4" w:rsidRDefault="002A4C61" w14:paraId="1448212E" w14:textId="3A72C436">
      <w:pPr>
        <w:pStyle w:val="Heading1"/>
      </w:pPr>
      <w:bookmarkStart w:name="_bmk101" w:id="259"/>
      <w:bookmarkStart w:name="_Toc460425573" w:id="260"/>
      <w:bookmarkStart w:name="_Toc460916490" w:id="261"/>
      <w:bookmarkStart w:name="_Toc463007848" w:id="262"/>
      <w:bookmarkStart w:name="_Toc463012722" w:id="263"/>
      <w:bookmarkStart w:name="_Toc464143503" w:id="264"/>
      <w:bookmarkStart w:name="_Toc465190138" w:id="265"/>
      <w:bookmarkStart w:name="_Toc465346098" w:id="266"/>
      <w:bookmarkStart w:name="_Toc465931996" w:id="267"/>
      <w:bookmarkStart w:name="_Toc497745757" w:id="268"/>
      <w:bookmarkStart w:name="_Toc497919412" w:id="269"/>
      <w:bookmarkStart w:name="_Toc497920342" w:id="270"/>
      <w:bookmarkStart w:name="_Toc497920502" w:id="271"/>
      <w:bookmarkStart w:name="_Toc498598244" w:id="272"/>
      <w:bookmarkStart w:name="_Toc498611889" w:id="273"/>
      <w:bookmarkStart w:name="_Toc498612164" w:id="274"/>
      <w:bookmarkStart w:name="_Toc498613598" w:id="275"/>
      <w:bookmarkStart w:name="_Toc499649212" w:id="276"/>
      <w:bookmarkStart w:name="_Toc499716029" w:id="277"/>
      <w:bookmarkStart w:name="_Toc499720348" w:id="278"/>
      <w:bookmarkStart w:name="_Toc499721716" w:id="279"/>
      <w:bookmarkStart w:name="_Toc499722643" w:id="280"/>
      <w:bookmarkStart w:name="_Toc499725552" w:id="281"/>
      <w:bookmarkStart w:name="_Toc499730709" w:id="282"/>
      <w:bookmarkStart w:name="_Toc500505864" w:id="283"/>
      <w:bookmarkStart w:name="_Toc500843609" w:id="284"/>
      <w:bookmarkStart w:name="_Toc500856397" w:id="285"/>
      <w:bookmarkStart w:name="_Toc500937600" w:id="286"/>
      <w:bookmarkStart w:name="_Toc500939254" w:id="287"/>
      <w:bookmarkStart w:name="_Toc501368352" w:id="288"/>
      <w:bookmarkStart w:name="_Toc501369533" w:id="289"/>
      <w:bookmarkStart w:name="_Toc501376085" w:id="290"/>
      <w:bookmarkStart w:name="_Toc501376355" w:id="291"/>
      <w:bookmarkStart w:name="_Toc501381298" w:id="292"/>
      <w:bookmarkStart w:name="_Toc501441062" w:id="293"/>
      <w:bookmarkStart w:name="_Toc501433691" w:id="294"/>
      <w:bookmarkStart w:name="_Toc501444757" w:id="295"/>
      <w:bookmarkStart w:name="_Toc501446925" w:id="296"/>
      <w:bookmarkStart w:name="_Toc501455475" w:id="297"/>
      <w:bookmarkStart w:name="_Toc501459373" w:id="298"/>
      <w:bookmarkStart w:name="_Toc501460869" w:id="299"/>
      <w:bookmarkStart w:name="_Toc501465757" w:id="300"/>
      <w:bookmarkStart w:name="_Toc501466368" w:id="301"/>
      <w:bookmarkStart w:name="_Toc501467970" w:id="302"/>
      <w:bookmarkStart w:name="_Toc501544860" w:id="303"/>
      <w:bookmarkStart w:name="_Toc501549395" w:id="304"/>
      <w:bookmarkStart w:name="_Toc501550658" w:id="305"/>
      <w:bookmarkStart w:name="_Toc501550788" w:id="306"/>
      <w:bookmarkStart w:name="_Toc501552127" w:id="307"/>
      <w:bookmarkStart w:name="_Toc501553954" w:id="308"/>
      <w:bookmarkStart w:name="_Toc501554481" w:id="309"/>
      <w:bookmarkStart w:name="_Toc501556657" w:id="310"/>
      <w:bookmarkStart w:name="_Toc501558497" w:id="311"/>
      <w:bookmarkStart w:name="_Toc501561463" w:id="312"/>
      <w:bookmarkStart w:name="_Toc501561554" w:id="313"/>
      <w:bookmarkStart w:name="_Toc501640201" w:id="314"/>
      <w:bookmarkStart w:name="_Toc501644424" w:id="315"/>
      <w:bookmarkStart w:name="_Toc501647578" w:id="316"/>
      <w:bookmarkStart w:name="_Toc501650336" w:id="317"/>
      <w:bookmarkStart w:name="_Toc501652142" w:id="318"/>
      <w:bookmarkStart w:name="_Toc501721846" w:id="319"/>
      <w:bookmarkStart w:name="_Toc501726797" w:id="320"/>
      <w:bookmarkStart w:name="_Toc502671880" w:id="321"/>
      <w:bookmarkStart w:name="_Toc502674040" w:id="322"/>
      <w:bookmarkStart w:name="_Toc502757904" w:id="323"/>
      <w:bookmarkStart w:name="_Toc502758170" w:id="324"/>
      <w:bookmarkStart w:name="_Toc502759834" w:id="325"/>
      <w:bookmarkStart w:name="_Toc502761564" w:id="326"/>
      <w:bookmarkStart w:name="_Toc502762023" w:id="327"/>
      <w:bookmarkStart w:name="_Toc502762689" w:id="328"/>
      <w:bookmarkStart w:name="_Toc502762938" w:id="329"/>
      <w:bookmarkStart w:name="_Toc502764280" w:id="330"/>
      <w:bookmarkStart w:name="_Toc502764489" w:id="331"/>
      <w:bookmarkStart w:name="_Toc502833734" w:id="332"/>
      <w:bookmarkStart w:name="_Toc502839031" w:id="333"/>
      <w:bookmarkStart w:name="_Toc502846519" w:id="334"/>
      <w:bookmarkStart w:name="_Toc502849056" w:id="335"/>
      <w:bookmarkStart w:name="_Toc502849477" w:id="336"/>
      <w:bookmarkStart w:name="_Toc502869565" w:id="337"/>
      <w:bookmarkStart w:name="_Toc502870052" w:id="338"/>
      <w:bookmarkStart w:name="_Toc502911699" w:id="339"/>
      <w:bookmarkStart w:name="_Toc502917157" w:id="340"/>
      <w:bookmarkStart w:name="_Toc502919615" w:id="341"/>
      <w:bookmarkStart w:name="_Toc502922414" w:id="342"/>
      <w:bookmarkStart w:name="_Toc502923787" w:id="343"/>
      <w:bookmarkStart w:name="_Toc502924435" w:id="344"/>
      <w:bookmarkStart w:name="_Toc503188469" w:id="345"/>
      <w:bookmarkStart w:name="_Toc502934316" w:id="346"/>
      <w:bookmarkStart w:name="_Toc502934459" w:id="347"/>
      <w:bookmarkStart w:name="_Toc502935380" w:id="348"/>
      <w:bookmarkStart w:name="_Toc502935430" w:id="349"/>
      <w:bookmarkStart w:name="_Toc503189955" w:id="350"/>
      <w:bookmarkStart w:name="_Toc503192506" w:id="351"/>
      <w:bookmarkStart w:name="_Toc503192574" w:id="352"/>
      <w:bookmarkStart w:name="_Toc503193444" w:id="353"/>
      <w:bookmarkStart w:name="_Toc503194259" w:id="354"/>
      <w:bookmarkStart w:name="_Toc503210896" w:id="355"/>
      <w:bookmarkStart w:name="_Toc503257701" w:id="356"/>
      <w:bookmarkStart w:name="_Toc503257879" w:id="357"/>
      <w:bookmarkStart w:name="_Toc503258757" w:id="358"/>
      <w:bookmarkStart w:name="_Toc503266215" w:id="359"/>
      <w:bookmarkStart w:name="_Toc503271624" w:id="360"/>
      <w:bookmarkStart w:name="_Toc503273706" w:id="361"/>
      <w:bookmarkStart w:name="_Toc503277805" w:id="362"/>
      <w:bookmarkStart w:name="_Toc503280361" w:id="363"/>
      <w:bookmarkStart w:name="_Toc503283186" w:id="364"/>
      <w:bookmarkStart w:name="_Toc503284281" w:id="365"/>
      <w:bookmarkStart w:name="_Toc503287469" w:id="366"/>
      <w:bookmarkStart w:name="_Toc503370252" w:id="367"/>
      <w:bookmarkStart w:name="_Toc504393062" w:id="368"/>
      <w:bookmarkStart w:name="_Toc504401996" w:id="369"/>
      <w:bookmarkStart w:name="_Toc504408355" w:id="370"/>
      <w:bookmarkStart w:name="_Toc504470331" w:id="371"/>
      <w:bookmarkStart w:name="_Toc504474009" w:id="372"/>
      <w:bookmarkStart w:name="_Toc504573854" w:id="373"/>
      <w:r w:rsidRPr="00971BA0">
        <w:t>R</w:t>
      </w:r>
      <w:bookmarkEnd w:id="259"/>
      <w:r w:rsidRPr="00971BA0">
        <w:t>egulatory Flexibility Act Certification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971BA0">
        <w:t xml:space="preserve"> </w:t>
      </w:r>
    </w:p>
    <w:p w:rsidRPr="00971BA0" w:rsidR="002A4C61" w:rsidP="002A4C61" w:rsidRDefault="002A4C61" w14:paraId="2E2D9051" w14:textId="21D3BBC4">
      <w:pPr>
        <w:pStyle w:val="FERCparanumber"/>
      </w:pPr>
      <w:bookmarkStart w:name="_Toc503370253" w:id="374"/>
      <w:r w:rsidRPr="00971BA0">
        <w:t>T</w:t>
      </w:r>
      <w:bookmarkEnd w:id="374"/>
      <w:r w:rsidRPr="00971BA0">
        <w:t>he Regulatory Flexibility Act of 1980 (RFA)</w:t>
      </w:r>
      <w:r w:rsidRPr="00971BA0">
        <w:rPr>
          <w:b/>
          <w:vertAlign w:val="superscript"/>
        </w:rPr>
        <w:footnoteReference w:id="850"/>
      </w:r>
      <w:r w:rsidRPr="00971BA0">
        <w:t xml:space="preserve"> generally requires a description and analysis of rules that will have a significant economic impact on a substantial number of small entities.  The RFA mandates consideration of regulatory alternatives that accomplish the stated objectives of a rule and that minimize any significant economic impact on a substantial number of small entities.  The SBA Office of Size Standards develops the numerical definition of a small business.</w:t>
      </w:r>
      <w:r w:rsidRPr="00971BA0">
        <w:rPr>
          <w:b/>
          <w:vertAlign w:val="superscript"/>
        </w:rPr>
        <w:footnoteReference w:id="851"/>
      </w:r>
      <w:r w:rsidRPr="00971BA0">
        <w:t xml:space="preserve">  The small business size standards are provided in 13 CFR 121.201. </w:t>
      </w:r>
    </w:p>
    <w:p w:rsidRPr="002A4C61" w:rsidR="002A4C61" w:rsidP="002A4C61" w:rsidRDefault="002A4C61" w14:paraId="25064C84" w14:textId="44478B72">
      <w:pPr>
        <w:pStyle w:val="FERCparanumber"/>
      </w:pPr>
      <w:r w:rsidRPr="002A4C61">
        <w:t>Under the SBA classification, the six RTOs/ISOs would be considered electric bulk power transmission and control, for which the small business size threshold is 500 or fewer employees.</w:t>
      </w:r>
      <w:r w:rsidRPr="002A4C61">
        <w:rPr>
          <w:b/>
          <w:vertAlign w:val="superscript"/>
        </w:rPr>
        <w:footnoteReference w:id="852"/>
      </w:r>
      <w:r w:rsidRPr="002A4C61">
        <w:t xml:space="preserve">  Because each RTO/ISO has more than 500 employees, none are considered small entities.  </w:t>
      </w:r>
    </w:p>
    <w:p w:rsidRPr="002A4C61" w:rsidR="002A4C61" w:rsidP="002A4C61" w:rsidRDefault="002A4C61" w14:paraId="7DB23CAA" w14:textId="33D29160">
      <w:pPr>
        <w:pStyle w:val="FERCparanumber"/>
      </w:pPr>
      <w:r w:rsidRPr="002A4C61">
        <w:t>Furthermore, because of their pivotal roles in wholesale electric power markets in their regions, none of the RTOs/ISOs meet the last criterion of the two-part RFA definition of a small entity:  “not dominant in its field of operation.”</w:t>
      </w:r>
      <w:r w:rsidRPr="002A4C61">
        <w:rPr>
          <w:b/>
          <w:vertAlign w:val="superscript"/>
        </w:rPr>
        <w:footnoteReference w:id="853"/>
      </w:r>
      <w:r w:rsidRPr="002A4C61">
        <w:t xml:space="preserve">  </w:t>
      </w:r>
    </w:p>
    <w:p w:rsidRPr="002A4C61" w:rsidR="002A4C61" w:rsidP="002A4C61" w:rsidRDefault="002A4C61" w14:paraId="39CE485C" w14:textId="11623EF9">
      <w:pPr>
        <w:pStyle w:val="FERCparanumber"/>
      </w:pPr>
      <w:r w:rsidRPr="002A4C61">
        <w:t xml:space="preserve">The estimated cost related to this </w:t>
      </w:r>
      <w:r w:rsidRPr="008232DA" w:rsidR="008232DA">
        <w:t>final rule</w:t>
      </w:r>
      <w:r w:rsidRPr="002A4C61">
        <w:t xml:space="preserve"> includes:  (a) preparing and making a one-time tariff filing (</w:t>
      </w:r>
      <w:r w:rsidRPr="00971BA0">
        <w:t>$</w:t>
      </w:r>
      <w:r w:rsidR="00321F7D">
        <w:t>126,907</w:t>
      </w:r>
      <w:r w:rsidRPr="002A4C61">
        <w:t xml:space="preserve"> per entity, as detailed in the Information Collection section above), and (b) updating the economic dispatch software.  We estimate the one-time software work will take </w:t>
      </w:r>
      <w:r w:rsidRPr="00971BA0">
        <w:t>1,500</w:t>
      </w:r>
      <w:r w:rsidRPr="002A4C61">
        <w:t xml:space="preserve"> hours with an approximate cost of </w:t>
      </w:r>
      <w:r w:rsidRPr="00971BA0">
        <w:t>$</w:t>
      </w:r>
      <w:r w:rsidR="00321F7D">
        <w:t>124,500</w:t>
      </w:r>
      <w:r w:rsidRPr="002A4C61">
        <w:t xml:space="preserve"> per entity.  Therefore</w:t>
      </w:r>
      <w:r w:rsidR="008308DA">
        <w:t>,</w:t>
      </w:r>
      <w:r w:rsidRPr="002A4C61">
        <w:t xml:space="preserve"> the total estimated one-time cost for the tariff filing and software work is </w:t>
      </w:r>
      <w:r w:rsidRPr="00971BA0">
        <w:t>$</w:t>
      </w:r>
      <w:r w:rsidRPr="00971BA0" w:rsidR="00346BE0">
        <w:t>2</w:t>
      </w:r>
      <w:r w:rsidR="00346BE0">
        <w:t>51,407</w:t>
      </w:r>
      <w:r w:rsidRPr="002A4C61">
        <w:t xml:space="preserve"> per entity (or </w:t>
      </w:r>
      <w:r w:rsidRPr="00971BA0">
        <w:t>$</w:t>
      </w:r>
      <w:r w:rsidR="00346BE0">
        <w:t>126,907</w:t>
      </w:r>
      <w:r w:rsidRPr="00971BA0">
        <w:t xml:space="preserve"> + $1</w:t>
      </w:r>
      <w:r w:rsidR="00346BE0">
        <w:t>24</w:t>
      </w:r>
      <w:r w:rsidRPr="00971BA0">
        <w:t>,</w:t>
      </w:r>
      <w:r w:rsidR="00346BE0">
        <w:t>5</w:t>
      </w:r>
      <w:r w:rsidRPr="00971BA0">
        <w:t>00</w:t>
      </w:r>
      <w:r w:rsidRPr="002A4C61">
        <w:t xml:space="preserve">); the total estimated one-time industry cost is </w:t>
      </w:r>
      <w:r w:rsidRPr="00971BA0">
        <w:t>$1,</w:t>
      </w:r>
      <w:r w:rsidR="00346BE0">
        <w:t>508</w:t>
      </w:r>
      <w:r w:rsidRPr="00971BA0" w:rsidR="00695826">
        <w:t>,</w:t>
      </w:r>
      <w:r w:rsidR="00346BE0">
        <w:t>442</w:t>
      </w:r>
      <w:r w:rsidRPr="002A4C61">
        <w:t>.</w:t>
      </w:r>
    </w:p>
    <w:p w:rsidRPr="00A972FF" w:rsidR="00A054BC" w:rsidP="00454A58" w:rsidRDefault="002A4C61" w14:paraId="5A7CD95D" w14:textId="5E31EF5A">
      <w:pPr>
        <w:pStyle w:val="FERCparanumber"/>
      </w:pPr>
      <w:r w:rsidRPr="002763BE">
        <w:t xml:space="preserve">As a result, we certify that the reforms required by this </w:t>
      </w:r>
      <w:r w:rsidRPr="008232DA" w:rsidR="008232DA">
        <w:t>final rule</w:t>
      </w:r>
      <w:r w:rsidRPr="002763BE">
        <w:t xml:space="preserve"> would not have a significant economic impact on a substantial number of small entities</w:t>
      </w:r>
      <w:r w:rsidRPr="002A4C61">
        <w:t>, and therefore no regulatory flexibility analysis is required.</w:t>
      </w:r>
      <w:r w:rsidRPr="002A4C61">
        <w:rPr>
          <w:b/>
        </w:rPr>
        <w:t xml:space="preserve">  </w:t>
      </w:r>
    </w:p>
    <w:p w:rsidRPr="00395600" w:rsidR="00A054BC" w:rsidP="00A054BC" w:rsidRDefault="00A054BC" w14:paraId="62084F4B" w14:textId="50810FD2">
      <w:pPr>
        <w:pStyle w:val="Heading1"/>
      </w:pPr>
      <w:bookmarkStart w:name="_bmk102" w:id="375"/>
      <w:r w:rsidRPr="00395600">
        <w:t>D</w:t>
      </w:r>
      <w:bookmarkEnd w:id="375"/>
      <w:r w:rsidRPr="00395600">
        <w:t xml:space="preserve">ocument </w:t>
      </w:r>
      <w:r w:rsidRPr="00550FF9">
        <w:t>Availability</w:t>
      </w:r>
    </w:p>
    <w:p w:rsidRPr="00395600" w:rsidR="00A054BC" w:rsidP="00454A58" w:rsidRDefault="00A054BC" w14:paraId="73D6D433" w14:textId="72C52EB7">
      <w:pPr>
        <w:pStyle w:val="FERCparanumber"/>
      </w:pPr>
      <w:r w:rsidRPr="00395600">
        <w:t xml:space="preserve">In addition to publishing the full text of this document in the </w:t>
      </w:r>
      <w:r w:rsidRPr="00DE1391">
        <w:rPr>
          <w:i/>
        </w:rPr>
        <w:t>Federal Register</w:t>
      </w:r>
      <w:r w:rsidRPr="00395600">
        <w:t xml:space="preserve">, the Commission provides all interested persons an opportunity to view and/or print the contents of this document via the Internet through </w:t>
      </w:r>
      <w:r w:rsidR="00427269">
        <w:t>the Commission’</w:t>
      </w:r>
      <w:r w:rsidRPr="00395600">
        <w:t>s Home Page (</w:t>
      </w:r>
      <w:hyperlink w:history="1" r:id="rId17">
        <w:r w:rsidRPr="00395600">
          <w:rPr>
            <w:rStyle w:val="Hyperlink"/>
          </w:rPr>
          <w:t>http://www.ferc.gov</w:t>
        </w:r>
      </w:hyperlink>
      <w:r w:rsidRPr="00395600">
        <w:t>)</w:t>
      </w:r>
      <w:r w:rsidR="00427269">
        <w:t>.  At this time, the Commission has suspended access to the Commission’s</w:t>
      </w:r>
      <w:r w:rsidRPr="00395600">
        <w:t xml:space="preserve"> Public Reference Room </w:t>
      </w:r>
      <w:r w:rsidR="00427269">
        <w:t>due to the President’s March 13, 2020 proclamation declaring a National Emergency concerning the Novel Coronavirus Disease (COVID-19)</w:t>
      </w:r>
      <w:r w:rsidRPr="00395600">
        <w:t>.</w:t>
      </w:r>
    </w:p>
    <w:p w:rsidRPr="00395600" w:rsidR="00A054BC" w:rsidP="00454A58" w:rsidRDefault="00A054BC" w14:paraId="13978E35" w14:textId="119E0623">
      <w:pPr>
        <w:pStyle w:val="FERCparanumber"/>
      </w:pPr>
      <w:r w:rsidRPr="00395600">
        <w:t>From FERC</w:t>
      </w:r>
      <w:r w:rsidR="001B2F91">
        <w:t>’</w:t>
      </w:r>
      <w:r w:rsidRPr="00395600">
        <w:t>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Pr="00395600" w:rsidR="00A054BC" w:rsidP="00454A58" w:rsidRDefault="00A054BC" w14:paraId="38374D76" w14:textId="6E775F75">
      <w:pPr>
        <w:pStyle w:val="FERCparanumber"/>
      </w:pPr>
      <w:r w:rsidRPr="00395600">
        <w:t xml:space="preserve">User assistance is available for eLibrary and the FERC’s website during normal business hours from FERC Online Support at </w:t>
      </w:r>
      <w:r w:rsidR="00875421">
        <w:t>(</w:t>
      </w:r>
      <w:r w:rsidRPr="00395600">
        <w:t>202</w:t>
      </w:r>
      <w:r w:rsidR="00875421">
        <w:t xml:space="preserve">) </w:t>
      </w:r>
      <w:r w:rsidRPr="00395600">
        <w:t xml:space="preserve">502-6652 (toll free at 1-866-208-3676) or email at </w:t>
      </w:r>
      <w:hyperlink w:history="1" r:id="rId18">
        <w:r w:rsidRPr="00395600">
          <w:rPr>
            <w:rStyle w:val="Hyperlink"/>
          </w:rPr>
          <w:t>ferconlinesupport@ferc.gov</w:t>
        </w:r>
      </w:hyperlink>
      <w:r w:rsidRPr="00395600">
        <w:t xml:space="preserve">, or the Public Reference Room at (202) 502-8371, TTY (202)502-8659.  E-mail the Public Reference Room at </w:t>
      </w:r>
      <w:hyperlink w:history="1" r:id="rId19">
        <w:r w:rsidRPr="00395600">
          <w:rPr>
            <w:rStyle w:val="Hyperlink"/>
          </w:rPr>
          <w:t>public.referenceroom@ferc.gov</w:t>
        </w:r>
      </w:hyperlink>
      <w:r w:rsidRPr="00395600">
        <w:t>.</w:t>
      </w:r>
    </w:p>
    <w:p w:rsidRPr="00395600" w:rsidR="00A054BC" w:rsidP="00A054BC" w:rsidRDefault="00A054BC" w14:paraId="3CA38946" w14:textId="77777777">
      <w:pPr>
        <w:pStyle w:val="Heading1"/>
      </w:pPr>
      <w:bookmarkStart w:name="_bmk103" w:id="376"/>
      <w:r w:rsidRPr="00395600">
        <w:t>E</w:t>
      </w:r>
      <w:bookmarkEnd w:id="376"/>
      <w:r w:rsidRPr="00395600">
        <w:t>ffective Date and Congressional Notification</w:t>
      </w:r>
    </w:p>
    <w:p w:rsidRPr="00395600" w:rsidR="00A054BC" w:rsidP="00454A58" w:rsidRDefault="00A054BC" w14:paraId="68D6215D" w14:textId="55DE65A2">
      <w:pPr>
        <w:pStyle w:val="FERCparanumber"/>
        <w:rPr/>
      </w:pPr>
      <w:r w:rsidR="450EFAB4">
        <w:rPr/>
        <w:t xml:space="preserve">These regulations are effective </w:t>
      </w:r>
      <w:r w:rsidRPr="4DCAA8A0" w:rsidR="450EFAB4">
        <w:rPr>
          <w:b w:val="1"/>
          <w:bCs w:val="1"/>
        </w:rPr>
        <w:t>[</w:t>
      </w:r>
      <w:r w:rsidRPr="4DCAA8A0" w:rsidR="59B92215">
        <w:rPr>
          <w:b w:val="1"/>
          <w:bCs w:val="1"/>
        </w:rPr>
        <w:t>INSERT DATE 60</w:t>
      </w:r>
      <w:r w:rsidRPr="4DCAA8A0" w:rsidR="450EFAB4">
        <w:rPr>
          <w:b w:val="1"/>
          <w:bCs w:val="1"/>
        </w:rPr>
        <w:t xml:space="preserve"> days </w:t>
      </w:r>
      <w:r w:rsidRPr="4DCAA8A0" w:rsidR="59B92215">
        <w:rPr>
          <w:b w:val="1"/>
          <w:bCs w:val="1"/>
        </w:rPr>
        <w:t>after date of</w:t>
      </w:r>
      <w:r w:rsidRPr="4DCAA8A0" w:rsidR="450EFAB4">
        <w:rPr>
          <w:b w:val="1"/>
          <w:bCs w:val="1"/>
        </w:rPr>
        <w:t xml:space="preserve"> publication in F</w:t>
      </w:r>
      <w:r w:rsidRPr="4DCAA8A0" w:rsidR="05DF34CE">
        <w:rPr>
          <w:b w:val="1"/>
          <w:bCs w:val="1"/>
        </w:rPr>
        <w:t>EDERAL</w:t>
      </w:r>
      <w:r w:rsidRPr="4DCAA8A0" w:rsidR="450EFAB4">
        <w:rPr>
          <w:b w:val="1"/>
          <w:bCs w:val="1"/>
        </w:rPr>
        <w:t xml:space="preserve"> R</w:t>
      </w:r>
      <w:r w:rsidRPr="4DCAA8A0" w:rsidR="05DF34CE">
        <w:rPr>
          <w:b w:val="1"/>
          <w:bCs w:val="1"/>
        </w:rPr>
        <w:t>EGISTER</w:t>
      </w:r>
      <w:r w:rsidRPr="4DCAA8A0" w:rsidR="450EFAB4">
        <w:rPr>
          <w:b w:val="1"/>
          <w:bCs w:val="1"/>
        </w:rPr>
        <w:t>]</w:t>
      </w:r>
      <w:r w:rsidR="450EFAB4">
        <w:rPr/>
        <w:t xml:space="preserve">. The Commission has determined, with the concurrence of the Administrator of the Office of Information and Regulatory Affairs of OMB, that this rule </w:t>
      </w:r>
      <w:r>
        <w:fldChar w:fldCharType="begin"/>
      </w:r>
      <w:r>
        <w:instrText xml:space="preserve"> MACROBUTTON  NoMacro "[is_or_ is_ not]" </w:instrText>
      </w:r>
      <w:r>
        <w:fldChar w:fldCharType="end"/>
      </w:r>
      <w:r w:rsidR="450EFAB4">
        <w:rPr/>
        <w:t xml:space="preserve"> a “major rule” as defined in section 351 of the Small Business Regulatory Enforcement Fairness Act of 1996.</w:t>
      </w:r>
    </w:p>
    <w:p w:rsidRPr="00395600" w:rsidR="00A054BC" w:rsidP="002468EF" w:rsidRDefault="00A054BC" w14:paraId="79CACBF1" w14:textId="57D08506">
      <w:r w:rsidRPr="00395600">
        <w:rPr>
          <w:u w:val="single"/>
        </w:rPr>
        <w:t xml:space="preserve">List of subjects in 18 CFR Part </w:t>
      </w:r>
      <w:r w:rsidR="00F23DA9">
        <w:rPr>
          <w:u w:val="single"/>
        </w:rPr>
        <w:t>35</w:t>
      </w:r>
      <w:r w:rsidRPr="00395600" w:rsidR="00F23DA9">
        <w:rPr>
          <w:u w:val="single"/>
        </w:rPr>
        <w:t xml:space="preserve"> </w:t>
      </w:r>
    </w:p>
    <w:p w:rsidRPr="00395600" w:rsidR="00A054BC" w:rsidP="002468EF" w:rsidRDefault="00A054BC" w14:paraId="73FED09D" w14:textId="77777777"/>
    <w:p w:rsidRPr="002E7DF2" w:rsidR="002E7DF2" w:rsidP="002E7DF2" w:rsidRDefault="002E7DF2" w14:paraId="5AB64AE9" w14:textId="77777777">
      <w:r w:rsidRPr="002E7DF2">
        <w:t>Electric power rates, Electric utilities</w:t>
      </w:r>
    </w:p>
    <w:p w:rsidRPr="00395600" w:rsidR="00A054BC" w:rsidP="002468EF" w:rsidRDefault="00A054BC" w14:paraId="1195FED0" w14:textId="77777777"/>
    <w:p w:rsidR="00A4241F" w:rsidP="002468EF" w:rsidRDefault="00A054BC" w14:paraId="7823CDA4" w14:textId="77777777">
      <w:r w:rsidRPr="00395600">
        <w:t>By the Commission.</w:t>
      </w:r>
      <w:r w:rsidR="00FA595F">
        <w:t xml:space="preserve">  Commissioner Danly is dissenting with a separate statement</w:t>
      </w:r>
    </w:p>
    <w:p w:rsidR="00A054BC" w:rsidP="002468EF" w:rsidRDefault="00A4241F" w14:paraId="425D3B11" w14:textId="5677E54E">
      <w:r>
        <w:t xml:space="preserve">                                   attached.</w:t>
      </w:r>
    </w:p>
    <w:p w:rsidR="00FA595F" w:rsidP="002468EF" w:rsidRDefault="00FA595F" w14:paraId="34958C6F" w14:textId="6839402F"/>
    <w:p w:rsidR="00A054BC" w:rsidP="00FA595F" w:rsidRDefault="00FA595F" w14:paraId="2EA29F95" w14:textId="590FFCAD">
      <w:pPr>
        <w:widowControl/>
      </w:pPr>
      <w:r w:rsidRPr="00FA595F">
        <w:t>( S E A L )</w:t>
      </w:r>
    </w:p>
    <w:p w:rsidR="00FA595F" w:rsidP="00FA595F" w:rsidRDefault="00FA595F" w14:paraId="555D6A10" w14:textId="7BBAD342">
      <w:pPr>
        <w:widowControl/>
      </w:pPr>
    </w:p>
    <w:p w:rsidR="00FA595F" w:rsidP="00FA595F" w:rsidRDefault="00FA595F" w14:paraId="494776F3" w14:textId="55AB1860">
      <w:pPr>
        <w:widowControl/>
      </w:pPr>
    </w:p>
    <w:p w:rsidR="00FA595F" w:rsidP="00FA595F" w:rsidRDefault="00FA595F" w14:paraId="1FD2FB63" w14:textId="7C02B6A4">
      <w:pPr>
        <w:widowControl/>
      </w:pPr>
    </w:p>
    <w:p w:rsidRPr="00FA595F" w:rsidR="00FA595F" w:rsidP="00FA595F" w:rsidRDefault="00FA595F" w14:paraId="0F259BD4" w14:textId="5FF7864F">
      <w:pPr>
        <w:widowControl/>
        <w:ind w:firstLine="2606"/>
        <w:jc w:val="center"/>
      </w:pPr>
      <w:r w:rsidRPr="00FA595F">
        <w:t>Nathaniel J. Davis, Sr.,</w:t>
      </w:r>
    </w:p>
    <w:p w:rsidRPr="00FA595F" w:rsidR="00FA595F" w:rsidP="00FA595F" w:rsidRDefault="00FA595F" w14:paraId="645458AE" w14:textId="35E87D69">
      <w:pPr>
        <w:widowControl/>
        <w:ind w:firstLine="2606"/>
        <w:jc w:val="center"/>
      </w:pPr>
      <w:r w:rsidRPr="00FA595F">
        <w:t>Deputy Secretary.</w:t>
      </w:r>
    </w:p>
    <w:p w:rsidRPr="00395600" w:rsidR="00FA595F" w:rsidP="00FA595F" w:rsidRDefault="00FA595F" w14:paraId="76240C44" w14:textId="77777777">
      <w:pPr>
        <w:widowControl/>
      </w:pPr>
    </w:p>
    <w:p w:rsidRPr="00395600" w:rsidR="00A054BC" w:rsidP="002468EF" w:rsidRDefault="00A054BC" w14:paraId="2FD0E069" w14:textId="77777777"/>
    <w:p w:rsidR="00F23DA9" w:rsidP="002E7DF2" w:rsidRDefault="00A054BC" w14:paraId="71FC223F" w14:textId="77777777">
      <w:pPr>
        <w:spacing w:line="480" w:lineRule="auto"/>
      </w:pPr>
      <w:r w:rsidRPr="00395600">
        <w:tab/>
      </w:r>
    </w:p>
    <w:p w:rsidR="00F23DA9" w:rsidRDefault="00F23DA9" w14:paraId="48A0C804" w14:textId="77777777">
      <w:pPr>
        <w:widowControl/>
        <w:spacing w:after="160" w:line="259" w:lineRule="auto"/>
      </w:pPr>
      <w:r>
        <w:br w:type="page"/>
      </w:r>
    </w:p>
    <w:p w:rsidRPr="002E7DF2" w:rsidR="002E7DF2" w:rsidP="002E7DF2" w:rsidRDefault="00A054BC" w14:paraId="30054E70" w14:textId="70BAC83D">
      <w:pPr>
        <w:spacing w:line="480" w:lineRule="auto"/>
      </w:pPr>
      <w:r w:rsidRPr="00395600">
        <w:t xml:space="preserve">In consideration of the foregoing, the Commission proposes to amend Part </w:t>
      </w:r>
      <w:r w:rsidR="002E7DF2">
        <w:t>35</w:t>
      </w:r>
      <w:r w:rsidRPr="00395600">
        <w:t xml:space="preserve">, Chapter I, Title 18, </w:t>
      </w:r>
      <w:r w:rsidRPr="00395600">
        <w:rPr>
          <w:u w:val="single"/>
        </w:rPr>
        <w:t>Code of Federal Regulations</w:t>
      </w:r>
      <w:r w:rsidRPr="00395600">
        <w:t>, as follow</w:t>
      </w:r>
      <w:r>
        <w:t>s:</w:t>
      </w:r>
    </w:p>
    <w:p w:rsidRPr="00511E64" w:rsidR="002E7DF2" w:rsidP="00511E64" w:rsidRDefault="002E7DF2" w14:paraId="569EE532" w14:textId="266CB2EA">
      <w:pPr>
        <w:rPr>
          <w:b/>
          <w:bCs/>
        </w:rPr>
      </w:pPr>
      <w:r w:rsidRPr="00511E64">
        <w:rPr>
          <w:b/>
          <w:bCs/>
        </w:rPr>
        <w:t>PART 35 – FILING OF RATE SCHEDULES AND TARIFFS</w:t>
      </w:r>
    </w:p>
    <w:p w:rsidRPr="002E7DF2" w:rsidR="00B70CC5" w:rsidP="002E7DF2" w:rsidRDefault="00B70CC5" w14:paraId="33188E08" w14:textId="77777777">
      <w:pPr>
        <w:rPr>
          <w:b/>
          <w:bCs/>
        </w:rPr>
      </w:pPr>
    </w:p>
    <w:p w:rsidR="002E7DF2" w:rsidP="002E7DF2" w:rsidRDefault="002E7DF2" w14:paraId="28CB8615" w14:textId="4091556A">
      <w:r w:rsidRPr="002E7DF2">
        <w:t>1. The authority citation for Part 35 continues to read as follows:</w:t>
      </w:r>
    </w:p>
    <w:p w:rsidRPr="002E7DF2" w:rsidR="00B70CC5" w:rsidP="002E7DF2" w:rsidRDefault="00B70CC5" w14:paraId="22869362" w14:textId="77777777"/>
    <w:p w:rsidR="002E7DF2" w:rsidP="002E7DF2" w:rsidRDefault="002E7DF2" w14:paraId="22E3A215" w14:textId="6B976CDC">
      <w:r w:rsidRPr="002E7DF2">
        <w:t>AUTHORITY: 16 U.S.C. 791a-825r, 2601-2645; 31 U.S.C. 9701; 42 U.S.C. 7101-7352.</w:t>
      </w:r>
    </w:p>
    <w:p w:rsidRPr="002E7DF2" w:rsidR="00B70CC5" w:rsidP="002E7DF2" w:rsidRDefault="00B70CC5" w14:paraId="2B382CA2" w14:textId="77777777"/>
    <w:p w:rsidR="002E7DF2" w:rsidP="002E7DF2" w:rsidRDefault="002E7DF2" w14:paraId="11CDB9ED" w14:textId="4FEDE133">
      <w:r w:rsidRPr="002E7DF2">
        <w:t>2. Amend §</w:t>
      </w:r>
      <w:r w:rsidR="00DE70CD">
        <w:t> </w:t>
      </w:r>
      <w:r w:rsidRPr="002E7DF2">
        <w:t>35.28 by adding paragraphs (b)(10)-(11) and (g)(1</w:t>
      </w:r>
      <w:r w:rsidR="00CD5DB1">
        <w:t>2</w:t>
      </w:r>
      <w:r w:rsidRPr="002E7DF2">
        <w:t>)(i)-(</w:t>
      </w:r>
      <w:r w:rsidR="00EA7578">
        <w:t>iv</w:t>
      </w:r>
      <w:r w:rsidRPr="002E7DF2">
        <w:t>) as follows.</w:t>
      </w:r>
    </w:p>
    <w:p w:rsidRPr="002E7DF2" w:rsidR="00B70CC5" w:rsidP="002E7DF2" w:rsidRDefault="00B70CC5" w14:paraId="06A7EC21" w14:textId="77777777"/>
    <w:p w:rsidRPr="002E7DF2" w:rsidR="002E7DF2" w:rsidP="002E7DF2" w:rsidRDefault="002E7DF2" w14:paraId="1C6278B7" w14:textId="456444EF">
      <w:pPr>
        <w:rPr>
          <w:b/>
          <w:bCs/>
        </w:rPr>
      </w:pPr>
      <w:bookmarkStart w:name="_Hlk50649981" w:id="377"/>
      <w:r w:rsidRPr="002E7DF2">
        <w:rPr>
          <w:b/>
          <w:bCs/>
        </w:rPr>
        <w:t>§</w:t>
      </w:r>
      <w:r w:rsidR="00DE70CD">
        <w:rPr>
          <w:b/>
          <w:bCs/>
        </w:rPr>
        <w:t> </w:t>
      </w:r>
      <w:r w:rsidRPr="002E7DF2">
        <w:rPr>
          <w:b/>
          <w:bCs/>
        </w:rPr>
        <w:t>35.28 Non-discriminat</w:t>
      </w:r>
      <w:r w:rsidR="00EB46DC">
        <w:rPr>
          <w:b/>
          <w:bCs/>
        </w:rPr>
        <w:t>ory</w:t>
      </w:r>
      <w:r w:rsidRPr="002E7DF2">
        <w:rPr>
          <w:b/>
          <w:bCs/>
        </w:rPr>
        <w:t xml:space="preserve"> open access transmission tariff.</w:t>
      </w:r>
    </w:p>
    <w:p w:rsidRPr="002E7DF2" w:rsidR="002E7DF2" w:rsidP="002E7DF2" w:rsidRDefault="002E7DF2" w14:paraId="08BDC021" w14:textId="77777777">
      <w:pPr>
        <w:rPr>
          <w:b/>
          <w:bCs/>
        </w:rPr>
      </w:pPr>
    </w:p>
    <w:p w:rsidRPr="002E7DF2" w:rsidR="002E7DF2" w:rsidP="002E7DF2" w:rsidRDefault="002E7DF2" w14:paraId="72805594" w14:textId="77777777">
      <w:r w:rsidRPr="002E7DF2">
        <w:t>* * * * *</w:t>
      </w:r>
    </w:p>
    <w:p w:rsidRPr="002E7DF2" w:rsidR="002E7DF2" w:rsidP="002E7DF2" w:rsidRDefault="002E7DF2" w14:paraId="405FF352" w14:textId="77777777">
      <w:pPr>
        <w:rPr>
          <w:b/>
          <w:bCs/>
        </w:rPr>
      </w:pPr>
    </w:p>
    <w:p w:rsidRPr="002E7DF2" w:rsidR="002E7DF2" w:rsidP="002E7DF2" w:rsidRDefault="002E7DF2" w14:paraId="3C0661A3" w14:textId="77777777">
      <w:r w:rsidRPr="002E7DF2">
        <w:t>(b) * * *</w:t>
      </w:r>
    </w:p>
    <w:p w:rsidRPr="002E7DF2" w:rsidR="002E7DF2" w:rsidP="002E7DF2" w:rsidRDefault="002E7DF2" w14:paraId="5BDC83AE" w14:textId="4778B911">
      <w:r w:rsidRPr="002E7DF2">
        <w:t>(10) Distributed energy resource as used in this section means any resource located on the distribution system, any subsystem thereof or behind a customer meter.</w:t>
      </w:r>
    </w:p>
    <w:p w:rsidRPr="002E7DF2" w:rsidR="002E7DF2" w:rsidP="002E7DF2" w:rsidRDefault="002E7DF2" w14:paraId="35B47F68" w14:textId="77777777"/>
    <w:p w:rsidRPr="002E7DF2" w:rsidR="002E7DF2" w:rsidP="002E7DF2" w:rsidRDefault="002E7DF2" w14:paraId="68888069" w14:textId="68B00381">
      <w:r w:rsidRPr="002E7DF2">
        <w:t>(11) Distributed energy resource aggregator as used in this section means the entity that aggregates one or more distributed energy resources for purposes of participation in the capacity, energy and</w:t>
      </w:r>
      <w:r w:rsidR="00FC2C66">
        <w:t>/or</w:t>
      </w:r>
      <w:r w:rsidRPr="002E7DF2">
        <w:t xml:space="preserve"> ancillary service markets of the regional transmission organizations and</w:t>
      </w:r>
      <w:r w:rsidR="00FC2C66">
        <w:t>/or</w:t>
      </w:r>
      <w:r w:rsidRPr="002E7DF2">
        <w:t xml:space="preserve"> independent system operators.</w:t>
      </w:r>
    </w:p>
    <w:p w:rsidRPr="002E7DF2" w:rsidR="002E7DF2" w:rsidP="002E7DF2" w:rsidRDefault="002E7DF2" w14:paraId="57B32EDC" w14:textId="77777777">
      <w:r w:rsidRPr="002E7DF2">
        <w:t>* * * * *</w:t>
      </w:r>
    </w:p>
    <w:p w:rsidRPr="002E7DF2" w:rsidR="002E7DF2" w:rsidP="002E7DF2" w:rsidRDefault="002E7DF2" w14:paraId="10198B49" w14:textId="77777777"/>
    <w:p w:rsidRPr="002E7DF2" w:rsidR="002E7DF2" w:rsidP="002E7DF2" w:rsidRDefault="002E7DF2" w14:paraId="6433243D" w14:textId="7D6090F9">
      <w:r w:rsidRPr="002E7DF2">
        <w:t>(g) * * *</w:t>
      </w:r>
    </w:p>
    <w:p w:rsidRPr="002E7DF2" w:rsidR="002E7DF2" w:rsidP="002E7DF2" w:rsidRDefault="002E7DF2" w14:paraId="19022123" w14:textId="73E54A33">
      <w:r w:rsidRPr="002E7DF2">
        <w:t>(1</w:t>
      </w:r>
      <w:r w:rsidR="00CD5DB1">
        <w:t>2</w:t>
      </w:r>
      <w:r w:rsidRPr="002E7DF2">
        <w:t xml:space="preserve">) Distributed Energy Resource Aggregators. </w:t>
      </w:r>
    </w:p>
    <w:p w:rsidRPr="002E7DF2" w:rsidR="002E7DF2" w:rsidP="002E7DF2" w:rsidRDefault="002E7DF2" w14:paraId="01BE018D" w14:textId="77777777"/>
    <w:p w:rsidRPr="002E7DF2" w:rsidR="002E7DF2" w:rsidP="002E7DF2" w:rsidRDefault="002E7DF2" w14:paraId="714E3CC9" w14:textId="31C75132">
      <w:r w:rsidRPr="002E7DF2">
        <w:t xml:space="preserve">(i) Each independent system operator and regional transmission organization must have tariff provisions that allow distributed energy resource aggregations to participate directly in the organized wholesale electric markets.  </w:t>
      </w:r>
      <w:bookmarkStart w:name="_Hlk31807421" w:id="378"/>
      <w:r w:rsidRPr="002E7DF2">
        <w:t>Each regional transmission organization and independent system operator must establish distributed energy resource aggregators as a type of market participant</w:t>
      </w:r>
      <w:r w:rsidR="00165C68">
        <w:t xml:space="preserve">.  Additionally, each regional transmission </w:t>
      </w:r>
      <w:r w:rsidR="00641F37">
        <w:t xml:space="preserve">organization </w:t>
      </w:r>
      <w:r w:rsidR="00165C68">
        <w:t>and independent system operator</w:t>
      </w:r>
      <w:r w:rsidRPr="002E7DF2">
        <w:t xml:space="preserve"> must allow distributed energy resource aggregators to register distributed energy resource aggregations under </w:t>
      </w:r>
      <w:r w:rsidR="00FF0C59">
        <w:t>one or more</w:t>
      </w:r>
      <w:r w:rsidRPr="002E7DF2">
        <w:t xml:space="preserve"> participation model</w:t>
      </w:r>
      <w:r w:rsidR="00FF0C59">
        <w:t>s</w:t>
      </w:r>
      <w:r w:rsidRPr="002E7DF2">
        <w:t xml:space="preserve"> in the regional transmission operator</w:t>
      </w:r>
      <w:r w:rsidR="00EA7578">
        <w:t>’s</w:t>
      </w:r>
      <w:r w:rsidRPr="002E7DF2">
        <w:t xml:space="preserve"> or the independent system operator’s tariff that accommodate the physical and operational characteristics of the distributed energy resource aggregation. </w:t>
      </w:r>
    </w:p>
    <w:bookmarkEnd w:id="378"/>
    <w:p w:rsidRPr="002E7DF2" w:rsidR="002E7DF2" w:rsidP="002E7DF2" w:rsidRDefault="002E7DF2" w14:paraId="617EDE8F" w14:textId="77777777"/>
    <w:p w:rsidRPr="002E7DF2" w:rsidR="002E7DF2" w:rsidP="002E7DF2" w:rsidRDefault="002E7DF2" w14:paraId="5B2D0850" w14:textId="269CEBA9">
      <w:r w:rsidRPr="002E7DF2">
        <w:t>(ii) Each regional transmission o</w:t>
      </w:r>
      <w:r w:rsidR="0008325D">
        <w:t>rganization</w:t>
      </w:r>
      <w:r w:rsidRPr="002E7DF2">
        <w:t xml:space="preserve"> and independent system operator, to accommodate the participation of distributed energy resource aggregations, must establish market rules </w:t>
      </w:r>
      <w:r w:rsidR="00CE0799">
        <w:t>that address</w:t>
      </w:r>
      <w:r w:rsidRPr="002E7DF2">
        <w:t xml:space="preserve">: </w:t>
      </w:r>
    </w:p>
    <w:p w:rsidRPr="002E7DF2" w:rsidR="002E7DF2" w:rsidP="002E7DF2" w:rsidRDefault="002E7DF2" w14:paraId="69A4C245" w14:textId="77777777"/>
    <w:p w:rsidRPr="002E7DF2" w:rsidR="002E7DF2" w:rsidP="002E7DF2" w:rsidRDefault="002E7DF2" w14:paraId="70BDCFC4" w14:textId="6DB5E389">
      <w:pPr>
        <w:numPr>
          <w:ilvl w:val="0"/>
          <w:numId w:val="24"/>
        </w:numPr>
      </w:pPr>
      <w:r w:rsidRPr="002E7DF2">
        <w:t xml:space="preserve">Eligibility to participate in the </w:t>
      </w:r>
      <w:r w:rsidRPr="00B84E92" w:rsidR="00B84E92">
        <w:t>independent system operator or regional transmission organization</w:t>
      </w:r>
      <w:r w:rsidRPr="002E7DF2">
        <w:t xml:space="preserve"> markets through a distributed energy resource aggregation; </w:t>
      </w:r>
    </w:p>
    <w:p w:rsidRPr="002E7DF2" w:rsidR="002E7DF2" w:rsidP="002E7DF2" w:rsidRDefault="002E7DF2" w14:paraId="3CD89853" w14:textId="77777777">
      <w:pPr>
        <w:numPr>
          <w:ilvl w:val="0"/>
          <w:numId w:val="24"/>
        </w:numPr>
      </w:pPr>
      <w:r w:rsidRPr="002E7DF2">
        <w:t xml:space="preserve">Locational requirements for distributed energy resource aggregations; </w:t>
      </w:r>
    </w:p>
    <w:p w:rsidRPr="002E7DF2" w:rsidR="002E7DF2" w:rsidP="002E7DF2" w:rsidRDefault="002E7DF2" w14:paraId="5C588763" w14:textId="77777777">
      <w:pPr>
        <w:numPr>
          <w:ilvl w:val="0"/>
          <w:numId w:val="24"/>
        </w:numPr>
      </w:pPr>
      <w:r w:rsidRPr="002E7DF2">
        <w:t xml:space="preserve">Distribution factors and bidding parameters for distributed energy resource aggregations; </w:t>
      </w:r>
    </w:p>
    <w:p w:rsidRPr="002E7DF2" w:rsidR="002E7DF2" w:rsidP="002E7DF2" w:rsidRDefault="002E7DF2" w14:paraId="4B4EB5A2" w14:textId="77777777">
      <w:pPr>
        <w:numPr>
          <w:ilvl w:val="0"/>
          <w:numId w:val="24"/>
        </w:numPr>
      </w:pPr>
      <w:r w:rsidRPr="002E7DF2">
        <w:t>Information and data requirements for distributed energy resource aggregations;</w:t>
      </w:r>
    </w:p>
    <w:p w:rsidRPr="002E7DF2" w:rsidR="002E7DF2" w:rsidP="002E7DF2" w:rsidRDefault="002E7DF2" w14:paraId="259AEB6F" w14:textId="77777777">
      <w:pPr>
        <w:numPr>
          <w:ilvl w:val="0"/>
          <w:numId w:val="24"/>
        </w:numPr>
      </w:pPr>
      <w:r w:rsidRPr="002E7DF2">
        <w:t xml:space="preserve">Modification to the list of resources in a distributed energy resource aggregation; </w:t>
      </w:r>
    </w:p>
    <w:p w:rsidRPr="002E7DF2" w:rsidR="002E7DF2" w:rsidP="002E7DF2" w:rsidRDefault="002E7DF2" w14:paraId="4346C429" w14:textId="77777777">
      <w:pPr>
        <w:numPr>
          <w:ilvl w:val="0"/>
          <w:numId w:val="24"/>
        </w:numPr>
      </w:pPr>
      <w:r w:rsidRPr="002E7DF2">
        <w:t xml:space="preserve">Metering and telemetry system requirements for distributed energy resource aggregations; </w:t>
      </w:r>
    </w:p>
    <w:p w:rsidRPr="002E7DF2" w:rsidR="002E7DF2" w:rsidP="002E7DF2" w:rsidRDefault="002E7DF2" w14:paraId="0CE033A3" w14:textId="1F814C10">
      <w:pPr>
        <w:numPr>
          <w:ilvl w:val="0"/>
          <w:numId w:val="24"/>
        </w:numPr>
      </w:pPr>
      <w:r w:rsidRPr="002E7DF2">
        <w:t>Coordination between the regional transmission organization or independent system operator, the distributed energy resource aggregator, the distribution utility</w:t>
      </w:r>
      <w:r w:rsidR="006A64FA">
        <w:t xml:space="preserve">, and the relevant </w:t>
      </w:r>
      <w:r w:rsidR="007829DE">
        <w:t>electric retail regulatory authorities</w:t>
      </w:r>
      <w:r w:rsidRPr="002E7DF2">
        <w:t xml:space="preserve">; </w:t>
      </w:r>
      <w:r w:rsidR="00EA7578">
        <w:t>and</w:t>
      </w:r>
    </w:p>
    <w:p w:rsidRPr="002E7DF2" w:rsidR="002E7DF2" w:rsidP="002E7DF2" w:rsidRDefault="002E7DF2" w14:paraId="1029A66C" w14:textId="77777777">
      <w:pPr>
        <w:numPr>
          <w:ilvl w:val="0"/>
          <w:numId w:val="24"/>
        </w:numPr>
      </w:pPr>
      <w:r w:rsidRPr="002E7DF2">
        <w:t>Market participation agreements for distributed energy resource aggregators.</w:t>
      </w:r>
    </w:p>
    <w:p w:rsidR="00586D40" w:rsidP="00586D40" w:rsidRDefault="00586D40" w14:paraId="43281A7B" w14:textId="415FD11B"/>
    <w:p w:rsidR="00940B5A" w:rsidP="00B84E92" w:rsidRDefault="00586D40" w14:paraId="44A339A5" w14:textId="3E4FB7B0">
      <w:pPr>
        <w:rPr>
          <w:szCs w:val="26"/>
        </w:rPr>
      </w:pPr>
      <w:r>
        <w:rPr>
          <w:szCs w:val="26"/>
        </w:rPr>
        <w:t xml:space="preserve">(iii) </w:t>
      </w:r>
      <w:r w:rsidRPr="002E7DF2" w:rsidR="00940B5A">
        <w:t>Each regional transmission o</w:t>
      </w:r>
      <w:r w:rsidR="006301F7">
        <w:t>rganization</w:t>
      </w:r>
      <w:r w:rsidRPr="002E7DF2" w:rsidR="00940B5A">
        <w:t xml:space="preserve"> and independent system operator</w:t>
      </w:r>
      <w:r w:rsidRPr="00940B5A" w:rsidR="00940B5A">
        <w:rPr>
          <w:szCs w:val="26"/>
        </w:rPr>
        <w:t xml:space="preserve"> </w:t>
      </w:r>
      <w:r w:rsidR="00940B5A">
        <w:rPr>
          <w:szCs w:val="26"/>
        </w:rPr>
        <w:t>must e</w:t>
      </w:r>
      <w:r w:rsidRPr="00940B5A" w:rsidR="00940B5A">
        <w:rPr>
          <w:szCs w:val="26"/>
        </w:rPr>
        <w:t>stablish a minimum size requirement for</w:t>
      </w:r>
      <w:r w:rsidR="00940B5A">
        <w:rPr>
          <w:szCs w:val="26"/>
        </w:rPr>
        <w:t xml:space="preserve"> distributed energy</w:t>
      </w:r>
      <w:r w:rsidRPr="00940B5A" w:rsidR="00940B5A">
        <w:rPr>
          <w:szCs w:val="26"/>
        </w:rPr>
        <w:t xml:space="preserve"> resource</w:t>
      </w:r>
      <w:r w:rsidR="00940B5A">
        <w:rPr>
          <w:szCs w:val="26"/>
        </w:rPr>
        <w:t xml:space="preserve"> aggregations</w:t>
      </w:r>
      <w:r w:rsidRPr="00940B5A" w:rsidR="00940B5A">
        <w:rPr>
          <w:szCs w:val="26"/>
        </w:rPr>
        <w:t xml:space="preserve"> that does not exceed 100 kW.</w:t>
      </w:r>
    </w:p>
    <w:p w:rsidR="00940B5A" w:rsidP="00B84E92" w:rsidRDefault="00940B5A" w14:paraId="2ACF75ED" w14:textId="77777777">
      <w:pPr>
        <w:rPr>
          <w:szCs w:val="26"/>
        </w:rPr>
      </w:pPr>
    </w:p>
    <w:p w:rsidRPr="002E7DF2" w:rsidR="00586D40" w:rsidP="00B84E92" w:rsidRDefault="00940B5A" w14:paraId="13E5E0AA" w14:textId="5DA1DE4D">
      <w:r>
        <w:rPr>
          <w:szCs w:val="26"/>
        </w:rPr>
        <w:t xml:space="preserve">(iv) </w:t>
      </w:r>
      <w:r w:rsidRPr="00A80C8F" w:rsidR="00A80C8F">
        <w:rPr>
          <w:szCs w:val="26"/>
        </w:rPr>
        <w:t xml:space="preserve">Each </w:t>
      </w:r>
      <w:r w:rsidRPr="00586D40" w:rsidR="00586D40">
        <w:rPr>
          <w:szCs w:val="26"/>
        </w:rPr>
        <w:t xml:space="preserve">regional transmission organization </w:t>
      </w:r>
      <w:r w:rsidR="00665E9A">
        <w:rPr>
          <w:szCs w:val="26"/>
        </w:rPr>
        <w:t xml:space="preserve">and </w:t>
      </w:r>
      <w:r w:rsidRPr="00586D40" w:rsidR="00665E9A">
        <w:rPr>
          <w:szCs w:val="26"/>
        </w:rPr>
        <w:t xml:space="preserve">independent system operator </w:t>
      </w:r>
      <w:r w:rsidRPr="00586D40" w:rsidR="00586D40">
        <w:rPr>
          <w:szCs w:val="26"/>
        </w:rPr>
        <w:t xml:space="preserve">must </w:t>
      </w:r>
      <w:r w:rsidRPr="00A80C8F" w:rsidR="00A80C8F">
        <w:rPr>
          <w:szCs w:val="26"/>
        </w:rPr>
        <w:t>accept bids from a</w:t>
      </w:r>
      <w:r w:rsidR="00A80C8F">
        <w:rPr>
          <w:szCs w:val="26"/>
        </w:rPr>
        <w:t xml:space="preserve"> distributed energy resource </w:t>
      </w:r>
      <w:r w:rsidRPr="00A80C8F" w:rsidR="00A80C8F">
        <w:rPr>
          <w:szCs w:val="26"/>
        </w:rPr>
        <w:t xml:space="preserve">aggregator </w:t>
      </w:r>
      <w:r w:rsidR="00A80C8F">
        <w:rPr>
          <w:szCs w:val="26"/>
        </w:rPr>
        <w:t xml:space="preserve">if its aggregation includes distributed energy resources that are customers </w:t>
      </w:r>
      <w:r w:rsidRPr="00A80C8F" w:rsidR="00A80C8F">
        <w:rPr>
          <w:szCs w:val="26"/>
        </w:rPr>
        <w:t>of utilities that distributed more than 4 million megawatt-hours in the previous fiscal year</w:t>
      </w:r>
      <w:r w:rsidR="00A80C8F">
        <w:rPr>
          <w:szCs w:val="26"/>
        </w:rPr>
        <w:t xml:space="preserve">.  </w:t>
      </w:r>
      <w:r w:rsidR="003A6996">
        <w:rPr>
          <w:szCs w:val="26"/>
        </w:rPr>
        <w:t>An</w:t>
      </w:r>
      <w:r w:rsidRPr="00586D40" w:rsidR="00586D40">
        <w:rPr>
          <w:szCs w:val="26"/>
        </w:rPr>
        <w:t xml:space="preserve"> independent system operator </w:t>
      </w:r>
      <w:r w:rsidR="00A80C8F">
        <w:rPr>
          <w:szCs w:val="26"/>
        </w:rPr>
        <w:t>or</w:t>
      </w:r>
      <w:r w:rsidRPr="00586D40" w:rsidR="00586D40">
        <w:rPr>
          <w:szCs w:val="26"/>
        </w:rPr>
        <w:t xml:space="preserve"> regional transmission organization must </w:t>
      </w:r>
      <w:r w:rsidR="003A6996">
        <w:rPr>
          <w:szCs w:val="26"/>
        </w:rPr>
        <w:t xml:space="preserve">not </w:t>
      </w:r>
      <w:r w:rsidR="00586D40">
        <w:rPr>
          <w:szCs w:val="26"/>
        </w:rPr>
        <w:t xml:space="preserve">accept bids from </w:t>
      </w:r>
      <w:r w:rsidR="00EA7578">
        <w:rPr>
          <w:szCs w:val="26"/>
        </w:rPr>
        <w:t xml:space="preserve">a </w:t>
      </w:r>
      <w:r w:rsidR="00586D40">
        <w:rPr>
          <w:szCs w:val="26"/>
        </w:rPr>
        <w:t>distributed energy resource aggregator</w:t>
      </w:r>
      <w:r w:rsidR="003A6996">
        <w:rPr>
          <w:szCs w:val="26"/>
        </w:rPr>
        <w:t xml:space="preserve"> if</w:t>
      </w:r>
      <w:r w:rsidR="00586D40">
        <w:rPr>
          <w:szCs w:val="26"/>
        </w:rPr>
        <w:t xml:space="preserve"> </w:t>
      </w:r>
      <w:r w:rsidR="003A6996">
        <w:rPr>
          <w:szCs w:val="26"/>
        </w:rPr>
        <w:t>its</w:t>
      </w:r>
      <w:r w:rsidR="00586D40">
        <w:rPr>
          <w:szCs w:val="26"/>
        </w:rPr>
        <w:t xml:space="preserve"> aggregation includes distributed energy resources that are customers of utilities that distributed 4 million </w:t>
      </w:r>
      <w:r w:rsidR="00EE6EEB">
        <w:rPr>
          <w:szCs w:val="26"/>
        </w:rPr>
        <w:t>megawatt-hours</w:t>
      </w:r>
      <w:r w:rsidR="00586D40">
        <w:rPr>
          <w:szCs w:val="26"/>
        </w:rPr>
        <w:t xml:space="preserve"> or less in the previous fiscal year</w:t>
      </w:r>
      <w:r w:rsidR="003A6996">
        <w:rPr>
          <w:szCs w:val="26"/>
        </w:rPr>
        <w:t>, unless</w:t>
      </w:r>
      <w:r w:rsidR="00586D40">
        <w:rPr>
          <w:szCs w:val="26"/>
        </w:rPr>
        <w:t xml:space="preserve"> the relevant electric retail regulatory authority permit</w:t>
      </w:r>
      <w:r w:rsidR="003A6996">
        <w:rPr>
          <w:szCs w:val="26"/>
        </w:rPr>
        <w:t>s</w:t>
      </w:r>
      <w:r w:rsidR="00586D40">
        <w:rPr>
          <w:szCs w:val="26"/>
        </w:rPr>
        <w:t xml:space="preserve"> such customers to be bid into RTO/ISO markets by a distributed energy resource aggregator.</w:t>
      </w:r>
      <w:bookmarkEnd w:id="377"/>
    </w:p>
    <w:p w:rsidRPr="002E7DF2" w:rsidR="002E7DF2" w:rsidP="002E7DF2" w:rsidRDefault="002E7DF2" w14:paraId="28E2252C" w14:textId="77777777"/>
    <w:p w:rsidRPr="002E7DF2" w:rsidR="002E7DF2" w:rsidP="002E7DF2" w:rsidRDefault="002E7DF2" w14:paraId="06B8DBB6" w14:textId="77777777">
      <w:r w:rsidRPr="002E7DF2">
        <w:br w:type="page"/>
      </w:r>
    </w:p>
    <w:p w:rsidR="002E7DF2" w:rsidP="002E7DF2" w:rsidRDefault="002E7DF2" w14:paraId="7CD1769B" w14:textId="5807FC9B">
      <w:r w:rsidRPr="002E7DF2">
        <w:rPr>
          <w:b/>
          <w:bCs/>
        </w:rPr>
        <w:t xml:space="preserve">NOTE: </w:t>
      </w:r>
      <w:r w:rsidRPr="002E7DF2">
        <w:t>The following appendix will not appear in the Code of Federal Regulations.</w:t>
      </w:r>
    </w:p>
    <w:p w:rsidRPr="002E7DF2" w:rsidR="002E7DF2" w:rsidP="002E7DF2" w:rsidRDefault="002E7DF2" w14:paraId="4572AAF0" w14:textId="77777777"/>
    <w:p w:rsidRPr="002E7DF2" w:rsidR="002E7DF2" w:rsidP="0039771C" w:rsidRDefault="002E7DF2" w14:paraId="0AC01FEF" w14:textId="77777777">
      <w:pPr>
        <w:pStyle w:val="Heading1"/>
        <w:numPr>
          <w:ilvl w:val="0"/>
          <w:numId w:val="0"/>
        </w:numPr>
        <w:ind w:left="720" w:hanging="720"/>
      </w:pPr>
      <w:bookmarkStart w:name="_bmk104" w:id="379"/>
      <w:r w:rsidRPr="002E7DF2">
        <w:t>A</w:t>
      </w:r>
      <w:bookmarkEnd w:id="379"/>
      <w:r w:rsidRPr="002E7DF2">
        <w:t>ppendix A: Abbreviated Names of Commenters</w:t>
      </w:r>
    </w:p>
    <w:p w:rsidR="002E7DF2" w:rsidP="002E7DF2" w:rsidRDefault="002E7DF2" w14:paraId="0795BE9D" w14:textId="434DABB8">
      <w:r w:rsidRPr="002E7DF2">
        <w:t xml:space="preserve">The following table contains the abbreviated names of </w:t>
      </w:r>
      <w:r w:rsidR="00B46BAF">
        <w:t>all</w:t>
      </w:r>
      <w:r w:rsidRPr="002E7DF2">
        <w:t xml:space="preserve"> commenters </w:t>
      </w:r>
      <w:r w:rsidR="00627C48">
        <w:t>in this docket</w:t>
      </w:r>
      <w:r w:rsidRPr="002E7DF2">
        <w:t>.</w:t>
      </w:r>
    </w:p>
    <w:p w:rsidRPr="002E7DF2" w:rsidR="002E7DF2" w:rsidP="002E7DF2" w:rsidRDefault="002E7DF2" w14:paraId="3F5C2164" w14:textId="77777777"/>
    <w:p w:rsidRPr="002E7DF2" w:rsidR="002E7DF2" w:rsidP="002E7DF2" w:rsidRDefault="002E7DF2" w14:paraId="16BE35A6" w14:textId="64DFE982"/>
    <w:tbl>
      <w:tblPr>
        <w:tblStyle w:val="TableGrid"/>
        <w:tblW w:w="0" w:type="auto"/>
        <w:tblLook w:val="04A0" w:firstRow="1" w:lastRow="0" w:firstColumn="1" w:lastColumn="0" w:noHBand="0" w:noVBand="1"/>
      </w:tblPr>
      <w:tblGrid>
        <w:gridCol w:w="4675"/>
        <w:gridCol w:w="4675"/>
      </w:tblGrid>
      <w:tr w:rsidRPr="002E7DF2" w:rsidR="002E7DF2" w:rsidTr="00E739BF" w14:paraId="5C0A68C2" w14:textId="77777777">
        <w:tc>
          <w:tcPr>
            <w:tcW w:w="4675" w:type="dxa"/>
          </w:tcPr>
          <w:p w:rsidRPr="00FA595F" w:rsidR="002E7DF2" w:rsidP="002E7DF2" w:rsidRDefault="002E7DF2" w14:paraId="1A1CE604" w14:textId="77777777">
            <w:pPr>
              <w:autoSpaceDE/>
              <w:autoSpaceDN/>
              <w:adjustRightInd/>
              <w:rPr>
                <w:rFonts w:eastAsiaTheme="minorHAnsi"/>
                <w:b/>
                <w:bCs/>
                <w:szCs w:val="22"/>
                <w:u w:val="single"/>
              </w:rPr>
            </w:pPr>
            <w:r w:rsidRPr="00FA595F">
              <w:rPr>
                <w:b/>
                <w:u w:val="single"/>
              </w:rPr>
              <w:t>Abbreviation</w:t>
            </w:r>
          </w:p>
        </w:tc>
        <w:tc>
          <w:tcPr>
            <w:tcW w:w="4675" w:type="dxa"/>
          </w:tcPr>
          <w:p w:rsidRPr="00FA595F" w:rsidR="002E7DF2" w:rsidP="002E7DF2" w:rsidRDefault="002E7DF2" w14:paraId="61B0F095" w14:textId="77777777">
            <w:pPr>
              <w:autoSpaceDE/>
              <w:autoSpaceDN/>
              <w:adjustRightInd/>
              <w:rPr>
                <w:rFonts w:eastAsiaTheme="minorHAnsi"/>
                <w:b/>
                <w:bCs/>
                <w:szCs w:val="22"/>
                <w:u w:val="single"/>
              </w:rPr>
            </w:pPr>
            <w:r w:rsidRPr="00FA595F">
              <w:rPr>
                <w:b/>
                <w:u w:val="single"/>
              </w:rPr>
              <w:t>Commenter (Full Name)</w:t>
            </w:r>
          </w:p>
        </w:tc>
      </w:tr>
      <w:tr w:rsidRPr="002E7DF2" w:rsidR="002E7DF2" w:rsidTr="00E739BF" w14:paraId="2A1FEEA5" w14:textId="77777777">
        <w:tc>
          <w:tcPr>
            <w:tcW w:w="4675" w:type="dxa"/>
          </w:tcPr>
          <w:p w:rsidRPr="002E7DF2" w:rsidR="002E7DF2" w:rsidP="002E7DF2" w:rsidRDefault="002E7DF2" w14:paraId="1661B225" w14:textId="77777777">
            <w:pPr>
              <w:autoSpaceDE/>
              <w:autoSpaceDN/>
              <w:adjustRightInd/>
              <w:rPr>
                <w:rFonts w:eastAsiaTheme="minorHAnsi"/>
                <w:b/>
                <w:bCs/>
                <w:szCs w:val="22"/>
              </w:rPr>
            </w:pPr>
            <w:r w:rsidRPr="002E7DF2">
              <w:rPr>
                <w:rFonts w:eastAsiaTheme="minorHAnsi"/>
                <w:b/>
                <w:bCs/>
                <w:szCs w:val="22"/>
              </w:rPr>
              <w:t>Advanced Energy Buyers</w:t>
            </w:r>
          </w:p>
        </w:tc>
        <w:tc>
          <w:tcPr>
            <w:tcW w:w="4675" w:type="dxa"/>
          </w:tcPr>
          <w:p w:rsidRPr="002E7DF2" w:rsidR="002E7DF2" w:rsidP="002E7DF2" w:rsidRDefault="002E7DF2" w14:paraId="3CFBFCD9" w14:textId="77777777">
            <w:pPr>
              <w:autoSpaceDE/>
              <w:autoSpaceDN/>
              <w:adjustRightInd/>
              <w:rPr>
                <w:rFonts w:eastAsiaTheme="minorHAnsi"/>
                <w:szCs w:val="22"/>
              </w:rPr>
            </w:pPr>
            <w:r w:rsidRPr="002E7DF2">
              <w:rPr>
                <w:rFonts w:eastAsiaTheme="minorHAnsi"/>
                <w:szCs w:val="22"/>
              </w:rPr>
              <w:t>Advanced Energy Buyers</w:t>
            </w:r>
          </w:p>
        </w:tc>
      </w:tr>
      <w:tr w:rsidRPr="002E7DF2" w:rsidR="002E7DF2" w:rsidTr="00E739BF" w14:paraId="42B3CBB5" w14:textId="77777777">
        <w:tc>
          <w:tcPr>
            <w:tcW w:w="4675" w:type="dxa"/>
          </w:tcPr>
          <w:p w:rsidRPr="002E7DF2" w:rsidR="002E7DF2" w:rsidP="002E7DF2" w:rsidRDefault="002E7DF2" w14:paraId="2612F34E" w14:textId="77777777">
            <w:pPr>
              <w:autoSpaceDE/>
              <w:autoSpaceDN/>
              <w:adjustRightInd/>
              <w:rPr>
                <w:rFonts w:eastAsiaTheme="minorHAnsi"/>
                <w:b/>
                <w:szCs w:val="22"/>
              </w:rPr>
            </w:pPr>
            <w:r w:rsidRPr="002E7DF2">
              <w:rPr>
                <w:rFonts w:eastAsiaTheme="minorHAnsi"/>
                <w:b/>
                <w:bCs/>
                <w:szCs w:val="22"/>
              </w:rPr>
              <w:t>Advanced Energy Economy</w:t>
            </w:r>
          </w:p>
        </w:tc>
        <w:tc>
          <w:tcPr>
            <w:tcW w:w="4675" w:type="dxa"/>
          </w:tcPr>
          <w:p w:rsidRPr="002E7DF2" w:rsidR="002E7DF2" w:rsidP="002E7DF2" w:rsidRDefault="002E7DF2" w14:paraId="400CB620" w14:textId="77777777">
            <w:pPr>
              <w:autoSpaceDE/>
              <w:autoSpaceDN/>
              <w:adjustRightInd/>
              <w:rPr>
                <w:rFonts w:eastAsiaTheme="minorHAnsi"/>
                <w:szCs w:val="22"/>
              </w:rPr>
            </w:pPr>
            <w:r w:rsidRPr="002E7DF2">
              <w:rPr>
                <w:rFonts w:eastAsiaTheme="minorHAnsi"/>
                <w:szCs w:val="22"/>
              </w:rPr>
              <w:t>Advanced Energy Economy</w:t>
            </w:r>
          </w:p>
        </w:tc>
      </w:tr>
      <w:tr w:rsidRPr="002E7DF2" w:rsidR="002E7DF2" w:rsidTr="00E739BF" w14:paraId="2E447B3B" w14:textId="77777777">
        <w:tc>
          <w:tcPr>
            <w:tcW w:w="4675" w:type="dxa"/>
          </w:tcPr>
          <w:p w:rsidRPr="002E7DF2" w:rsidR="002E7DF2" w:rsidP="002E7DF2" w:rsidRDefault="002E7DF2" w14:paraId="069AAFAE" w14:textId="77777777">
            <w:pPr>
              <w:autoSpaceDE/>
              <w:autoSpaceDN/>
              <w:adjustRightInd/>
              <w:rPr>
                <w:rFonts w:eastAsiaTheme="minorHAnsi"/>
                <w:b/>
                <w:szCs w:val="22"/>
              </w:rPr>
            </w:pPr>
            <w:r w:rsidRPr="002E7DF2">
              <w:rPr>
                <w:rFonts w:eastAsiaTheme="minorHAnsi"/>
                <w:b/>
                <w:bCs/>
                <w:szCs w:val="22"/>
              </w:rPr>
              <w:t>Advanced Energy Management</w:t>
            </w:r>
          </w:p>
        </w:tc>
        <w:tc>
          <w:tcPr>
            <w:tcW w:w="4675" w:type="dxa"/>
          </w:tcPr>
          <w:p w:rsidRPr="002E7DF2" w:rsidR="002E7DF2" w:rsidP="002E7DF2" w:rsidRDefault="002E7DF2" w14:paraId="77526047" w14:textId="77777777">
            <w:pPr>
              <w:autoSpaceDE/>
              <w:autoSpaceDN/>
              <w:adjustRightInd/>
              <w:rPr>
                <w:rFonts w:eastAsiaTheme="minorHAnsi"/>
                <w:szCs w:val="22"/>
              </w:rPr>
            </w:pPr>
            <w:r w:rsidRPr="002E7DF2">
              <w:rPr>
                <w:rFonts w:eastAsiaTheme="minorHAnsi"/>
                <w:szCs w:val="22"/>
              </w:rPr>
              <w:t>Advanced Energy Management Alliance</w:t>
            </w:r>
          </w:p>
        </w:tc>
      </w:tr>
      <w:tr w:rsidRPr="002E7DF2" w:rsidR="002E7DF2" w:rsidTr="00E739BF" w14:paraId="5E7C33A3" w14:textId="77777777">
        <w:tc>
          <w:tcPr>
            <w:tcW w:w="4675" w:type="dxa"/>
          </w:tcPr>
          <w:p w:rsidRPr="002E7DF2" w:rsidR="002E7DF2" w:rsidP="002E7DF2" w:rsidRDefault="002E7DF2" w14:paraId="14384E98" w14:textId="77777777">
            <w:pPr>
              <w:autoSpaceDE/>
              <w:autoSpaceDN/>
              <w:adjustRightInd/>
              <w:rPr>
                <w:rFonts w:eastAsiaTheme="minorHAnsi"/>
                <w:b/>
                <w:szCs w:val="22"/>
              </w:rPr>
            </w:pPr>
            <w:r w:rsidRPr="002E7DF2">
              <w:rPr>
                <w:rFonts w:eastAsiaTheme="minorHAnsi"/>
                <w:b/>
                <w:bCs/>
                <w:szCs w:val="22"/>
              </w:rPr>
              <w:t xml:space="preserve">Advanced Microgrid Solutions </w:t>
            </w:r>
          </w:p>
        </w:tc>
        <w:tc>
          <w:tcPr>
            <w:tcW w:w="4675" w:type="dxa"/>
          </w:tcPr>
          <w:p w:rsidRPr="002E7DF2" w:rsidR="002E7DF2" w:rsidP="002E7DF2" w:rsidRDefault="002E7DF2" w14:paraId="4F2BCD9F" w14:textId="77777777">
            <w:pPr>
              <w:autoSpaceDE/>
              <w:autoSpaceDN/>
              <w:adjustRightInd/>
              <w:rPr>
                <w:rFonts w:eastAsiaTheme="minorHAnsi"/>
                <w:szCs w:val="22"/>
              </w:rPr>
            </w:pPr>
            <w:r w:rsidRPr="002E7DF2">
              <w:rPr>
                <w:rFonts w:eastAsiaTheme="minorHAnsi"/>
                <w:szCs w:val="22"/>
              </w:rPr>
              <w:t>Advanced Microgrid Solutions, Inc.</w:t>
            </w:r>
          </w:p>
        </w:tc>
      </w:tr>
      <w:tr w:rsidRPr="002E7DF2" w:rsidR="002E7DF2" w:rsidTr="00E739BF" w14:paraId="738ECFE3" w14:textId="77777777">
        <w:tc>
          <w:tcPr>
            <w:tcW w:w="4675" w:type="dxa"/>
          </w:tcPr>
          <w:p w:rsidRPr="002E7DF2" w:rsidR="002E7DF2" w:rsidP="002E7DF2" w:rsidRDefault="002E7DF2" w14:paraId="5DD5DD1D" w14:textId="4EFDFD50">
            <w:pPr>
              <w:autoSpaceDE/>
              <w:autoSpaceDN/>
              <w:adjustRightInd/>
              <w:rPr>
                <w:rFonts w:eastAsiaTheme="minorHAnsi"/>
                <w:b/>
                <w:bCs/>
                <w:szCs w:val="22"/>
              </w:rPr>
            </w:pPr>
            <w:r w:rsidRPr="002E7DF2">
              <w:rPr>
                <w:rFonts w:eastAsiaTheme="minorHAnsi"/>
                <w:b/>
                <w:bCs/>
                <w:szCs w:val="22"/>
              </w:rPr>
              <w:t>Advanced Rail Energy Storage</w:t>
            </w:r>
          </w:p>
        </w:tc>
        <w:tc>
          <w:tcPr>
            <w:tcW w:w="4675" w:type="dxa"/>
          </w:tcPr>
          <w:p w:rsidRPr="002E7DF2" w:rsidR="002E7DF2" w:rsidP="002E7DF2" w:rsidRDefault="002E7DF2" w14:paraId="709086C3" w14:textId="77777777">
            <w:pPr>
              <w:autoSpaceDE/>
              <w:autoSpaceDN/>
              <w:adjustRightInd/>
              <w:rPr>
                <w:rFonts w:eastAsiaTheme="minorHAnsi"/>
                <w:szCs w:val="22"/>
              </w:rPr>
            </w:pPr>
            <w:r w:rsidRPr="002E7DF2">
              <w:rPr>
                <w:rFonts w:eastAsiaTheme="minorHAnsi"/>
                <w:szCs w:val="22"/>
              </w:rPr>
              <w:t>Advanced Rail Energy Storage, LLC</w:t>
            </w:r>
          </w:p>
        </w:tc>
      </w:tr>
      <w:tr w:rsidRPr="002E7DF2" w:rsidR="002E7DF2" w:rsidTr="00E739BF" w14:paraId="0FFC3BD1" w14:textId="77777777">
        <w:tc>
          <w:tcPr>
            <w:tcW w:w="4675" w:type="dxa"/>
          </w:tcPr>
          <w:p w:rsidRPr="002E7DF2" w:rsidR="002E7DF2" w:rsidP="002E7DF2" w:rsidRDefault="002E7DF2" w14:paraId="48CA2AC7" w14:textId="77777777">
            <w:pPr>
              <w:autoSpaceDE/>
              <w:autoSpaceDN/>
              <w:adjustRightInd/>
              <w:rPr>
                <w:rFonts w:eastAsiaTheme="minorHAnsi"/>
                <w:b/>
                <w:szCs w:val="22"/>
              </w:rPr>
            </w:pPr>
            <w:r w:rsidRPr="002E7DF2">
              <w:rPr>
                <w:rFonts w:eastAsiaTheme="minorHAnsi"/>
                <w:b/>
                <w:bCs/>
                <w:szCs w:val="22"/>
              </w:rPr>
              <w:t>AES Companies</w:t>
            </w:r>
          </w:p>
        </w:tc>
        <w:tc>
          <w:tcPr>
            <w:tcW w:w="4675" w:type="dxa"/>
          </w:tcPr>
          <w:p w:rsidRPr="002E7DF2" w:rsidR="002E7DF2" w:rsidP="002E7DF2" w:rsidRDefault="002E7DF2" w14:paraId="0ED8031E" w14:textId="77777777">
            <w:pPr>
              <w:autoSpaceDE/>
              <w:autoSpaceDN/>
              <w:adjustRightInd/>
              <w:rPr>
                <w:rFonts w:eastAsiaTheme="minorHAnsi"/>
                <w:szCs w:val="22"/>
              </w:rPr>
            </w:pPr>
            <w:r w:rsidRPr="002E7DF2">
              <w:rPr>
                <w:rFonts w:eastAsiaTheme="minorHAnsi"/>
                <w:szCs w:val="22"/>
              </w:rPr>
              <w:t>AES Companies</w:t>
            </w:r>
          </w:p>
        </w:tc>
      </w:tr>
      <w:tr w:rsidRPr="002E7DF2" w:rsidR="002E7DF2" w:rsidTr="00E739BF" w14:paraId="6498F5C6" w14:textId="77777777">
        <w:tc>
          <w:tcPr>
            <w:tcW w:w="4675" w:type="dxa"/>
          </w:tcPr>
          <w:p w:rsidRPr="002E7DF2" w:rsidR="002E7DF2" w:rsidP="002E7DF2" w:rsidRDefault="002E7DF2" w14:paraId="5A8F70F4" w14:textId="617BA521">
            <w:pPr>
              <w:autoSpaceDE/>
              <w:autoSpaceDN/>
              <w:adjustRightInd/>
              <w:rPr>
                <w:rFonts w:eastAsiaTheme="minorHAnsi"/>
                <w:b/>
                <w:bCs/>
                <w:szCs w:val="22"/>
              </w:rPr>
            </w:pPr>
            <w:r w:rsidRPr="002E7DF2">
              <w:rPr>
                <w:rFonts w:eastAsiaTheme="minorHAnsi"/>
                <w:b/>
                <w:bCs/>
                <w:szCs w:val="22"/>
              </w:rPr>
              <w:t>Alevo</w:t>
            </w:r>
          </w:p>
        </w:tc>
        <w:tc>
          <w:tcPr>
            <w:tcW w:w="4675" w:type="dxa"/>
          </w:tcPr>
          <w:p w:rsidRPr="002E7DF2" w:rsidR="002E7DF2" w:rsidP="002E7DF2" w:rsidRDefault="002E7DF2" w14:paraId="4BED2B0A" w14:textId="77777777">
            <w:pPr>
              <w:autoSpaceDE/>
              <w:autoSpaceDN/>
              <w:adjustRightInd/>
              <w:rPr>
                <w:rFonts w:eastAsiaTheme="minorHAnsi"/>
                <w:szCs w:val="22"/>
              </w:rPr>
            </w:pPr>
            <w:r w:rsidRPr="002E7DF2">
              <w:rPr>
                <w:rFonts w:eastAsiaTheme="minorHAnsi"/>
                <w:szCs w:val="22"/>
              </w:rPr>
              <w:t>Alevo USA Inc.</w:t>
            </w:r>
          </w:p>
        </w:tc>
      </w:tr>
      <w:tr w:rsidRPr="002E7DF2" w:rsidR="002E7DF2" w:rsidTr="00E739BF" w14:paraId="504856AA" w14:textId="77777777">
        <w:tc>
          <w:tcPr>
            <w:tcW w:w="4675" w:type="dxa"/>
          </w:tcPr>
          <w:p w:rsidRPr="002E7DF2" w:rsidR="002E7DF2" w:rsidP="002E7DF2" w:rsidRDefault="002E7DF2" w14:paraId="5B199049" w14:textId="141B6271">
            <w:pPr>
              <w:autoSpaceDE/>
              <w:autoSpaceDN/>
              <w:adjustRightInd/>
              <w:rPr>
                <w:rFonts w:eastAsiaTheme="minorHAnsi"/>
                <w:b/>
                <w:bCs/>
                <w:szCs w:val="22"/>
              </w:rPr>
            </w:pPr>
            <w:r w:rsidRPr="002E7DF2">
              <w:rPr>
                <w:rFonts w:eastAsiaTheme="minorHAnsi"/>
                <w:b/>
                <w:bCs/>
                <w:szCs w:val="22"/>
              </w:rPr>
              <w:t>Altametric</w:t>
            </w:r>
          </w:p>
        </w:tc>
        <w:tc>
          <w:tcPr>
            <w:tcW w:w="4675" w:type="dxa"/>
          </w:tcPr>
          <w:p w:rsidRPr="002E7DF2" w:rsidR="002E7DF2" w:rsidP="002E7DF2" w:rsidRDefault="002E7DF2" w14:paraId="7EC114CF" w14:textId="77777777">
            <w:pPr>
              <w:autoSpaceDE/>
              <w:autoSpaceDN/>
              <w:adjustRightInd/>
              <w:rPr>
                <w:rFonts w:eastAsiaTheme="minorHAnsi"/>
                <w:szCs w:val="22"/>
              </w:rPr>
            </w:pPr>
            <w:r w:rsidRPr="002E7DF2">
              <w:rPr>
                <w:rFonts w:eastAsiaTheme="minorHAnsi"/>
                <w:szCs w:val="22"/>
              </w:rPr>
              <w:t>Altametric LLC</w:t>
            </w:r>
          </w:p>
        </w:tc>
      </w:tr>
      <w:tr w:rsidRPr="002E7DF2" w:rsidR="002E7DF2" w:rsidTr="00E739BF" w14:paraId="5E75AC1A" w14:textId="77777777">
        <w:tc>
          <w:tcPr>
            <w:tcW w:w="4675" w:type="dxa"/>
          </w:tcPr>
          <w:p w:rsidRPr="002E7DF2" w:rsidR="002E7DF2" w:rsidP="002E7DF2" w:rsidRDefault="002E7DF2" w14:paraId="02318F34" w14:textId="61EAEC86">
            <w:pPr>
              <w:autoSpaceDE/>
              <w:autoSpaceDN/>
              <w:adjustRightInd/>
              <w:rPr>
                <w:rFonts w:eastAsiaTheme="minorHAnsi"/>
                <w:b/>
                <w:bCs/>
                <w:szCs w:val="22"/>
              </w:rPr>
            </w:pPr>
            <w:r w:rsidRPr="002E7DF2">
              <w:rPr>
                <w:rFonts w:eastAsiaTheme="minorHAnsi"/>
                <w:b/>
                <w:bCs/>
                <w:szCs w:val="22"/>
              </w:rPr>
              <w:t>Amanda Drabek</w:t>
            </w:r>
          </w:p>
        </w:tc>
        <w:tc>
          <w:tcPr>
            <w:tcW w:w="4675" w:type="dxa"/>
          </w:tcPr>
          <w:p w:rsidRPr="002E7DF2" w:rsidR="002E7DF2" w:rsidP="002E7DF2" w:rsidRDefault="002E7DF2" w14:paraId="424F7064" w14:textId="77777777">
            <w:pPr>
              <w:autoSpaceDE/>
              <w:autoSpaceDN/>
              <w:adjustRightInd/>
              <w:rPr>
                <w:rFonts w:eastAsiaTheme="minorHAnsi"/>
                <w:szCs w:val="22"/>
              </w:rPr>
            </w:pPr>
            <w:r w:rsidRPr="002E7DF2">
              <w:rPr>
                <w:rFonts w:eastAsiaTheme="minorHAnsi"/>
                <w:szCs w:val="22"/>
              </w:rPr>
              <w:t>Amanda Drabek, Pantsuit Nation of East</w:t>
            </w:r>
          </w:p>
          <w:p w:rsidRPr="002E7DF2" w:rsidR="002E7DF2" w:rsidP="002E7DF2" w:rsidRDefault="002E7DF2" w14:paraId="7C979680" w14:textId="77777777">
            <w:pPr>
              <w:autoSpaceDE/>
              <w:autoSpaceDN/>
              <w:adjustRightInd/>
              <w:rPr>
                <w:rFonts w:eastAsiaTheme="minorHAnsi"/>
                <w:szCs w:val="22"/>
              </w:rPr>
            </w:pPr>
            <w:r w:rsidRPr="002E7DF2">
              <w:rPr>
                <w:rFonts w:eastAsiaTheme="minorHAnsi"/>
                <w:szCs w:val="22"/>
              </w:rPr>
              <w:t>Texas</w:t>
            </w:r>
          </w:p>
        </w:tc>
      </w:tr>
      <w:tr w:rsidRPr="002E7DF2" w:rsidR="002E7DF2" w:rsidTr="00E739BF" w14:paraId="39A62363" w14:textId="77777777">
        <w:tc>
          <w:tcPr>
            <w:tcW w:w="4675" w:type="dxa"/>
          </w:tcPr>
          <w:p w:rsidRPr="002E7DF2" w:rsidR="002E7DF2" w:rsidP="002E7DF2" w:rsidRDefault="002E7DF2" w14:paraId="6358482C" w14:textId="77777777">
            <w:pPr>
              <w:autoSpaceDE/>
              <w:autoSpaceDN/>
              <w:adjustRightInd/>
              <w:rPr>
                <w:rFonts w:eastAsiaTheme="minorHAnsi"/>
                <w:b/>
                <w:szCs w:val="22"/>
              </w:rPr>
            </w:pPr>
            <w:r w:rsidRPr="002E7DF2">
              <w:rPr>
                <w:rFonts w:eastAsiaTheme="minorHAnsi"/>
                <w:b/>
                <w:bCs/>
                <w:szCs w:val="22"/>
              </w:rPr>
              <w:t xml:space="preserve">American Petroleum Institute </w:t>
            </w:r>
          </w:p>
        </w:tc>
        <w:tc>
          <w:tcPr>
            <w:tcW w:w="4675" w:type="dxa"/>
          </w:tcPr>
          <w:p w:rsidRPr="002E7DF2" w:rsidR="002E7DF2" w:rsidP="002E7DF2" w:rsidRDefault="002E7DF2" w14:paraId="4CD59AF2" w14:textId="77777777">
            <w:pPr>
              <w:autoSpaceDE/>
              <w:autoSpaceDN/>
              <w:adjustRightInd/>
              <w:rPr>
                <w:rFonts w:eastAsiaTheme="minorHAnsi"/>
                <w:szCs w:val="22"/>
              </w:rPr>
            </w:pPr>
            <w:r w:rsidRPr="002E7DF2">
              <w:rPr>
                <w:rFonts w:eastAsiaTheme="minorHAnsi"/>
                <w:szCs w:val="22"/>
              </w:rPr>
              <w:t>American Petroleum Institute</w:t>
            </w:r>
          </w:p>
        </w:tc>
      </w:tr>
      <w:tr w:rsidRPr="002E7DF2" w:rsidR="002E7DF2" w:rsidTr="00E739BF" w14:paraId="1AE7677F" w14:textId="77777777">
        <w:tc>
          <w:tcPr>
            <w:tcW w:w="4675" w:type="dxa"/>
          </w:tcPr>
          <w:p w:rsidRPr="002E7DF2" w:rsidR="002E7DF2" w:rsidP="002E7DF2" w:rsidRDefault="00E26050" w14:paraId="35A84EE7" w14:textId="3BB94EC4">
            <w:pPr>
              <w:autoSpaceDE/>
              <w:autoSpaceDN/>
              <w:adjustRightInd/>
              <w:rPr>
                <w:rFonts w:eastAsiaTheme="minorHAnsi"/>
                <w:b/>
                <w:bCs/>
                <w:szCs w:val="22"/>
              </w:rPr>
            </w:pPr>
            <w:r w:rsidRPr="00E26050">
              <w:rPr>
                <w:rFonts w:eastAsiaTheme="minorHAnsi"/>
                <w:b/>
                <w:bCs/>
                <w:szCs w:val="22"/>
              </w:rPr>
              <w:t xml:space="preserve">Vice Chairman </w:t>
            </w:r>
            <w:r w:rsidRPr="002E7DF2" w:rsidR="002E7DF2">
              <w:rPr>
                <w:rFonts w:eastAsiaTheme="minorHAnsi"/>
                <w:b/>
                <w:bCs/>
                <w:szCs w:val="22"/>
              </w:rPr>
              <w:t>Place</w:t>
            </w:r>
          </w:p>
        </w:tc>
        <w:tc>
          <w:tcPr>
            <w:tcW w:w="4675" w:type="dxa"/>
          </w:tcPr>
          <w:p w:rsidRPr="002E7DF2" w:rsidR="002E7DF2" w:rsidP="002E7DF2" w:rsidRDefault="009A4285" w14:paraId="14E7C7C4" w14:textId="39161E78">
            <w:pPr>
              <w:autoSpaceDE/>
              <w:autoSpaceDN/>
              <w:adjustRightInd/>
              <w:rPr>
                <w:rFonts w:eastAsiaTheme="minorHAnsi"/>
                <w:szCs w:val="22"/>
              </w:rPr>
            </w:pPr>
            <w:r w:rsidRPr="009A4285">
              <w:rPr>
                <w:rFonts w:eastAsiaTheme="minorHAnsi"/>
                <w:szCs w:val="22"/>
              </w:rPr>
              <w:t>Vice Chairman Andrew Place of the Pennsylvania Public Utilities Commission</w:t>
            </w:r>
          </w:p>
        </w:tc>
      </w:tr>
      <w:tr w:rsidRPr="002E7DF2" w:rsidR="002E7DF2" w:rsidTr="00E739BF" w14:paraId="2C590A90" w14:textId="77777777">
        <w:tc>
          <w:tcPr>
            <w:tcW w:w="4675" w:type="dxa"/>
          </w:tcPr>
          <w:p w:rsidRPr="002E7DF2" w:rsidR="002E7DF2" w:rsidP="002E7DF2" w:rsidRDefault="002E7DF2" w14:paraId="3A7A3CF1" w14:textId="77777777">
            <w:pPr>
              <w:autoSpaceDE/>
              <w:autoSpaceDN/>
              <w:adjustRightInd/>
              <w:rPr>
                <w:rFonts w:eastAsiaTheme="minorHAnsi"/>
                <w:b/>
                <w:szCs w:val="22"/>
              </w:rPr>
            </w:pPr>
            <w:r w:rsidRPr="002E7DF2">
              <w:rPr>
                <w:rFonts w:eastAsiaTheme="minorHAnsi"/>
                <w:b/>
                <w:bCs/>
                <w:szCs w:val="22"/>
              </w:rPr>
              <w:t>APPA</w:t>
            </w:r>
          </w:p>
        </w:tc>
        <w:tc>
          <w:tcPr>
            <w:tcW w:w="4675" w:type="dxa"/>
          </w:tcPr>
          <w:p w:rsidRPr="002E7DF2" w:rsidR="002E7DF2" w:rsidP="002E7DF2" w:rsidRDefault="002E7DF2" w14:paraId="7E80C02A" w14:textId="77777777">
            <w:pPr>
              <w:autoSpaceDE/>
              <w:autoSpaceDN/>
              <w:adjustRightInd/>
              <w:rPr>
                <w:rFonts w:eastAsiaTheme="minorHAnsi"/>
                <w:szCs w:val="22"/>
              </w:rPr>
            </w:pPr>
            <w:r w:rsidRPr="002E7DF2">
              <w:rPr>
                <w:rFonts w:eastAsiaTheme="minorHAnsi"/>
                <w:szCs w:val="22"/>
              </w:rPr>
              <w:t xml:space="preserve">American Public Power Association </w:t>
            </w:r>
          </w:p>
        </w:tc>
      </w:tr>
      <w:tr w:rsidRPr="002E7DF2" w:rsidR="002E7DF2" w:rsidTr="00E739BF" w14:paraId="05D34C84" w14:textId="77777777">
        <w:tc>
          <w:tcPr>
            <w:tcW w:w="4675" w:type="dxa"/>
          </w:tcPr>
          <w:p w:rsidRPr="002E7DF2" w:rsidR="002E7DF2" w:rsidP="002E7DF2" w:rsidRDefault="002E7DF2" w14:paraId="6EF7012A" w14:textId="77777777">
            <w:pPr>
              <w:autoSpaceDE/>
              <w:autoSpaceDN/>
              <w:adjustRightInd/>
              <w:rPr>
                <w:rFonts w:eastAsiaTheme="minorHAnsi"/>
                <w:b/>
                <w:szCs w:val="22"/>
              </w:rPr>
            </w:pPr>
            <w:r w:rsidRPr="002E7DF2">
              <w:rPr>
                <w:rFonts w:eastAsiaTheme="minorHAnsi"/>
                <w:b/>
                <w:bCs/>
                <w:szCs w:val="22"/>
              </w:rPr>
              <w:t>APPA/NRECA</w:t>
            </w:r>
          </w:p>
        </w:tc>
        <w:tc>
          <w:tcPr>
            <w:tcW w:w="4675" w:type="dxa"/>
          </w:tcPr>
          <w:p w:rsidRPr="002E7DF2" w:rsidR="002E7DF2" w:rsidP="002E7DF2" w:rsidRDefault="002E7DF2" w14:paraId="14F493B5" w14:textId="77777777">
            <w:pPr>
              <w:autoSpaceDE/>
              <w:autoSpaceDN/>
              <w:adjustRightInd/>
              <w:rPr>
                <w:rFonts w:eastAsiaTheme="minorHAnsi"/>
                <w:szCs w:val="22"/>
              </w:rPr>
            </w:pPr>
            <w:r w:rsidRPr="002E7DF2">
              <w:rPr>
                <w:rFonts w:eastAsiaTheme="minorHAnsi"/>
                <w:szCs w:val="22"/>
              </w:rPr>
              <w:t>American Public Power Association and National Rural Electric Cooperative Association</w:t>
            </w:r>
          </w:p>
        </w:tc>
      </w:tr>
      <w:tr w:rsidRPr="002E7DF2" w:rsidR="002E7DF2" w:rsidTr="00E739BF" w14:paraId="6028E83A" w14:textId="77777777">
        <w:tc>
          <w:tcPr>
            <w:tcW w:w="4675" w:type="dxa"/>
          </w:tcPr>
          <w:p w:rsidRPr="002E7DF2" w:rsidR="002E7DF2" w:rsidP="002E7DF2" w:rsidRDefault="002E7DF2" w14:paraId="162B1B8E" w14:textId="77777777">
            <w:pPr>
              <w:autoSpaceDE/>
              <w:autoSpaceDN/>
              <w:adjustRightInd/>
              <w:rPr>
                <w:rFonts w:eastAsiaTheme="minorHAnsi"/>
                <w:b/>
                <w:bCs/>
                <w:szCs w:val="22"/>
              </w:rPr>
            </w:pPr>
            <w:r w:rsidRPr="002E7DF2">
              <w:rPr>
                <w:rFonts w:eastAsiaTheme="minorHAnsi"/>
                <w:b/>
                <w:bCs/>
                <w:szCs w:val="22"/>
              </w:rPr>
              <w:t>Arkansas Commission</w:t>
            </w:r>
          </w:p>
        </w:tc>
        <w:tc>
          <w:tcPr>
            <w:tcW w:w="4675" w:type="dxa"/>
          </w:tcPr>
          <w:p w:rsidRPr="002E7DF2" w:rsidR="002E7DF2" w:rsidP="002E7DF2" w:rsidRDefault="002E7DF2" w14:paraId="0ECCC186" w14:textId="77777777">
            <w:pPr>
              <w:autoSpaceDE/>
              <w:autoSpaceDN/>
              <w:adjustRightInd/>
              <w:rPr>
                <w:rFonts w:eastAsiaTheme="minorHAnsi"/>
                <w:szCs w:val="22"/>
              </w:rPr>
            </w:pPr>
            <w:r w:rsidRPr="002E7DF2">
              <w:rPr>
                <w:rFonts w:eastAsiaTheme="minorHAnsi"/>
                <w:szCs w:val="22"/>
              </w:rPr>
              <w:t>Arkansas Public Service Commission</w:t>
            </w:r>
          </w:p>
        </w:tc>
      </w:tr>
      <w:tr w:rsidRPr="002E7DF2" w:rsidR="002E7DF2" w:rsidTr="00E739BF" w14:paraId="7131CDB1" w14:textId="77777777">
        <w:tc>
          <w:tcPr>
            <w:tcW w:w="4675" w:type="dxa"/>
          </w:tcPr>
          <w:p w:rsidRPr="002E7DF2" w:rsidR="002E7DF2" w:rsidP="002E7DF2" w:rsidRDefault="002E7DF2" w14:paraId="1C61DBE7" w14:textId="77777777">
            <w:pPr>
              <w:autoSpaceDE/>
              <w:autoSpaceDN/>
              <w:adjustRightInd/>
              <w:rPr>
                <w:rFonts w:eastAsiaTheme="minorHAnsi"/>
                <w:b/>
                <w:szCs w:val="22"/>
              </w:rPr>
            </w:pPr>
            <w:r w:rsidRPr="002E7DF2">
              <w:rPr>
                <w:rFonts w:eastAsiaTheme="minorHAnsi"/>
                <w:b/>
                <w:bCs/>
                <w:szCs w:val="22"/>
              </w:rPr>
              <w:t>Avangrid</w:t>
            </w:r>
          </w:p>
        </w:tc>
        <w:tc>
          <w:tcPr>
            <w:tcW w:w="4675" w:type="dxa"/>
          </w:tcPr>
          <w:p w:rsidRPr="002E7DF2" w:rsidR="002E7DF2" w:rsidP="002E7DF2" w:rsidRDefault="002E7DF2" w14:paraId="713DF6CB" w14:textId="77777777">
            <w:pPr>
              <w:autoSpaceDE/>
              <w:autoSpaceDN/>
              <w:adjustRightInd/>
              <w:rPr>
                <w:rFonts w:eastAsiaTheme="minorHAnsi"/>
                <w:szCs w:val="22"/>
              </w:rPr>
            </w:pPr>
            <w:r w:rsidRPr="002E7DF2">
              <w:rPr>
                <w:rFonts w:eastAsiaTheme="minorHAnsi"/>
                <w:szCs w:val="22"/>
              </w:rPr>
              <w:t>AVANGRID, Inc.</w:t>
            </w:r>
          </w:p>
        </w:tc>
      </w:tr>
      <w:tr w:rsidRPr="002E7DF2" w:rsidR="002E7DF2" w:rsidTr="00E739BF" w14:paraId="5C65F93F" w14:textId="77777777">
        <w:tc>
          <w:tcPr>
            <w:tcW w:w="4675" w:type="dxa"/>
          </w:tcPr>
          <w:p w:rsidRPr="002E7DF2" w:rsidR="002E7DF2" w:rsidP="002E7DF2" w:rsidRDefault="002E7DF2" w14:paraId="1EACFA8F" w14:textId="77777777">
            <w:pPr>
              <w:autoSpaceDE/>
              <w:autoSpaceDN/>
              <w:adjustRightInd/>
              <w:rPr>
                <w:rFonts w:eastAsiaTheme="minorHAnsi"/>
                <w:b/>
                <w:szCs w:val="22"/>
              </w:rPr>
            </w:pPr>
            <w:r w:rsidRPr="002E7DF2">
              <w:rPr>
                <w:rFonts w:eastAsiaTheme="minorHAnsi"/>
                <w:b/>
                <w:bCs/>
                <w:szCs w:val="22"/>
              </w:rPr>
              <w:t>AWEA</w:t>
            </w:r>
          </w:p>
        </w:tc>
        <w:tc>
          <w:tcPr>
            <w:tcW w:w="4675" w:type="dxa"/>
          </w:tcPr>
          <w:p w:rsidRPr="002E7DF2" w:rsidR="002E7DF2" w:rsidP="002E7DF2" w:rsidRDefault="002E7DF2" w14:paraId="6D151225" w14:textId="77777777">
            <w:pPr>
              <w:autoSpaceDE/>
              <w:autoSpaceDN/>
              <w:adjustRightInd/>
              <w:rPr>
                <w:rFonts w:eastAsiaTheme="minorHAnsi"/>
                <w:szCs w:val="22"/>
              </w:rPr>
            </w:pPr>
            <w:r w:rsidRPr="002E7DF2">
              <w:rPr>
                <w:rFonts w:eastAsiaTheme="minorHAnsi"/>
                <w:szCs w:val="22"/>
              </w:rPr>
              <w:t>American Wind Energy Association</w:t>
            </w:r>
          </w:p>
        </w:tc>
      </w:tr>
      <w:tr w:rsidRPr="002E7DF2" w:rsidR="002E7DF2" w:rsidTr="00E739BF" w14:paraId="1618D2FA" w14:textId="77777777">
        <w:tc>
          <w:tcPr>
            <w:tcW w:w="4675" w:type="dxa"/>
          </w:tcPr>
          <w:p w:rsidRPr="002E7DF2" w:rsidR="002E7DF2" w:rsidP="002E7DF2" w:rsidRDefault="002E7DF2" w14:paraId="4F17BDA1" w14:textId="18ED2033">
            <w:pPr>
              <w:autoSpaceDE/>
              <w:autoSpaceDN/>
              <w:adjustRightInd/>
              <w:rPr>
                <w:rFonts w:eastAsiaTheme="minorHAnsi"/>
                <w:b/>
                <w:bCs/>
                <w:szCs w:val="22"/>
              </w:rPr>
            </w:pPr>
            <w:r w:rsidRPr="002E7DF2">
              <w:rPr>
                <w:rFonts w:eastAsiaTheme="minorHAnsi"/>
                <w:b/>
                <w:bCs/>
                <w:szCs w:val="22"/>
              </w:rPr>
              <w:t>Beacon Power</w:t>
            </w:r>
          </w:p>
        </w:tc>
        <w:tc>
          <w:tcPr>
            <w:tcW w:w="4675" w:type="dxa"/>
          </w:tcPr>
          <w:p w:rsidRPr="002E7DF2" w:rsidR="002E7DF2" w:rsidP="002E7DF2" w:rsidRDefault="002E7DF2" w14:paraId="5CD297DD" w14:textId="77777777">
            <w:pPr>
              <w:autoSpaceDE/>
              <w:autoSpaceDN/>
              <w:adjustRightInd/>
              <w:rPr>
                <w:rFonts w:eastAsiaTheme="minorHAnsi"/>
                <w:szCs w:val="22"/>
              </w:rPr>
            </w:pPr>
            <w:r w:rsidRPr="002E7DF2">
              <w:rPr>
                <w:rFonts w:eastAsiaTheme="minorHAnsi"/>
                <w:szCs w:val="22"/>
              </w:rPr>
              <w:t>Beacon Power, LLC</w:t>
            </w:r>
          </w:p>
        </w:tc>
      </w:tr>
      <w:tr w:rsidRPr="002E7DF2" w:rsidR="002E7DF2" w:rsidTr="00E739BF" w14:paraId="2661BAD2" w14:textId="77777777">
        <w:tc>
          <w:tcPr>
            <w:tcW w:w="4675" w:type="dxa"/>
          </w:tcPr>
          <w:p w:rsidRPr="002E7DF2" w:rsidR="002E7DF2" w:rsidP="002E7DF2" w:rsidRDefault="002E7DF2" w14:paraId="5162848E" w14:textId="088E2C8A">
            <w:pPr>
              <w:autoSpaceDE/>
              <w:autoSpaceDN/>
              <w:adjustRightInd/>
              <w:rPr>
                <w:rFonts w:eastAsiaTheme="minorHAnsi"/>
                <w:b/>
                <w:bCs/>
                <w:szCs w:val="22"/>
              </w:rPr>
            </w:pPr>
            <w:r w:rsidRPr="002E7DF2">
              <w:rPr>
                <w:rFonts w:eastAsiaTheme="minorHAnsi"/>
                <w:b/>
                <w:bCs/>
                <w:szCs w:val="22"/>
              </w:rPr>
              <w:t>Benjamin Kingston</w:t>
            </w:r>
          </w:p>
        </w:tc>
        <w:tc>
          <w:tcPr>
            <w:tcW w:w="4675" w:type="dxa"/>
          </w:tcPr>
          <w:p w:rsidRPr="002E7DF2" w:rsidR="002E7DF2" w:rsidP="002E7DF2" w:rsidRDefault="002E7DF2" w14:paraId="4B841D38" w14:textId="77777777">
            <w:pPr>
              <w:autoSpaceDE/>
              <w:autoSpaceDN/>
              <w:adjustRightInd/>
              <w:rPr>
                <w:rFonts w:eastAsiaTheme="minorHAnsi"/>
                <w:szCs w:val="22"/>
              </w:rPr>
            </w:pPr>
            <w:r w:rsidRPr="002E7DF2">
              <w:rPr>
                <w:rFonts w:eastAsiaTheme="minorHAnsi"/>
                <w:szCs w:val="22"/>
              </w:rPr>
              <w:t>Benjamin D. Kingston</w:t>
            </w:r>
          </w:p>
        </w:tc>
      </w:tr>
      <w:tr w:rsidRPr="002E7DF2" w:rsidR="002E7DF2" w:rsidTr="00E739BF" w14:paraId="39402610" w14:textId="77777777">
        <w:tc>
          <w:tcPr>
            <w:tcW w:w="4675" w:type="dxa"/>
          </w:tcPr>
          <w:p w:rsidRPr="002E7DF2" w:rsidR="002E7DF2" w:rsidP="002E7DF2" w:rsidRDefault="002E7DF2" w14:paraId="0E48DD17" w14:textId="77777777">
            <w:pPr>
              <w:autoSpaceDE/>
              <w:autoSpaceDN/>
              <w:adjustRightInd/>
              <w:rPr>
                <w:rFonts w:eastAsiaTheme="minorHAnsi"/>
                <w:b/>
                <w:szCs w:val="22"/>
              </w:rPr>
            </w:pPr>
            <w:r w:rsidRPr="002E7DF2">
              <w:rPr>
                <w:rFonts w:eastAsiaTheme="minorHAnsi"/>
                <w:b/>
                <w:bCs/>
                <w:szCs w:val="22"/>
              </w:rPr>
              <w:t>Bonneville</w:t>
            </w:r>
          </w:p>
        </w:tc>
        <w:tc>
          <w:tcPr>
            <w:tcW w:w="4675" w:type="dxa"/>
          </w:tcPr>
          <w:p w:rsidRPr="002E7DF2" w:rsidR="002E7DF2" w:rsidP="002E7DF2" w:rsidRDefault="002E7DF2" w14:paraId="1C5663D2" w14:textId="77777777">
            <w:pPr>
              <w:autoSpaceDE/>
              <w:autoSpaceDN/>
              <w:adjustRightInd/>
              <w:rPr>
                <w:rFonts w:eastAsiaTheme="minorHAnsi"/>
                <w:szCs w:val="22"/>
              </w:rPr>
            </w:pPr>
            <w:r w:rsidRPr="002E7DF2">
              <w:rPr>
                <w:rFonts w:eastAsiaTheme="minorHAnsi"/>
                <w:szCs w:val="22"/>
              </w:rPr>
              <w:t>Bonneville Power Administration</w:t>
            </w:r>
          </w:p>
        </w:tc>
      </w:tr>
      <w:tr w:rsidRPr="002E7DF2" w:rsidR="002E7DF2" w:rsidTr="00E739BF" w14:paraId="7840D26C" w14:textId="77777777">
        <w:tc>
          <w:tcPr>
            <w:tcW w:w="4675" w:type="dxa"/>
          </w:tcPr>
          <w:p w:rsidRPr="002E7DF2" w:rsidR="002E7DF2" w:rsidP="002E7DF2" w:rsidRDefault="002E7DF2" w14:paraId="6D01052F" w14:textId="6F4D5694">
            <w:pPr>
              <w:autoSpaceDE/>
              <w:autoSpaceDN/>
              <w:adjustRightInd/>
              <w:rPr>
                <w:rFonts w:eastAsiaTheme="minorHAnsi"/>
                <w:b/>
                <w:bCs/>
                <w:szCs w:val="22"/>
              </w:rPr>
            </w:pPr>
            <w:r w:rsidRPr="002E7DF2">
              <w:rPr>
                <w:rFonts w:eastAsiaTheme="minorHAnsi"/>
                <w:b/>
                <w:bCs/>
                <w:szCs w:val="22"/>
              </w:rPr>
              <w:t>Brookfield Renewable</w:t>
            </w:r>
          </w:p>
        </w:tc>
        <w:tc>
          <w:tcPr>
            <w:tcW w:w="4675" w:type="dxa"/>
          </w:tcPr>
          <w:p w:rsidRPr="002E7DF2" w:rsidR="002E7DF2" w:rsidP="002E7DF2" w:rsidRDefault="002E7DF2" w14:paraId="5B30BFF4" w14:textId="77777777">
            <w:pPr>
              <w:autoSpaceDE/>
              <w:autoSpaceDN/>
              <w:adjustRightInd/>
              <w:rPr>
                <w:rFonts w:eastAsiaTheme="minorHAnsi"/>
                <w:szCs w:val="22"/>
              </w:rPr>
            </w:pPr>
            <w:r w:rsidRPr="002E7DF2">
              <w:rPr>
                <w:rFonts w:eastAsiaTheme="minorHAnsi"/>
                <w:szCs w:val="22"/>
              </w:rPr>
              <w:t>Brookfield Renewable</w:t>
            </w:r>
          </w:p>
        </w:tc>
      </w:tr>
      <w:tr w:rsidRPr="002E7DF2" w:rsidR="002E7DF2" w:rsidTr="00E739BF" w14:paraId="4A070463" w14:textId="77777777">
        <w:tc>
          <w:tcPr>
            <w:tcW w:w="4675" w:type="dxa"/>
          </w:tcPr>
          <w:p w:rsidRPr="002E7DF2" w:rsidR="002E7DF2" w:rsidP="002E7DF2" w:rsidRDefault="002E7DF2" w14:paraId="69D570D1" w14:textId="77777777">
            <w:pPr>
              <w:autoSpaceDE/>
              <w:autoSpaceDN/>
              <w:adjustRightInd/>
              <w:rPr>
                <w:rFonts w:eastAsiaTheme="minorHAnsi"/>
                <w:b/>
                <w:szCs w:val="22"/>
              </w:rPr>
            </w:pPr>
            <w:r w:rsidRPr="002E7DF2">
              <w:rPr>
                <w:rFonts w:eastAsiaTheme="minorHAnsi"/>
                <w:b/>
                <w:bCs/>
                <w:szCs w:val="22"/>
              </w:rPr>
              <w:t>CAISO</w:t>
            </w:r>
          </w:p>
        </w:tc>
        <w:tc>
          <w:tcPr>
            <w:tcW w:w="4675" w:type="dxa"/>
          </w:tcPr>
          <w:p w:rsidRPr="002E7DF2" w:rsidR="002E7DF2" w:rsidP="002E7DF2" w:rsidRDefault="002E7DF2" w14:paraId="3C55FE3B" w14:textId="77777777">
            <w:pPr>
              <w:autoSpaceDE/>
              <w:autoSpaceDN/>
              <w:adjustRightInd/>
              <w:rPr>
                <w:rFonts w:eastAsiaTheme="minorHAnsi"/>
                <w:szCs w:val="22"/>
              </w:rPr>
            </w:pPr>
            <w:r w:rsidRPr="002E7DF2">
              <w:rPr>
                <w:rFonts w:eastAsiaTheme="minorHAnsi"/>
                <w:szCs w:val="22"/>
              </w:rPr>
              <w:t>California Independent System Operator Corporation</w:t>
            </w:r>
          </w:p>
        </w:tc>
      </w:tr>
      <w:tr w:rsidRPr="002E7DF2" w:rsidR="002E7DF2" w:rsidTr="00E739BF" w14:paraId="115B9374" w14:textId="77777777">
        <w:tc>
          <w:tcPr>
            <w:tcW w:w="4675" w:type="dxa"/>
          </w:tcPr>
          <w:p w:rsidRPr="002E7DF2" w:rsidR="002E7DF2" w:rsidP="002E7DF2" w:rsidRDefault="002E7DF2" w14:paraId="0A401379" w14:textId="77777777">
            <w:pPr>
              <w:autoSpaceDE/>
              <w:autoSpaceDN/>
              <w:adjustRightInd/>
              <w:rPr>
                <w:rFonts w:eastAsiaTheme="minorHAnsi"/>
                <w:b/>
                <w:szCs w:val="22"/>
              </w:rPr>
            </w:pPr>
            <w:r w:rsidRPr="002E7DF2">
              <w:rPr>
                <w:rFonts w:eastAsiaTheme="minorHAnsi"/>
                <w:b/>
                <w:bCs/>
                <w:szCs w:val="22"/>
              </w:rPr>
              <w:t>California Commission</w:t>
            </w:r>
          </w:p>
        </w:tc>
        <w:tc>
          <w:tcPr>
            <w:tcW w:w="4675" w:type="dxa"/>
          </w:tcPr>
          <w:p w:rsidRPr="002E7DF2" w:rsidR="002E7DF2" w:rsidP="002E7DF2" w:rsidRDefault="002E7DF2" w14:paraId="5737C3B3" w14:textId="77777777">
            <w:pPr>
              <w:autoSpaceDE/>
              <w:autoSpaceDN/>
              <w:adjustRightInd/>
              <w:rPr>
                <w:rFonts w:eastAsiaTheme="minorHAnsi"/>
                <w:szCs w:val="22"/>
              </w:rPr>
            </w:pPr>
            <w:r w:rsidRPr="002E7DF2">
              <w:rPr>
                <w:rFonts w:eastAsiaTheme="minorHAnsi"/>
                <w:szCs w:val="22"/>
              </w:rPr>
              <w:t>Public Utilities Commission of the State of California</w:t>
            </w:r>
          </w:p>
        </w:tc>
      </w:tr>
      <w:tr w:rsidRPr="002E7DF2" w:rsidR="002E7DF2" w:rsidTr="00E739BF" w14:paraId="71F7691C" w14:textId="77777777">
        <w:tc>
          <w:tcPr>
            <w:tcW w:w="4675" w:type="dxa"/>
          </w:tcPr>
          <w:p w:rsidRPr="002E7DF2" w:rsidR="002E7DF2" w:rsidP="002E7DF2" w:rsidRDefault="002E7DF2" w14:paraId="0134926D" w14:textId="77777777">
            <w:pPr>
              <w:autoSpaceDE/>
              <w:autoSpaceDN/>
              <w:adjustRightInd/>
              <w:rPr>
                <w:rFonts w:eastAsiaTheme="minorHAnsi"/>
                <w:b/>
                <w:szCs w:val="22"/>
              </w:rPr>
            </w:pPr>
            <w:r w:rsidRPr="002E7DF2">
              <w:rPr>
                <w:rFonts w:eastAsiaTheme="minorHAnsi"/>
                <w:b/>
                <w:bCs/>
                <w:szCs w:val="22"/>
              </w:rPr>
              <w:t>California Energy Storage Alliance</w:t>
            </w:r>
          </w:p>
        </w:tc>
        <w:tc>
          <w:tcPr>
            <w:tcW w:w="4675" w:type="dxa"/>
          </w:tcPr>
          <w:p w:rsidRPr="002E7DF2" w:rsidR="002E7DF2" w:rsidP="002E7DF2" w:rsidRDefault="002E7DF2" w14:paraId="58E2056F" w14:textId="77777777">
            <w:pPr>
              <w:autoSpaceDE/>
              <w:autoSpaceDN/>
              <w:adjustRightInd/>
              <w:rPr>
                <w:rFonts w:eastAsiaTheme="minorHAnsi"/>
                <w:szCs w:val="22"/>
              </w:rPr>
            </w:pPr>
            <w:r w:rsidRPr="002E7DF2">
              <w:rPr>
                <w:rFonts w:eastAsiaTheme="minorHAnsi"/>
                <w:szCs w:val="22"/>
              </w:rPr>
              <w:t>California Energy Storage Alliance</w:t>
            </w:r>
          </w:p>
        </w:tc>
      </w:tr>
      <w:tr w:rsidRPr="002E7DF2" w:rsidR="002E7DF2" w:rsidTr="00E739BF" w14:paraId="0C2EB254" w14:textId="77777777">
        <w:tc>
          <w:tcPr>
            <w:tcW w:w="4675" w:type="dxa"/>
          </w:tcPr>
          <w:p w:rsidRPr="002E7DF2" w:rsidR="002E7DF2" w:rsidP="002E7DF2" w:rsidRDefault="002E7DF2" w14:paraId="3B885128" w14:textId="393A6666">
            <w:pPr>
              <w:autoSpaceDE/>
              <w:autoSpaceDN/>
              <w:adjustRightInd/>
              <w:rPr>
                <w:rFonts w:eastAsiaTheme="minorHAnsi"/>
                <w:b/>
                <w:bCs/>
                <w:szCs w:val="22"/>
              </w:rPr>
            </w:pPr>
            <w:r w:rsidRPr="002E7DF2">
              <w:rPr>
                <w:rFonts w:eastAsiaTheme="minorHAnsi"/>
                <w:b/>
                <w:bCs/>
                <w:szCs w:val="22"/>
              </w:rPr>
              <w:t>California Municipals</w:t>
            </w:r>
          </w:p>
        </w:tc>
        <w:tc>
          <w:tcPr>
            <w:tcW w:w="4675" w:type="dxa"/>
          </w:tcPr>
          <w:p w:rsidRPr="002E7DF2" w:rsidR="002E7DF2" w:rsidP="002E7DF2" w:rsidRDefault="002E7DF2" w14:paraId="779E3A47" w14:textId="77777777">
            <w:pPr>
              <w:autoSpaceDE/>
              <w:autoSpaceDN/>
              <w:adjustRightInd/>
              <w:rPr>
                <w:rFonts w:eastAsiaTheme="minorHAnsi"/>
                <w:szCs w:val="22"/>
              </w:rPr>
            </w:pPr>
            <w:r w:rsidRPr="002E7DF2">
              <w:rPr>
                <w:rFonts w:eastAsiaTheme="minorHAnsi"/>
                <w:szCs w:val="22"/>
              </w:rPr>
              <w:t>California Municipal Utilities Association</w:t>
            </w:r>
          </w:p>
        </w:tc>
      </w:tr>
      <w:tr w:rsidRPr="002E7DF2" w:rsidR="002E7DF2" w:rsidTr="00E739BF" w14:paraId="41647B94" w14:textId="77777777">
        <w:tc>
          <w:tcPr>
            <w:tcW w:w="4675" w:type="dxa"/>
          </w:tcPr>
          <w:p w:rsidRPr="002E7DF2" w:rsidR="002E7DF2" w:rsidP="002E7DF2" w:rsidRDefault="002E7DF2" w14:paraId="767BEFCB" w14:textId="77777777">
            <w:pPr>
              <w:autoSpaceDE/>
              <w:autoSpaceDN/>
              <w:adjustRightInd/>
              <w:rPr>
                <w:rFonts w:eastAsiaTheme="minorHAnsi"/>
                <w:b/>
                <w:bCs/>
                <w:szCs w:val="22"/>
              </w:rPr>
            </w:pPr>
            <w:r w:rsidRPr="002E7DF2">
              <w:rPr>
                <w:rFonts w:eastAsiaTheme="minorHAnsi"/>
                <w:b/>
                <w:bCs/>
                <w:szCs w:val="22"/>
              </w:rPr>
              <w:t>Calpine</w:t>
            </w:r>
          </w:p>
        </w:tc>
        <w:tc>
          <w:tcPr>
            <w:tcW w:w="4675" w:type="dxa"/>
          </w:tcPr>
          <w:p w:rsidRPr="002E7DF2" w:rsidR="002E7DF2" w:rsidP="002E7DF2" w:rsidRDefault="002E7DF2" w14:paraId="0BAB3031" w14:textId="77777777">
            <w:pPr>
              <w:autoSpaceDE/>
              <w:autoSpaceDN/>
              <w:adjustRightInd/>
              <w:rPr>
                <w:rFonts w:eastAsiaTheme="minorHAnsi"/>
                <w:szCs w:val="22"/>
              </w:rPr>
            </w:pPr>
            <w:r w:rsidRPr="002E7DF2">
              <w:rPr>
                <w:rFonts w:eastAsiaTheme="minorHAnsi"/>
                <w:szCs w:val="22"/>
              </w:rPr>
              <w:t>Calpine</w:t>
            </w:r>
          </w:p>
        </w:tc>
      </w:tr>
      <w:tr w:rsidRPr="002E7DF2" w:rsidR="002E7DF2" w:rsidTr="00E739BF" w14:paraId="1A295CCD" w14:textId="77777777">
        <w:tc>
          <w:tcPr>
            <w:tcW w:w="4675" w:type="dxa"/>
          </w:tcPr>
          <w:p w:rsidRPr="002E7DF2" w:rsidR="002E7DF2" w:rsidP="002E7DF2" w:rsidRDefault="002E7DF2" w14:paraId="46E5A3F3" w14:textId="77777777">
            <w:pPr>
              <w:autoSpaceDE/>
              <w:autoSpaceDN/>
              <w:adjustRightInd/>
              <w:rPr>
                <w:rFonts w:eastAsiaTheme="minorHAnsi"/>
                <w:b/>
                <w:szCs w:val="22"/>
              </w:rPr>
            </w:pPr>
            <w:r w:rsidRPr="002E7DF2">
              <w:rPr>
                <w:rFonts w:eastAsiaTheme="minorHAnsi"/>
                <w:b/>
                <w:bCs/>
                <w:szCs w:val="22"/>
              </w:rPr>
              <w:t>Center for Biological Diversity</w:t>
            </w:r>
          </w:p>
        </w:tc>
        <w:tc>
          <w:tcPr>
            <w:tcW w:w="4675" w:type="dxa"/>
          </w:tcPr>
          <w:p w:rsidRPr="002E7DF2" w:rsidR="002E7DF2" w:rsidP="002E7DF2" w:rsidRDefault="002E7DF2" w14:paraId="72CF6A2E" w14:textId="77777777">
            <w:pPr>
              <w:autoSpaceDE/>
              <w:autoSpaceDN/>
              <w:adjustRightInd/>
              <w:rPr>
                <w:rFonts w:eastAsiaTheme="minorHAnsi"/>
                <w:szCs w:val="22"/>
              </w:rPr>
            </w:pPr>
            <w:r w:rsidRPr="002E7DF2">
              <w:rPr>
                <w:rFonts w:eastAsiaTheme="minorHAnsi"/>
                <w:szCs w:val="22"/>
              </w:rPr>
              <w:t>Center for Biological Diversity</w:t>
            </w:r>
          </w:p>
        </w:tc>
      </w:tr>
      <w:tr w:rsidRPr="002E7DF2" w:rsidR="002E7DF2" w:rsidTr="00E739BF" w14:paraId="3F02C2CC" w14:textId="77777777">
        <w:tc>
          <w:tcPr>
            <w:tcW w:w="4675" w:type="dxa"/>
          </w:tcPr>
          <w:p w:rsidRPr="002E7DF2" w:rsidR="002E7DF2" w:rsidP="002E7DF2" w:rsidRDefault="002E7DF2" w14:paraId="3FD9E224" w14:textId="77777777">
            <w:pPr>
              <w:autoSpaceDE/>
              <w:autoSpaceDN/>
              <w:adjustRightInd/>
              <w:rPr>
                <w:rFonts w:eastAsiaTheme="minorHAnsi"/>
                <w:b/>
                <w:szCs w:val="22"/>
              </w:rPr>
            </w:pPr>
            <w:r w:rsidRPr="002E7DF2">
              <w:rPr>
                <w:rFonts w:eastAsiaTheme="minorHAnsi"/>
                <w:b/>
                <w:bCs/>
                <w:szCs w:val="22"/>
              </w:rPr>
              <w:t>City of New York</w:t>
            </w:r>
          </w:p>
        </w:tc>
        <w:tc>
          <w:tcPr>
            <w:tcW w:w="4675" w:type="dxa"/>
          </w:tcPr>
          <w:p w:rsidRPr="002E7DF2" w:rsidR="002E7DF2" w:rsidP="002E7DF2" w:rsidRDefault="002E7DF2" w14:paraId="24C5455D" w14:textId="77777777">
            <w:pPr>
              <w:autoSpaceDE/>
              <w:autoSpaceDN/>
              <w:adjustRightInd/>
              <w:rPr>
                <w:rFonts w:eastAsiaTheme="minorHAnsi"/>
                <w:szCs w:val="22"/>
              </w:rPr>
            </w:pPr>
            <w:r w:rsidRPr="002E7DF2">
              <w:rPr>
                <w:rFonts w:eastAsiaTheme="minorHAnsi"/>
                <w:szCs w:val="22"/>
              </w:rPr>
              <w:t>City of New York</w:t>
            </w:r>
          </w:p>
        </w:tc>
      </w:tr>
      <w:tr w:rsidRPr="002E7DF2" w:rsidR="002E7DF2" w:rsidTr="00E739BF" w14:paraId="651CE03E" w14:textId="77777777">
        <w:tc>
          <w:tcPr>
            <w:tcW w:w="4675" w:type="dxa"/>
          </w:tcPr>
          <w:p w:rsidRPr="002E7DF2" w:rsidR="002E7DF2" w:rsidP="002E7DF2" w:rsidRDefault="002E7DF2" w14:paraId="67F7E6EC" w14:textId="77777777">
            <w:pPr>
              <w:autoSpaceDE/>
              <w:autoSpaceDN/>
              <w:adjustRightInd/>
              <w:rPr>
                <w:rFonts w:eastAsiaTheme="minorHAnsi"/>
                <w:b/>
                <w:szCs w:val="22"/>
              </w:rPr>
            </w:pPr>
            <w:r w:rsidRPr="002E7DF2">
              <w:rPr>
                <w:rFonts w:eastAsiaTheme="minorHAnsi"/>
                <w:b/>
                <w:bCs/>
                <w:szCs w:val="22"/>
              </w:rPr>
              <w:t>Connecticut Department of Energy</w:t>
            </w:r>
          </w:p>
        </w:tc>
        <w:tc>
          <w:tcPr>
            <w:tcW w:w="4675" w:type="dxa"/>
          </w:tcPr>
          <w:p w:rsidRPr="002E7DF2" w:rsidR="002E7DF2" w:rsidP="002E7DF2" w:rsidRDefault="002E7DF2" w14:paraId="2C62CB45" w14:textId="77777777">
            <w:pPr>
              <w:autoSpaceDE/>
              <w:autoSpaceDN/>
              <w:adjustRightInd/>
              <w:rPr>
                <w:rFonts w:eastAsiaTheme="minorHAnsi"/>
                <w:szCs w:val="22"/>
              </w:rPr>
            </w:pPr>
            <w:r w:rsidRPr="002E7DF2">
              <w:rPr>
                <w:rFonts w:eastAsiaTheme="minorHAnsi"/>
                <w:szCs w:val="22"/>
              </w:rPr>
              <w:t>Connecticut Department of Energy and Environmental Protection</w:t>
            </w:r>
          </w:p>
        </w:tc>
      </w:tr>
      <w:tr w:rsidRPr="002E7DF2" w:rsidR="002E7DF2" w:rsidTr="00E739BF" w14:paraId="678C4682" w14:textId="77777777">
        <w:tc>
          <w:tcPr>
            <w:tcW w:w="4675" w:type="dxa"/>
          </w:tcPr>
          <w:p w:rsidRPr="002E7DF2" w:rsidR="002E7DF2" w:rsidP="002E7DF2" w:rsidRDefault="002E7DF2" w14:paraId="1FD3A3FC" w14:textId="77777777">
            <w:pPr>
              <w:autoSpaceDE/>
              <w:autoSpaceDN/>
              <w:adjustRightInd/>
              <w:rPr>
                <w:rFonts w:eastAsiaTheme="minorHAnsi"/>
                <w:b/>
                <w:szCs w:val="22"/>
              </w:rPr>
            </w:pPr>
            <w:r w:rsidRPr="002E7DF2">
              <w:rPr>
                <w:rFonts w:eastAsiaTheme="minorHAnsi"/>
                <w:b/>
                <w:bCs/>
                <w:szCs w:val="22"/>
              </w:rPr>
              <w:t>Connecticut State Entities</w:t>
            </w:r>
          </w:p>
        </w:tc>
        <w:tc>
          <w:tcPr>
            <w:tcW w:w="4675" w:type="dxa"/>
          </w:tcPr>
          <w:p w:rsidRPr="002E7DF2" w:rsidR="002E7DF2" w:rsidP="002E7DF2" w:rsidRDefault="002E7DF2" w14:paraId="1546BEE2" w14:textId="77777777">
            <w:pPr>
              <w:autoSpaceDE/>
              <w:autoSpaceDN/>
              <w:adjustRightInd/>
              <w:rPr>
                <w:rFonts w:eastAsiaTheme="minorHAnsi"/>
                <w:szCs w:val="22"/>
              </w:rPr>
            </w:pPr>
            <w:r w:rsidRPr="002E7DF2">
              <w:rPr>
                <w:rFonts w:eastAsiaTheme="minorHAnsi"/>
                <w:szCs w:val="22"/>
              </w:rPr>
              <w:t>Bureau of Energy and Technology Policy</w:t>
            </w:r>
          </w:p>
          <w:p w:rsidRPr="002E7DF2" w:rsidR="002E7DF2" w:rsidP="002E7DF2" w:rsidRDefault="002E7DF2" w14:paraId="5615B0C1" w14:textId="77777777">
            <w:pPr>
              <w:autoSpaceDE/>
              <w:autoSpaceDN/>
              <w:adjustRightInd/>
              <w:rPr>
                <w:rFonts w:eastAsiaTheme="minorHAnsi"/>
                <w:szCs w:val="22"/>
              </w:rPr>
            </w:pPr>
            <w:r w:rsidRPr="002E7DF2">
              <w:rPr>
                <w:rFonts w:eastAsiaTheme="minorHAnsi"/>
                <w:szCs w:val="22"/>
              </w:rPr>
              <w:t>of the Connecticut Department of Energy</w:t>
            </w:r>
          </w:p>
          <w:p w:rsidRPr="002E7DF2" w:rsidR="002E7DF2" w:rsidP="002E7DF2" w:rsidRDefault="002E7DF2" w14:paraId="192AAEFD" w14:textId="77777777">
            <w:pPr>
              <w:autoSpaceDE/>
              <w:autoSpaceDN/>
              <w:adjustRightInd/>
              <w:rPr>
                <w:rFonts w:eastAsiaTheme="minorHAnsi"/>
                <w:szCs w:val="22"/>
              </w:rPr>
            </w:pPr>
            <w:r w:rsidRPr="002E7DF2">
              <w:rPr>
                <w:rFonts w:eastAsiaTheme="minorHAnsi"/>
                <w:szCs w:val="22"/>
              </w:rPr>
              <w:t>and Environmental Protection and the</w:t>
            </w:r>
          </w:p>
          <w:p w:rsidRPr="002E7DF2" w:rsidR="002E7DF2" w:rsidP="002E7DF2" w:rsidRDefault="002E7DF2" w14:paraId="1587CF58" w14:textId="77777777">
            <w:pPr>
              <w:autoSpaceDE/>
              <w:autoSpaceDN/>
              <w:adjustRightInd/>
              <w:rPr>
                <w:rFonts w:eastAsiaTheme="minorHAnsi"/>
                <w:szCs w:val="22"/>
              </w:rPr>
            </w:pPr>
            <w:r w:rsidRPr="002E7DF2">
              <w:rPr>
                <w:rFonts w:eastAsiaTheme="minorHAnsi"/>
                <w:szCs w:val="22"/>
              </w:rPr>
              <w:t>Connecticut Public Utilities Regulatory</w:t>
            </w:r>
          </w:p>
          <w:p w:rsidRPr="002E7DF2" w:rsidR="002E7DF2" w:rsidP="002E7DF2" w:rsidRDefault="002E7DF2" w14:paraId="162A15A0" w14:textId="77777777">
            <w:pPr>
              <w:autoSpaceDE/>
              <w:autoSpaceDN/>
              <w:adjustRightInd/>
              <w:rPr>
                <w:rFonts w:eastAsiaTheme="minorHAnsi"/>
                <w:szCs w:val="22"/>
              </w:rPr>
            </w:pPr>
            <w:r w:rsidRPr="002E7DF2">
              <w:rPr>
                <w:rFonts w:eastAsiaTheme="minorHAnsi"/>
                <w:szCs w:val="22"/>
              </w:rPr>
              <w:t>Authority</w:t>
            </w:r>
          </w:p>
        </w:tc>
      </w:tr>
      <w:tr w:rsidRPr="002E7DF2" w:rsidR="002E7DF2" w:rsidTr="00E739BF" w14:paraId="160F3EB6" w14:textId="77777777">
        <w:tc>
          <w:tcPr>
            <w:tcW w:w="4675" w:type="dxa"/>
          </w:tcPr>
          <w:p w:rsidRPr="002E7DF2" w:rsidR="002E7DF2" w:rsidP="002E7DF2" w:rsidRDefault="002E7DF2" w14:paraId="0B79C996" w14:textId="77777777">
            <w:pPr>
              <w:autoSpaceDE/>
              <w:autoSpaceDN/>
              <w:adjustRightInd/>
              <w:rPr>
                <w:rFonts w:eastAsiaTheme="minorHAnsi"/>
                <w:b/>
                <w:szCs w:val="22"/>
              </w:rPr>
            </w:pPr>
            <w:r w:rsidRPr="002E7DF2">
              <w:rPr>
                <w:rFonts w:eastAsiaTheme="minorHAnsi"/>
                <w:b/>
                <w:bCs/>
                <w:szCs w:val="22"/>
              </w:rPr>
              <w:t>Delaware Commission</w:t>
            </w:r>
          </w:p>
        </w:tc>
        <w:tc>
          <w:tcPr>
            <w:tcW w:w="4675" w:type="dxa"/>
          </w:tcPr>
          <w:p w:rsidRPr="002E7DF2" w:rsidR="002E7DF2" w:rsidP="002E7DF2" w:rsidRDefault="002E7DF2" w14:paraId="5A374998" w14:textId="77777777">
            <w:pPr>
              <w:autoSpaceDE/>
              <w:autoSpaceDN/>
              <w:adjustRightInd/>
              <w:rPr>
                <w:rFonts w:eastAsiaTheme="minorHAnsi"/>
                <w:szCs w:val="22"/>
              </w:rPr>
            </w:pPr>
            <w:r w:rsidRPr="002E7DF2">
              <w:rPr>
                <w:rFonts w:eastAsiaTheme="minorHAnsi"/>
                <w:szCs w:val="22"/>
              </w:rPr>
              <w:t>Delaware Public Service Commission</w:t>
            </w:r>
          </w:p>
        </w:tc>
      </w:tr>
      <w:tr w:rsidRPr="002E7DF2" w:rsidR="002E7DF2" w:rsidTr="00E739BF" w14:paraId="69A4C49A" w14:textId="77777777">
        <w:tc>
          <w:tcPr>
            <w:tcW w:w="4675" w:type="dxa"/>
          </w:tcPr>
          <w:p w:rsidRPr="002E7DF2" w:rsidR="002E7DF2" w:rsidP="002E7DF2" w:rsidRDefault="002E7DF2" w14:paraId="61E59492" w14:textId="77777777">
            <w:pPr>
              <w:autoSpaceDE/>
              <w:autoSpaceDN/>
              <w:adjustRightInd/>
              <w:rPr>
                <w:rFonts w:eastAsiaTheme="minorHAnsi"/>
                <w:b/>
                <w:szCs w:val="22"/>
              </w:rPr>
            </w:pPr>
            <w:r w:rsidRPr="002E7DF2">
              <w:rPr>
                <w:rFonts w:eastAsiaTheme="minorHAnsi"/>
                <w:b/>
                <w:bCs/>
                <w:szCs w:val="22"/>
              </w:rPr>
              <w:t>DER/Storage Developers</w:t>
            </w:r>
          </w:p>
        </w:tc>
        <w:tc>
          <w:tcPr>
            <w:tcW w:w="4675" w:type="dxa"/>
          </w:tcPr>
          <w:p w:rsidRPr="002E7DF2" w:rsidR="002E7DF2" w:rsidP="002E7DF2" w:rsidRDefault="002E7DF2" w14:paraId="3F8197AE" w14:textId="77777777">
            <w:pPr>
              <w:autoSpaceDE/>
              <w:autoSpaceDN/>
              <w:adjustRightInd/>
              <w:rPr>
                <w:rFonts w:eastAsiaTheme="minorHAnsi"/>
                <w:szCs w:val="22"/>
              </w:rPr>
            </w:pPr>
            <w:r w:rsidRPr="002E7DF2">
              <w:rPr>
                <w:rFonts w:eastAsiaTheme="minorHAnsi"/>
                <w:szCs w:val="22"/>
              </w:rPr>
              <w:t>DER and Storage Developers</w:t>
            </w:r>
          </w:p>
        </w:tc>
      </w:tr>
      <w:tr w:rsidRPr="002E7DF2" w:rsidR="002E7DF2" w:rsidTr="00E739BF" w14:paraId="09AFE29B" w14:textId="77777777">
        <w:tc>
          <w:tcPr>
            <w:tcW w:w="4675" w:type="dxa"/>
          </w:tcPr>
          <w:p w:rsidRPr="002E7DF2" w:rsidR="002E7DF2" w:rsidP="002E7DF2" w:rsidRDefault="002E7DF2" w14:paraId="71173257" w14:textId="77777777">
            <w:pPr>
              <w:autoSpaceDE/>
              <w:autoSpaceDN/>
              <w:adjustRightInd/>
              <w:rPr>
                <w:rFonts w:eastAsiaTheme="minorHAnsi"/>
                <w:b/>
                <w:bCs/>
                <w:szCs w:val="22"/>
              </w:rPr>
            </w:pPr>
            <w:r w:rsidRPr="002E7DF2">
              <w:rPr>
                <w:rFonts w:eastAsiaTheme="minorHAnsi"/>
                <w:b/>
                <w:bCs/>
                <w:szCs w:val="22"/>
              </w:rPr>
              <w:t>Direct Energy</w:t>
            </w:r>
          </w:p>
        </w:tc>
        <w:tc>
          <w:tcPr>
            <w:tcW w:w="4675" w:type="dxa"/>
          </w:tcPr>
          <w:p w:rsidRPr="002E7DF2" w:rsidR="002E7DF2" w:rsidP="002E7DF2" w:rsidRDefault="002E7DF2" w14:paraId="21F3311D" w14:textId="77777777">
            <w:pPr>
              <w:autoSpaceDE/>
              <w:autoSpaceDN/>
              <w:adjustRightInd/>
              <w:rPr>
                <w:rFonts w:eastAsiaTheme="minorHAnsi"/>
                <w:szCs w:val="22"/>
              </w:rPr>
            </w:pPr>
            <w:r w:rsidRPr="002E7DF2">
              <w:rPr>
                <w:rFonts w:eastAsiaTheme="minorHAnsi"/>
                <w:szCs w:val="22"/>
              </w:rPr>
              <w:t>Direct Energy</w:t>
            </w:r>
          </w:p>
        </w:tc>
      </w:tr>
      <w:tr w:rsidRPr="002E7DF2" w:rsidR="002E7DF2" w:rsidTr="00E739BF" w14:paraId="0FC7EA9E" w14:textId="77777777">
        <w:tc>
          <w:tcPr>
            <w:tcW w:w="4675" w:type="dxa"/>
          </w:tcPr>
          <w:p w:rsidRPr="002E7DF2" w:rsidR="002E7DF2" w:rsidP="002E7DF2" w:rsidRDefault="002E7DF2" w14:paraId="3B950935" w14:textId="77777777">
            <w:pPr>
              <w:autoSpaceDE/>
              <w:autoSpaceDN/>
              <w:adjustRightInd/>
              <w:rPr>
                <w:rFonts w:eastAsiaTheme="minorHAnsi"/>
                <w:b/>
                <w:szCs w:val="22"/>
              </w:rPr>
            </w:pPr>
            <w:r w:rsidRPr="002E7DF2">
              <w:rPr>
                <w:rFonts w:eastAsiaTheme="minorHAnsi"/>
                <w:b/>
                <w:bCs/>
                <w:szCs w:val="22"/>
              </w:rPr>
              <w:t>Dominion</w:t>
            </w:r>
          </w:p>
        </w:tc>
        <w:tc>
          <w:tcPr>
            <w:tcW w:w="4675" w:type="dxa"/>
          </w:tcPr>
          <w:p w:rsidRPr="002E7DF2" w:rsidR="002E7DF2" w:rsidP="002E7DF2" w:rsidRDefault="002E7DF2" w14:paraId="5F8F193C" w14:textId="77777777">
            <w:pPr>
              <w:autoSpaceDE/>
              <w:autoSpaceDN/>
              <w:adjustRightInd/>
              <w:rPr>
                <w:rFonts w:eastAsiaTheme="minorHAnsi"/>
                <w:szCs w:val="22"/>
              </w:rPr>
            </w:pPr>
            <w:r w:rsidRPr="002E7DF2">
              <w:rPr>
                <w:rFonts w:eastAsiaTheme="minorHAnsi"/>
                <w:szCs w:val="22"/>
              </w:rPr>
              <w:t>Dominion Resources Services, Inc.</w:t>
            </w:r>
          </w:p>
        </w:tc>
      </w:tr>
      <w:tr w:rsidRPr="002E7DF2" w:rsidR="002E7DF2" w:rsidTr="00E739BF" w14:paraId="6DAB5DE2" w14:textId="77777777">
        <w:tc>
          <w:tcPr>
            <w:tcW w:w="4675" w:type="dxa"/>
          </w:tcPr>
          <w:p w:rsidRPr="002E7DF2" w:rsidR="002E7DF2" w:rsidP="002E7DF2" w:rsidRDefault="002E7DF2" w14:paraId="03805E62" w14:textId="43EC7856">
            <w:pPr>
              <w:autoSpaceDE/>
              <w:autoSpaceDN/>
              <w:adjustRightInd/>
              <w:rPr>
                <w:rFonts w:eastAsiaTheme="minorHAnsi"/>
                <w:b/>
                <w:bCs/>
                <w:szCs w:val="22"/>
              </w:rPr>
            </w:pPr>
            <w:r w:rsidRPr="002E7DF2">
              <w:rPr>
                <w:rFonts w:eastAsiaTheme="minorHAnsi"/>
                <w:b/>
                <w:bCs/>
                <w:szCs w:val="22"/>
              </w:rPr>
              <w:t>DTE Electric/Consumers Energy</w:t>
            </w:r>
          </w:p>
        </w:tc>
        <w:tc>
          <w:tcPr>
            <w:tcW w:w="4675" w:type="dxa"/>
          </w:tcPr>
          <w:p w:rsidRPr="002E7DF2" w:rsidR="002E7DF2" w:rsidP="002E7DF2" w:rsidRDefault="002E7DF2" w14:paraId="6EB184CE" w14:textId="77777777">
            <w:pPr>
              <w:autoSpaceDE/>
              <w:autoSpaceDN/>
              <w:adjustRightInd/>
              <w:rPr>
                <w:rFonts w:eastAsiaTheme="minorHAnsi"/>
                <w:szCs w:val="22"/>
              </w:rPr>
            </w:pPr>
            <w:r w:rsidRPr="002E7DF2">
              <w:rPr>
                <w:rFonts w:eastAsiaTheme="minorHAnsi"/>
                <w:szCs w:val="22"/>
              </w:rPr>
              <w:t>DTE Electric Company and Consumers</w:t>
            </w:r>
          </w:p>
          <w:p w:rsidRPr="002E7DF2" w:rsidR="002E7DF2" w:rsidP="002E7DF2" w:rsidRDefault="002E7DF2" w14:paraId="2B40BD50" w14:textId="77777777">
            <w:pPr>
              <w:autoSpaceDE/>
              <w:autoSpaceDN/>
              <w:adjustRightInd/>
              <w:rPr>
                <w:rFonts w:eastAsiaTheme="minorHAnsi"/>
                <w:szCs w:val="22"/>
              </w:rPr>
            </w:pPr>
            <w:r w:rsidRPr="002E7DF2">
              <w:rPr>
                <w:rFonts w:eastAsiaTheme="minorHAnsi"/>
                <w:szCs w:val="22"/>
              </w:rPr>
              <w:t>Energy Company</w:t>
            </w:r>
          </w:p>
        </w:tc>
      </w:tr>
      <w:tr w:rsidRPr="002E7DF2" w:rsidR="002E7DF2" w:rsidTr="00E739BF" w14:paraId="5C81F70E" w14:textId="77777777">
        <w:tc>
          <w:tcPr>
            <w:tcW w:w="4675" w:type="dxa"/>
          </w:tcPr>
          <w:p w:rsidRPr="002E7DF2" w:rsidR="002E7DF2" w:rsidP="002E7DF2" w:rsidRDefault="002E7DF2" w14:paraId="623D8D4D" w14:textId="77777777">
            <w:pPr>
              <w:autoSpaceDE/>
              <w:autoSpaceDN/>
              <w:adjustRightInd/>
              <w:rPr>
                <w:rFonts w:eastAsiaTheme="minorHAnsi"/>
                <w:b/>
                <w:szCs w:val="22"/>
              </w:rPr>
            </w:pPr>
            <w:r w:rsidRPr="002E7DF2">
              <w:rPr>
                <w:rFonts w:eastAsiaTheme="minorHAnsi"/>
                <w:b/>
                <w:bCs/>
                <w:szCs w:val="22"/>
              </w:rPr>
              <w:t>Duke Energy</w:t>
            </w:r>
          </w:p>
        </w:tc>
        <w:tc>
          <w:tcPr>
            <w:tcW w:w="4675" w:type="dxa"/>
          </w:tcPr>
          <w:p w:rsidRPr="002E7DF2" w:rsidR="002E7DF2" w:rsidP="002E7DF2" w:rsidRDefault="002E7DF2" w14:paraId="6E62B9E2" w14:textId="77777777">
            <w:pPr>
              <w:autoSpaceDE/>
              <w:autoSpaceDN/>
              <w:adjustRightInd/>
              <w:rPr>
                <w:rFonts w:eastAsiaTheme="minorHAnsi"/>
                <w:szCs w:val="22"/>
              </w:rPr>
            </w:pPr>
            <w:r w:rsidRPr="002E7DF2">
              <w:rPr>
                <w:rFonts w:eastAsiaTheme="minorHAnsi"/>
                <w:szCs w:val="22"/>
              </w:rPr>
              <w:t>Duke Energy Corporation</w:t>
            </w:r>
          </w:p>
        </w:tc>
      </w:tr>
      <w:tr w:rsidRPr="002E7DF2" w:rsidR="002E7DF2" w:rsidTr="00E739BF" w14:paraId="56414376" w14:textId="77777777">
        <w:tc>
          <w:tcPr>
            <w:tcW w:w="4675" w:type="dxa"/>
          </w:tcPr>
          <w:p w:rsidRPr="002E7DF2" w:rsidR="002E7DF2" w:rsidP="002E7DF2" w:rsidRDefault="002E7DF2" w14:paraId="00EFB9EB" w14:textId="77777777">
            <w:pPr>
              <w:autoSpaceDE/>
              <w:autoSpaceDN/>
              <w:adjustRightInd/>
              <w:rPr>
                <w:rFonts w:eastAsiaTheme="minorHAnsi"/>
                <w:b/>
                <w:szCs w:val="22"/>
              </w:rPr>
            </w:pPr>
            <w:r w:rsidRPr="002E7DF2">
              <w:rPr>
                <w:rFonts w:eastAsiaTheme="minorHAnsi"/>
                <w:b/>
                <w:bCs/>
                <w:szCs w:val="22"/>
              </w:rPr>
              <w:t>E4TheFuture</w:t>
            </w:r>
          </w:p>
        </w:tc>
        <w:tc>
          <w:tcPr>
            <w:tcW w:w="4675" w:type="dxa"/>
          </w:tcPr>
          <w:p w:rsidRPr="002E7DF2" w:rsidR="002E7DF2" w:rsidP="002E7DF2" w:rsidRDefault="002E7DF2" w14:paraId="07BC1A15" w14:textId="77777777">
            <w:pPr>
              <w:autoSpaceDE/>
              <w:autoSpaceDN/>
              <w:adjustRightInd/>
              <w:rPr>
                <w:rFonts w:eastAsiaTheme="minorHAnsi"/>
                <w:szCs w:val="22"/>
              </w:rPr>
            </w:pPr>
            <w:r w:rsidRPr="002E7DF2">
              <w:rPr>
                <w:rFonts w:eastAsiaTheme="minorHAnsi"/>
                <w:szCs w:val="22"/>
              </w:rPr>
              <w:t>E4TheFuture</w:t>
            </w:r>
          </w:p>
        </w:tc>
      </w:tr>
      <w:tr w:rsidRPr="002E7DF2" w:rsidR="002E7DF2" w:rsidTr="00E739BF" w14:paraId="0230E4BB" w14:textId="77777777">
        <w:tc>
          <w:tcPr>
            <w:tcW w:w="4675" w:type="dxa"/>
          </w:tcPr>
          <w:p w:rsidRPr="002E7DF2" w:rsidR="002E7DF2" w:rsidP="002E7DF2" w:rsidRDefault="002E7DF2" w14:paraId="20C5F52D" w14:textId="7BD13E2A">
            <w:pPr>
              <w:autoSpaceDE/>
              <w:autoSpaceDN/>
              <w:adjustRightInd/>
              <w:rPr>
                <w:rFonts w:eastAsiaTheme="minorHAnsi"/>
                <w:b/>
                <w:bCs/>
                <w:szCs w:val="22"/>
              </w:rPr>
            </w:pPr>
            <w:r w:rsidRPr="002E7DF2">
              <w:rPr>
                <w:rFonts w:eastAsiaTheme="minorHAnsi"/>
                <w:b/>
                <w:bCs/>
                <w:szCs w:val="22"/>
              </w:rPr>
              <w:t>Eagle Crest</w:t>
            </w:r>
          </w:p>
        </w:tc>
        <w:tc>
          <w:tcPr>
            <w:tcW w:w="4675" w:type="dxa"/>
          </w:tcPr>
          <w:p w:rsidRPr="002E7DF2" w:rsidR="002E7DF2" w:rsidP="002E7DF2" w:rsidRDefault="002E7DF2" w14:paraId="655B7F56" w14:textId="77777777">
            <w:pPr>
              <w:autoSpaceDE/>
              <w:autoSpaceDN/>
              <w:adjustRightInd/>
              <w:rPr>
                <w:rFonts w:eastAsiaTheme="minorHAnsi"/>
                <w:szCs w:val="22"/>
              </w:rPr>
            </w:pPr>
            <w:r w:rsidRPr="002E7DF2">
              <w:rPr>
                <w:rFonts w:eastAsiaTheme="minorHAnsi"/>
                <w:szCs w:val="22"/>
              </w:rPr>
              <w:t>Eagle Crest Energy Company</w:t>
            </w:r>
          </w:p>
        </w:tc>
      </w:tr>
      <w:tr w:rsidRPr="002E7DF2" w:rsidR="002E7DF2" w:rsidTr="00E739BF" w14:paraId="09FC8797" w14:textId="77777777">
        <w:tc>
          <w:tcPr>
            <w:tcW w:w="4675" w:type="dxa"/>
          </w:tcPr>
          <w:p w:rsidRPr="002E7DF2" w:rsidR="002E7DF2" w:rsidP="002E7DF2" w:rsidRDefault="002E7DF2" w14:paraId="28C38F49" w14:textId="77777777">
            <w:pPr>
              <w:autoSpaceDE/>
              <w:autoSpaceDN/>
              <w:adjustRightInd/>
              <w:rPr>
                <w:rFonts w:eastAsiaTheme="minorHAnsi"/>
                <w:b/>
                <w:szCs w:val="22"/>
              </w:rPr>
            </w:pPr>
            <w:r w:rsidRPr="002E7DF2">
              <w:rPr>
                <w:rFonts w:eastAsiaTheme="minorHAnsi"/>
                <w:b/>
                <w:bCs/>
                <w:szCs w:val="22"/>
              </w:rPr>
              <w:t>EEI</w:t>
            </w:r>
          </w:p>
        </w:tc>
        <w:tc>
          <w:tcPr>
            <w:tcW w:w="4675" w:type="dxa"/>
          </w:tcPr>
          <w:p w:rsidRPr="002E7DF2" w:rsidR="002E7DF2" w:rsidP="002E7DF2" w:rsidRDefault="002E7DF2" w14:paraId="715CA395" w14:textId="77777777">
            <w:pPr>
              <w:autoSpaceDE/>
              <w:autoSpaceDN/>
              <w:adjustRightInd/>
              <w:rPr>
                <w:rFonts w:eastAsiaTheme="minorHAnsi"/>
                <w:szCs w:val="22"/>
              </w:rPr>
            </w:pPr>
            <w:r w:rsidRPr="002E7DF2">
              <w:rPr>
                <w:rFonts w:eastAsiaTheme="minorHAnsi"/>
                <w:szCs w:val="22"/>
              </w:rPr>
              <w:t>Edison Electric Institute</w:t>
            </w:r>
          </w:p>
        </w:tc>
      </w:tr>
      <w:tr w:rsidRPr="002E7DF2" w:rsidR="002E7DF2" w:rsidTr="00E739BF" w14:paraId="71641C03" w14:textId="77777777">
        <w:tc>
          <w:tcPr>
            <w:tcW w:w="4675" w:type="dxa"/>
          </w:tcPr>
          <w:p w:rsidRPr="002E7DF2" w:rsidR="002E7DF2" w:rsidP="002E7DF2" w:rsidRDefault="002E7DF2" w14:paraId="37EA5418" w14:textId="77777777">
            <w:pPr>
              <w:autoSpaceDE/>
              <w:autoSpaceDN/>
              <w:adjustRightInd/>
              <w:rPr>
                <w:rFonts w:eastAsiaTheme="minorHAnsi"/>
                <w:b/>
                <w:szCs w:val="22"/>
              </w:rPr>
            </w:pPr>
            <w:r w:rsidRPr="002E7DF2">
              <w:rPr>
                <w:rFonts w:eastAsiaTheme="minorHAnsi"/>
                <w:b/>
                <w:bCs/>
                <w:szCs w:val="22"/>
              </w:rPr>
              <w:t>Efficient Holdings</w:t>
            </w:r>
          </w:p>
        </w:tc>
        <w:tc>
          <w:tcPr>
            <w:tcW w:w="4675" w:type="dxa"/>
          </w:tcPr>
          <w:p w:rsidRPr="002E7DF2" w:rsidR="002E7DF2" w:rsidP="002E7DF2" w:rsidRDefault="002E7DF2" w14:paraId="33A8E4F3" w14:textId="77777777">
            <w:pPr>
              <w:autoSpaceDE/>
              <w:autoSpaceDN/>
              <w:adjustRightInd/>
              <w:rPr>
                <w:rFonts w:eastAsiaTheme="minorHAnsi"/>
                <w:szCs w:val="22"/>
              </w:rPr>
            </w:pPr>
            <w:r w:rsidRPr="002E7DF2">
              <w:rPr>
                <w:rFonts w:eastAsiaTheme="minorHAnsi"/>
                <w:szCs w:val="22"/>
              </w:rPr>
              <w:t>Efficient Holdings, LLC</w:t>
            </w:r>
          </w:p>
        </w:tc>
      </w:tr>
      <w:tr w:rsidRPr="002E7DF2" w:rsidR="002E7DF2" w:rsidTr="00E739BF" w14:paraId="34392E79" w14:textId="77777777">
        <w:tc>
          <w:tcPr>
            <w:tcW w:w="4675" w:type="dxa"/>
          </w:tcPr>
          <w:p w:rsidRPr="002E7DF2" w:rsidR="002E7DF2" w:rsidP="002E7DF2" w:rsidRDefault="002E7DF2" w14:paraId="289381D9" w14:textId="56AF9E7E">
            <w:pPr>
              <w:autoSpaceDE/>
              <w:autoSpaceDN/>
              <w:adjustRightInd/>
              <w:rPr>
                <w:rFonts w:eastAsiaTheme="minorHAnsi"/>
                <w:b/>
                <w:bCs/>
                <w:szCs w:val="22"/>
              </w:rPr>
            </w:pPr>
            <w:r w:rsidRPr="002E7DF2">
              <w:rPr>
                <w:rFonts w:eastAsiaTheme="minorHAnsi"/>
                <w:b/>
                <w:bCs/>
                <w:szCs w:val="22"/>
              </w:rPr>
              <w:t>ELCON</w:t>
            </w:r>
          </w:p>
        </w:tc>
        <w:tc>
          <w:tcPr>
            <w:tcW w:w="4675" w:type="dxa"/>
          </w:tcPr>
          <w:p w:rsidRPr="002E7DF2" w:rsidR="002E7DF2" w:rsidP="002E7DF2" w:rsidRDefault="002E7DF2" w14:paraId="3DE924E5" w14:textId="77777777">
            <w:pPr>
              <w:autoSpaceDE/>
              <w:autoSpaceDN/>
              <w:adjustRightInd/>
              <w:rPr>
                <w:rFonts w:eastAsiaTheme="minorHAnsi"/>
                <w:szCs w:val="22"/>
              </w:rPr>
            </w:pPr>
            <w:r w:rsidRPr="002E7DF2">
              <w:rPr>
                <w:rFonts w:eastAsiaTheme="minorHAnsi"/>
                <w:szCs w:val="22"/>
              </w:rPr>
              <w:t>Electricity Consumers Resource Council</w:t>
            </w:r>
          </w:p>
        </w:tc>
      </w:tr>
      <w:tr w:rsidRPr="002E7DF2" w:rsidR="002E7DF2" w:rsidTr="00E739BF" w14:paraId="0F4079F3" w14:textId="77777777">
        <w:tc>
          <w:tcPr>
            <w:tcW w:w="4675" w:type="dxa"/>
          </w:tcPr>
          <w:p w:rsidRPr="002E7DF2" w:rsidR="002E7DF2" w:rsidP="002E7DF2" w:rsidRDefault="002E7DF2" w14:paraId="10B8A42A" w14:textId="77777777">
            <w:pPr>
              <w:autoSpaceDE/>
              <w:autoSpaceDN/>
              <w:adjustRightInd/>
              <w:rPr>
                <w:rFonts w:eastAsiaTheme="minorHAnsi"/>
                <w:b/>
                <w:szCs w:val="22"/>
              </w:rPr>
            </w:pPr>
            <w:r w:rsidRPr="002E7DF2">
              <w:rPr>
                <w:rFonts w:eastAsiaTheme="minorHAnsi"/>
                <w:b/>
                <w:bCs/>
                <w:szCs w:val="22"/>
              </w:rPr>
              <w:t>Energy Storage Association</w:t>
            </w:r>
          </w:p>
        </w:tc>
        <w:tc>
          <w:tcPr>
            <w:tcW w:w="4675" w:type="dxa"/>
          </w:tcPr>
          <w:p w:rsidRPr="002E7DF2" w:rsidR="002E7DF2" w:rsidP="002E7DF2" w:rsidRDefault="002E7DF2" w14:paraId="167E8852" w14:textId="77777777">
            <w:pPr>
              <w:autoSpaceDE/>
              <w:autoSpaceDN/>
              <w:adjustRightInd/>
              <w:rPr>
                <w:rFonts w:eastAsiaTheme="minorHAnsi"/>
                <w:szCs w:val="22"/>
              </w:rPr>
            </w:pPr>
            <w:r w:rsidRPr="002E7DF2">
              <w:rPr>
                <w:rFonts w:eastAsiaTheme="minorHAnsi"/>
                <w:szCs w:val="22"/>
              </w:rPr>
              <w:t>Energy Storage Association</w:t>
            </w:r>
          </w:p>
        </w:tc>
      </w:tr>
      <w:tr w:rsidRPr="002E7DF2" w:rsidR="002E7DF2" w:rsidTr="00E739BF" w14:paraId="26DECDE5" w14:textId="77777777">
        <w:tc>
          <w:tcPr>
            <w:tcW w:w="4675" w:type="dxa"/>
          </w:tcPr>
          <w:p w:rsidRPr="002E7DF2" w:rsidR="002E7DF2" w:rsidP="002E7DF2" w:rsidRDefault="002E7DF2" w14:paraId="37930FAF" w14:textId="77777777">
            <w:pPr>
              <w:autoSpaceDE/>
              <w:autoSpaceDN/>
              <w:adjustRightInd/>
              <w:rPr>
                <w:rFonts w:eastAsiaTheme="minorHAnsi"/>
                <w:b/>
                <w:szCs w:val="22"/>
              </w:rPr>
            </w:pPr>
            <w:r w:rsidRPr="002E7DF2">
              <w:rPr>
                <w:rFonts w:eastAsiaTheme="minorHAnsi"/>
                <w:b/>
                <w:bCs/>
                <w:szCs w:val="22"/>
              </w:rPr>
              <w:t>EPRI</w:t>
            </w:r>
          </w:p>
        </w:tc>
        <w:tc>
          <w:tcPr>
            <w:tcW w:w="4675" w:type="dxa"/>
          </w:tcPr>
          <w:p w:rsidRPr="002E7DF2" w:rsidR="002E7DF2" w:rsidP="002E7DF2" w:rsidRDefault="002E7DF2" w14:paraId="1FCD6D17" w14:textId="77777777">
            <w:pPr>
              <w:autoSpaceDE/>
              <w:autoSpaceDN/>
              <w:adjustRightInd/>
              <w:rPr>
                <w:rFonts w:eastAsiaTheme="minorHAnsi"/>
                <w:szCs w:val="22"/>
              </w:rPr>
            </w:pPr>
            <w:r w:rsidRPr="002E7DF2">
              <w:rPr>
                <w:rFonts w:eastAsiaTheme="minorHAnsi"/>
                <w:szCs w:val="22"/>
              </w:rPr>
              <w:t>Electric Power Research Institute</w:t>
            </w:r>
          </w:p>
        </w:tc>
      </w:tr>
      <w:tr w:rsidRPr="002E7DF2" w:rsidR="002E7DF2" w:rsidTr="00E739BF" w14:paraId="7A175683" w14:textId="77777777">
        <w:tc>
          <w:tcPr>
            <w:tcW w:w="4675" w:type="dxa"/>
          </w:tcPr>
          <w:p w:rsidRPr="002E7DF2" w:rsidR="002E7DF2" w:rsidP="002E7DF2" w:rsidRDefault="002E7DF2" w14:paraId="4C8D890E" w14:textId="77777777">
            <w:pPr>
              <w:autoSpaceDE/>
              <w:autoSpaceDN/>
              <w:adjustRightInd/>
              <w:rPr>
                <w:rFonts w:eastAsiaTheme="minorHAnsi"/>
                <w:b/>
                <w:szCs w:val="22"/>
              </w:rPr>
            </w:pPr>
            <w:r w:rsidRPr="002E7DF2">
              <w:rPr>
                <w:rFonts w:eastAsiaTheme="minorHAnsi"/>
                <w:b/>
                <w:bCs/>
                <w:szCs w:val="22"/>
              </w:rPr>
              <w:t>EPSA</w:t>
            </w:r>
          </w:p>
        </w:tc>
        <w:tc>
          <w:tcPr>
            <w:tcW w:w="4675" w:type="dxa"/>
          </w:tcPr>
          <w:p w:rsidRPr="002E7DF2" w:rsidR="002E7DF2" w:rsidP="002E7DF2" w:rsidRDefault="002E7DF2" w14:paraId="6CCFC722" w14:textId="77777777">
            <w:pPr>
              <w:autoSpaceDE/>
              <w:autoSpaceDN/>
              <w:adjustRightInd/>
              <w:rPr>
                <w:rFonts w:eastAsiaTheme="minorHAnsi"/>
                <w:szCs w:val="22"/>
              </w:rPr>
            </w:pPr>
            <w:r w:rsidRPr="002E7DF2">
              <w:rPr>
                <w:rFonts w:eastAsiaTheme="minorHAnsi"/>
                <w:szCs w:val="22"/>
              </w:rPr>
              <w:t>Electric Power Supply Association</w:t>
            </w:r>
          </w:p>
        </w:tc>
      </w:tr>
      <w:tr w:rsidRPr="002E7DF2" w:rsidR="002E7DF2" w:rsidTr="00E739BF" w14:paraId="2F7DEF63" w14:textId="77777777">
        <w:tc>
          <w:tcPr>
            <w:tcW w:w="4675" w:type="dxa"/>
          </w:tcPr>
          <w:p w:rsidRPr="002E7DF2" w:rsidR="002E7DF2" w:rsidP="002E7DF2" w:rsidRDefault="002E7DF2" w14:paraId="6C5EE6D5" w14:textId="648FD0D4">
            <w:pPr>
              <w:autoSpaceDE/>
              <w:autoSpaceDN/>
              <w:adjustRightInd/>
              <w:rPr>
                <w:rFonts w:eastAsiaTheme="minorHAnsi"/>
                <w:b/>
                <w:bCs/>
                <w:szCs w:val="22"/>
              </w:rPr>
            </w:pPr>
            <w:r w:rsidRPr="002E7DF2">
              <w:rPr>
                <w:rFonts w:eastAsiaTheme="minorHAnsi"/>
                <w:b/>
                <w:bCs/>
                <w:szCs w:val="22"/>
              </w:rPr>
              <w:t>EPSA/PJM Power Providers</w:t>
            </w:r>
          </w:p>
        </w:tc>
        <w:tc>
          <w:tcPr>
            <w:tcW w:w="4675" w:type="dxa"/>
          </w:tcPr>
          <w:p w:rsidRPr="002E7DF2" w:rsidR="002E7DF2" w:rsidP="002E7DF2" w:rsidRDefault="002E7DF2" w14:paraId="0FCA7457" w14:textId="77777777">
            <w:pPr>
              <w:autoSpaceDE/>
              <w:autoSpaceDN/>
              <w:adjustRightInd/>
              <w:rPr>
                <w:rFonts w:eastAsiaTheme="minorHAnsi"/>
                <w:szCs w:val="22"/>
              </w:rPr>
            </w:pPr>
            <w:r w:rsidRPr="002E7DF2">
              <w:rPr>
                <w:rFonts w:eastAsiaTheme="minorHAnsi"/>
                <w:szCs w:val="22"/>
              </w:rPr>
              <w:t>Electric Power Supply Association and</w:t>
            </w:r>
          </w:p>
          <w:p w:rsidRPr="002E7DF2" w:rsidR="002E7DF2" w:rsidP="002E7DF2" w:rsidRDefault="002E7DF2" w14:paraId="64DDE3ED" w14:textId="77777777">
            <w:pPr>
              <w:autoSpaceDE/>
              <w:autoSpaceDN/>
              <w:adjustRightInd/>
              <w:rPr>
                <w:rFonts w:eastAsiaTheme="minorHAnsi"/>
                <w:szCs w:val="22"/>
              </w:rPr>
            </w:pPr>
            <w:r w:rsidRPr="002E7DF2">
              <w:rPr>
                <w:rFonts w:eastAsiaTheme="minorHAnsi"/>
                <w:szCs w:val="22"/>
              </w:rPr>
              <w:t>PJM Power Providers Group</w:t>
            </w:r>
          </w:p>
        </w:tc>
      </w:tr>
      <w:tr w:rsidRPr="002E7DF2" w:rsidR="002E7DF2" w:rsidTr="00E739BF" w14:paraId="60087BDD" w14:textId="77777777">
        <w:tc>
          <w:tcPr>
            <w:tcW w:w="4675" w:type="dxa"/>
          </w:tcPr>
          <w:p w:rsidRPr="002E7DF2" w:rsidR="002E7DF2" w:rsidP="002E7DF2" w:rsidRDefault="002E7DF2" w14:paraId="0D557F36" w14:textId="77777777">
            <w:pPr>
              <w:autoSpaceDE/>
              <w:autoSpaceDN/>
              <w:adjustRightInd/>
              <w:rPr>
                <w:rFonts w:eastAsiaTheme="minorHAnsi"/>
                <w:b/>
                <w:bCs/>
                <w:szCs w:val="22"/>
              </w:rPr>
            </w:pPr>
            <w:r w:rsidRPr="002E7DF2">
              <w:rPr>
                <w:rFonts w:eastAsiaTheme="minorHAnsi"/>
                <w:b/>
                <w:bCs/>
                <w:szCs w:val="22"/>
              </w:rPr>
              <w:t>Eversource</w:t>
            </w:r>
          </w:p>
        </w:tc>
        <w:tc>
          <w:tcPr>
            <w:tcW w:w="4675" w:type="dxa"/>
          </w:tcPr>
          <w:p w:rsidRPr="002E7DF2" w:rsidR="002E7DF2" w:rsidP="002E7DF2" w:rsidRDefault="002E7DF2" w14:paraId="23FDF0B8" w14:textId="77777777">
            <w:pPr>
              <w:autoSpaceDE/>
              <w:autoSpaceDN/>
              <w:adjustRightInd/>
              <w:rPr>
                <w:rFonts w:eastAsiaTheme="minorHAnsi"/>
                <w:szCs w:val="22"/>
              </w:rPr>
            </w:pPr>
            <w:r w:rsidRPr="002E7DF2">
              <w:rPr>
                <w:rFonts w:eastAsiaTheme="minorHAnsi"/>
                <w:szCs w:val="22"/>
              </w:rPr>
              <w:t>Eversource Energy Service Company</w:t>
            </w:r>
          </w:p>
        </w:tc>
      </w:tr>
      <w:tr w:rsidRPr="002E7DF2" w:rsidR="002E7DF2" w:rsidTr="00E739BF" w14:paraId="246CCA35" w14:textId="77777777">
        <w:tc>
          <w:tcPr>
            <w:tcW w:w="4675" w:type="dxa"/>
          </w:tcPr>
          <w:p w:rsidRPr="002E7DF2" w:rsidR="002E7DF2" w:rsidP="002E7DF2" w:rsidRDefault="002E7DF2" w14:paraId="4084AFE4" w14:textId="77777777">
            <w:pPr>
              <w:autoSpaceDE/>
              <w:autoSpaceDN/>
              <w:adjustRightInd/>
              <w:rPr>
                <w:rFonts w:eastAsiaTheme="minorHAnsi"/>
                <w:b/>
                <w:szCs w:val="22"/>
              </w:rPr>
            </w:pPr>
            <w:r w:rsidRPr="002E7DF2">
              <w:rPr>
                <w:rFonts w:eastAsiaTheme="minorHAnsi"/>
                <w:b/>
                <w:bCs/>
                <w:szCs w:val="22"/>
              </w:rPr>
              <w:t>Exelon</w:t>
            </w:r>
          </w:p>
        </w:tc>
        <w:tc>
          <w:tcPr>
            <w:tcW w:w="4675" w:type="dxa"/>
          </w:tcPr>
          <w:p w:rsidRPr="002E7DF2" w:rsidR="002E7DF2" w:rsidP="002E7DF2" w:rsidRDefault="002E7DF2" w14:paraId="3D5C992B" w14:textId="77777777">
            <w:pPr>
              <w:autoSpaceDE/>
              <w:autoSpaceDN/>
              <w:adjustRightInd/>
              <w:rPr>
                <w:rFonts w:eastAsiaTheme="minorHAnsi"/>
                <w:szCs w:val="22"/>
              </w:rPr>
            </w:pPr>
            <w:r w:rsidRPr="002E7DF2">
              <w:rPr>
                <w:rFonts w:eastAsiaTheme="minorHAnsi"/>
                <w:szCs w:val="22"/>
              </w:rPr>
              <w:t>Exelon Corporation</w:t>
            </w:r>
          </w:p>
        </w:tc>
      </w:tr>
      <w:tr w:rsidRPr="002E7DF2" w:rsidR="002E7DF2" w:rsidTr="00E739BF" w14:paraId="5162C1AF" w14:textId="77777777">
        <w:tc>
          <w:tcPr>
            <w:tcW w:w="4675" w:type="dxa"/>
          </w:tcPr>
          <w:p w:rsidRPr="002E7DF2" w:rsidR="002E7DF2" w:rsidP="002E7DF2" w:rsidRDefault="002E7DF2" w14:paraId="7C9626F2" w14:textId="77777777">
            <w:pPr>
              <w:autoSpaceDE/>
              <w:autoSpaceDN/>
              <w:adjustRightInd/>
              <w:rPr>
                <w:rFonts w:eastAsiaTheme="minorHAnsi"/>
                <w:b/>
                <w:bCs/>
                <w:szCs w:val="22"/>
              </w:rPr>
            </w:pPr>
            <w:r w:rsidRPr="002E7DF2">
              <w:rPr>
                <w:rFonts w:eastAsiaTheme="minorHAnsi"/>
                <w:b/>
                <w:bCs/>
                <w:szCs w:val="22"/>
              </w:rPr>
              <w:t>FirstEnergy</w:t>
            </w:r>
          </w:p>
        </w:tc>
        <w:tc>
          <w:tcPr>
            <w:tcW w:w="4675" w:type="dxa"/>
          </w:tcPr>
          <w:p w:rsidRPr="002E7DF2" w:rsidR="002E7DF2" w:rsidP="002E7DF2" w:rsidRDefault="002E7DF2" w14:paraId="27610DFF" w14:textId="77777777">
            <w:pPr>
              <w:autoSpaceDE/>
              <w:autoSpaceDN/>
              <w:adjustRightInd/>
              <w:rPr>
                <w:rFonts w:eastAsiaTheme="minorHAnsi"/>
                <w:szCs w:val="22"/>
              </w:rPr>
            </w:pPr>
            <w:r w:rsidRPr="002E7DF2">
              <w:rPr>
                <w:rFonts w:eastAsiaTheme="minorHAnsi"/>
                <w:szCs w:val="22"/>
              </w:rPr>
              <w:t>FirstEnergy</w:t>
            </w:r>
          </w:p>
        </w:tc>
      </w:tr>
      <w:tr w:rsidRPr="002E7DF2" w:rsidR="002E7DF2" w:rsidTr="00E739BF" w14:paraId="0B0FE5E6" w14:textId="77777777">
        <w:tc>
          <w:tcPr>
            <w:tcW w:w="4675" w:type="dxa"/>
          </w:tcPr>
          <w:p w:rsidRPr="002E7DF2" w:rsidR="002E7DF2" w:rsidP="002E7DF2" w:rsidRDefault="002E7DF2" w14:paraId="54AD2C71" w14:textId="4B8B824E">
            <w:pPr>
              <w:autoSpaceDE/>
              <w:autoSpaceDN/>
              <w:adjustRightInd/>
              <w:rPr>
                <w:rFonts w:eastAsiaTheme="minorHAnsi"/>
                <w:b/>
                <w:bCs/>
                <w:szCs w:val="22"/>
              </w:rPr>
            </w:pPr>
            <w:r w:rsidRPr="002E7DF2">
              <w:rPr>
                <w:rFonts w:eastAsiaTheme="minorHAnsi"/>
                <w:b/>
                <w:bCs/>
                <w:szCs w:val="22"/>
              </w:rPr>
              <w:t>FirstLight</w:t>
            </w:r>
          </w:p>
        </w:tc>
        <w:tc>
          <w:tcPr>
            <w:tcW w:w="4675" w:type="dxa"/>
          </w:tcPr>
          <w:p w:rsidRPr="002E7DF2" w:rsidR="002E7DF2" w:rsidP="002E7DF2" w:rsidRDefault="002E7DF2" w14:paraId="128ECB09" w14:textId="77777777">
            <w:pPr>
              <w:autoSpaceDE/>
              <w:autoSpaceDN/>
              <w:adjustRightInd/>
              <w:rPr>
                <w:rFonts w:eastAsiaTheme="minorHAnsi"/>
                <w:szCs w:val="22"/>
              </w:rPr>
            </w:pPr>
            <w:r w:rsidRPr="002E7DF2">
              <w:rPr>
                <w:rFonts w:eastAsiaTheme="minorHAnsi"/>
                <w:szCs w:val="22"/>
              </w:rPr>
              <w:t>FirstLight Power Resources, Inc.</w:t>
            </w:r>
          </w:p>
        </w:tc>
      </w:tr>
      <w:tr w:rsidRPr="002E7DF2" w:rsidR="002E7DF2" w:rsidTr="00E739BF" w14:paraId="461FC53F" w14:textId="77777777">
        <w:tc>
          <w:tcPr>
            <w:tcW w:w="4675" w:type="dxa"/>
          </w:tcPr>
          <w:p w:rsidRPr="002E7DF2" w:rsidR="002E7DF2" w:rsidP="002E7DF2" w:rsidRDefault="002E7DF2" w14:paraId="7BF362EC" w14:textId="77777777">
            <w:pPr>
              <w:autoSpaceDE/>
              <w:autoSpaceDN/>
              <w:adjustRightInd/>
              <w:rPr>
                <w:rFonts w:eastAsiaTheme="minorHAnsi"/>
                <w:b/>
                <w:szCs w:val="22"/>
              </w:rPr>
            </w:pPr>
            <w:r w:rsidRPr="002E7DF2">
              <w:rPr>
                <w:rFonts w:eastAsiaTheme="minorHAnsi"/>
                <w:b/>
                <w:bCs/>
                <w:szCs w:val="22"/>
              </w:rPr>
              <w:t>Fluidic</w:t>
            </w:r>
          </w:p>
        </w:tc>
        <w:tc>
          <w:tcPr>
            <w:tcW w:w="4675" w:type="dxa"/>
          </w:tcPr>
          <w:p w:rsidRPr="002E7DF2" w:rsidR="002E7DF2" w:rsidP="002E7DF2" w:rsidRDefault="002E7DF2" w14:paraId="4326E4AE" w14:textId="77777777">
            <w:pPr>
              <w:autoSpaceDE/>
              <w:autoSpaceDN/>
              <w:adjustRightInd/>
              <w:rPr>
                <w:rFonts w:eastAsiaTheme="minorHAnsi"/>
                <w:szCs w:val="22"/>
              </w:rPr>
            </w:pPr>
            <w:r w:rsidRPr="002E7DF2">
              <w:rPr>
                <w:rFonts w:eastAsiaTheme="minorHAnsi"/>
                <w:szCs w:val="22"/>
              </w:rPr>
              <w:t>Fluidic Energy</w:t>
            </w:r>
          </w:p>
        </w:tc>
      </w:tr>
      <w:tr w:rsidRPr="002E7DF2" w:rsidR="002E7DF2" w:rsidTr="00E739BF" w14:paraId="7A3C41F9" w14:textId="77777777">
        <w:tc>
          <w:tcPr>
            <w:tcW w:w="4675" w:type="dxa"/>
          </w:tcPr>
          <w:p w:rsidRPr="002E7DF2" w:rsidR="002E7DF2" w:rsidP="002E7DF2" w:rsidRDefault="002E7DF2" w14:paraId="4BDEDA27" w14:textId="77777777">
            <w:pPr>
              <w:autoSpaceDE/>
              <w:autoSpaceDN/>
              <w:adjustRightInd/>
              <w:rPr>
                <w:rFonts w:eastAsiaTheme="minorHAnsi"/>
                <w:b/>
                <w:szCs w:val="22"/>
              </w:rPr>
            </w:pPr>
            <w:r w:rsidRPr="002E7DF2">
              <w:rPr>
                <w:rFonts w:eastAsiaTheme="minorHAnsi"/>
                <w:b/>
                <w:bCs/>
                <w:szCs w:val="22"/>
              </w:rPr>
              <w:t>Fresh Energy/Sierra Club/Union of Concerned Scientists</w:t>
            </w:r>
          </w:p>
        </w:tc>
        <w:tc>
          <w:tcPr>
            <w:tcW w:w="4675" w:type="dxa"/>
          </w:tcPr>
          <w:p w:rsidRPr="002E7DF2" w:rsidR="002E7DF2" w:rsidP="002E7DF2" w:rsidRDefault="002E7DF2" w14:paraId="3F63E2F5" w14:textId="77777777">
            <w:pPr>
              <w:autoSpaceDE/>
              <w:autoSpaceDN/>
              <w:adjustRightInd/>
              <w:rPr>
                <w:rFonts w:eastAsiaTheme="minorHAnsi"/>
                <w:szCs w:val="22"/>
              </w:rPr>
            </w:pPr>
            <w:r w:rsidRPr="002E7DF2">
              <w:rPr>
                <w:rFonts w:eastAsiaTheme="minorHAnsi"/>
                <w:szCs w:val="22"/>
              </w:rPr>
              <w:t>Fresh Energy, the Sierra Club, and the</w:t>
            </w:r>
          </w:p>
          <w:p w:rsidRPr="002E7DF2" w:rsidR="002E7DF2" w:rsidP="002E7DF2" w:rsidRDefault="002E7DF2" w14:paraId="7606B435" w14:textId="77777777">
            <w:pPr>
              <w:autoSpaceDE/>
              <w:autoSpaceDN/>
              <w:adjustRightInd/>
              <w:rPr>
                <w:rFonts w:eastAsiaTheme="minorHAnsi"/>
                <w:szCs w:val="22"/>
              </w:rPr>
            </w:pPr>
            <w:r w:rsidRPr="002E7DF2">
              <w:rPr>
                <w:rFonts w:eastAsiaTheme="minorHAnsi"/>
                <w:szCs w:val="22"/>
              </w:rPr>
              <w:t>Union of Concerned Scientists</w:t>
            </w:r>
          </w:p>
        </w:tc>
      </w:tr>
      <w:tr w:rsidRPr="002E7DF2" w:rsidR="002E7DF2" w:rsidTr="00E739BF" w14:paraId="5C552400" w14:textId="77777777">
        <w:tc>
          <w:tcPr>
            <w:tcW w:w="4675" w:type="dxa"/>
          </w:tcPr>
          <w:p w:rsidRPr="002E7DF2" w:rsidR="002E7DF2" w:rsidP="002E7DF2" w:rsidRDefault="002E7DF2" w14:paraId="74BBDCDF" w14:textId="77777777">
            <w:pPr>
              <w:autoSpaceDE/>
              <w:autoSpaceDN/>
              <w:adjustRightInd/>
              <w:rPr>
                <w:rFonts w:eastAsiaTheme="minorHAnsi"/>
                <w:b/>
                <w:szCs w:val="22"/>
              </w:rPr>
            </w:pPr>
            <w:r w:rsidRPr="002E7DF2">
              <w:rPr>
                <w:rFonts w:eastAsiaTheme="minorHAnsi"/>
                <w:b/>
                <w:bCs/>
                <w:szCs w:val="22"/>
              </w:rPr>
              <w:t>Genbright</w:t>
            </w:r>
          </w:p>
        </w:tc>
        <w:tc>
          <w:tcPr>
            <w:tcW w:w="4675" w:type="dxa"/>
          </w:tcPr>
          <w:p w:rsidRPr="002E7DF2" w:rsidR="002E7DF2" w:rsidP="002E7DF2" w:rsidRDefault="002E7DF2" w14:paraId="66155B1C" w14:textId="77777777">
            <w:pPr>
              <w:autoSpaceDE/>
              <w:autoSpaceDN/>
              <w:adjustRightInd/>
              <w:rPr>
                <w:rFonts w:eastAsiaTheme="minorHAnsi"/>
                <w:szCs w:val="22"/>
              </w:rPr>
            </w:pPr>
            <w:r w:rsidRPr="002E7DF2">
              <w:rPr>
                <w:rFonts w:eastAsiaTheme="minorHAnsi"/>
                <w:szCs w:val="22"/>
              </w:rPr>
              <w:t>Genbright LLC</w:t>
            </w:r>
          </w:p>
        </w:tc>
      </w:tr>
      <w:tr w:rsidRPr="002E7DF2" w:rsidR="002E7DF2" w:rsidTr="00E739BF" w14:paraId="142FB2FE" w14:textId="77777777">
        <w:tc>
          <w:tcPr>
            <w:tcW w:w="4675" w:type="dxa"/>
          </w:tcPr>
          <w:p w:rsidRPr="002E7DF2" w:rsidR="002E7DF2" w:rsidP="002E7DF2" w:rsidRDefault="002E7DF2" w14:paraId="4953043E" w14:textId="77777777">
            <w:pPr>
              <w:autoSpaceDE/>
              <w:autoSpaceDN/>
              <w:adjustRightInd/>
              <w:rPr>
                <w:rFonts w:eastAsiaTheme="minorHAnsi"/>
                <w:b/>
                <w:bCs/>
                <w:szCs w:val="22"/>
              </w:rPr>
            </w:pPr>
            <w:r w:rsidRPr="002E7DF2">
              <w:rPr>
                <w:rFonts w:eastAsiaTheme="minorHAnsi"/>
                <w:b/>
                <w:bCs/>
                <w:szCs w:val="22"/>
              </w:rPr>
              <w:t>Global Cold Chain Alliance</w:t>
            </w:r>
          </w:p>
        </w:tc>
        <w:tc>
          <w:tcPr>
            <w:tcW w:w="4675" w:type="dxa"/>
          </w:tcPr>
          <w:p w:rsidRPr="002E7DF2" w:rsidR="002E7DF2" w:rsidP="002E7DF2" w:rsidRDefault="002E7DF2" w14:paraId="10D69C1D" w14:textId="77777777">
            <w:pPr>
              <w:autoSpaceDE/>
              <w:autoSpaceDN/>
              <w:adjustRightInd/>
              <w:rPr>
                <w:rFonts w:eastAsiaTheme="minorHAnsi"/>
                <w:szCs w:val="22"/>
              </w:rPr>
            </w:pPr>
            <w:r w:rsidRPr="002E7DF2">
              <w:rPr>
                <w:rFonts w:eastAsiaTheme="minorHAnsi"/>
                <w:szCs w:val="22"/>
              </w:rPr>
              <w:t>Global Cold Chain Alliance</w:t>
            </w:r>
          </w:p>
        </w:tc>
      </w:tr>
      <w:tr w:rsidRPr="002E7DF2" w:rsidR="002E7DF2" w:rsidTr="00E739BF" w14:paraId="745E2E12" w14:textId="77777777">
        <w:tc>
          <w:tcPr>
            <w:tcW w:w="4675" w:type="dxa"/>
          </w:tcPr>
          <w:p w:rsidRPr="002E7DF2" w:rsidR="002E7DF2" w:rsidP="002E7DF2" w:rsidRDefault="002E7DF2" w14:paraId="04F2856E" w14:textId="77777777">
            <w:pPr>
              <w:autoSpaceDE/>
              <w:autoSpaceDN/>
              <w:adjustRightInd/>
              <w:rPr>
                <w:rFonts w:eastAsiaTheme="minorHAnsi"/>
                <w:b/>
                <w:szCs w:val="22"/>
              </w:rPr>
            </w:pPr>
            <w:r w:rsidRPr="002E7DF2">
              <w:rPr>
                <w:rFonts w:eastAsiaTheme="minorHAnsi"/>
                <w:b/>
                <w:bCs/>
                <w:szCs w:val="22"/>
              </w:rPr>
              <w:t>GridWise</w:t>
            </w:r>
          </w:p>
        </w:tc>
        <w:tc>
          <w:tcPr>
            <w:tcW w:w="4675" w:type="dxa"/>
          </w:tcPr>
          <w:p w:rsidRPr="002E7DF2" w:rsidR="002E7DF2" w:rsidP="002E7DF2" w:rsidRDefault="002E7DF2" w14:paraId="66F5878E" w14:textId="77777777">
            <w:pPr>
              <w:autoSpaceDE/>
              <w:autoSpaceDN/>
              <w:adjustRightInd/>
              <w:rPr>
                <w:rFonts w:eastAsiaTheme="minorHAnsi"/>
                <w:szCs w:val="22"/>
              </w:rPr>
            </w:pPr>
            <w:r w:rsidRPr="002E7DF2">
              <w:rPr>
                <w:rFonts w:eastAsiaTheme="minorHAnsi"/>
                <w:szCs w:val="22"/>
              </w:rPr>
              <w:t>GridWise Alliance</w:t>
            </w:r>
          </w:p>
        </w:tc>
      </w:tr>
      <w:tr w:rsidRPr="002E7DF2" w:rsidR="002E7DF2" w:rsidTr="00E739BF" w14:paraId="311F2631" w14:textId="77777777">
        <w:tc>
          <w:tcPr>
            <w:tcW w:w="4675" w:type="dxa"/>
          </w:tcPr>
          <w:p w:rsidRPr="002E7DF2" w:rsidR="002E7DF2" w:rsidP="002E7DF2" w:rsidRDefault="002E7DF2" w14:paraId="5C1A606C" w14:textId="77777777">
            <w:pPr>
              <w:autoSpaceDE/>
              <w:autoSpaceDN/>
              <w:adjustRightInd/>
              <w:rPr>
                <w:rFonts w:eastAsiaTheme="minorHAnsi"/>
                <w:b/>
                <w:szCs w:val="22"/>
              </w:rPr>
            </w:pPr>
            <w:r w:rsidRPr="002E7DF2">
              <w:rPr>
                <w:rFonts w:eastAsiaTheme="minorHAnsi"/>
                <w:b/>
                <w:bCs/>
                <w:szCs w:val="22"/>
              </w:rPr>
              <w:t>Guannan He</w:t>
            </w:r>
          </w:p>
        </w:tc>
        <w:tc>
          <w:tcPr>
            <w:tcW w:w="4675" w:type="dxa"/>
          </w:tcPr>
          <w:p w:rsidRPr="002E7DF2" w:rsidR="002E7DF2" w:rsidP="002E7DF2" w:rsidRDefault="002E7DF2" w14:paraId="7AF2010C" w14:textId="77777777">
            <w:pPr>
              <w:autoSpaceDE/>
              <w:autoSpaceDN/>
              <w:adjustRightInd/>
              <w:rPr>
                <w:rFonts w:eastAsiaTheme="minorHAnsi"/>
                <w:szCs w:val="22"/>
              </w:rPr>
            </w:pPr>
            <w:r w:rsidRPr="002E7DF2">
              <w:rPr>
                <w:rFonts w:eastAsiaTheme="minorHAnsi"/>
                <w:szCs w:val="22"/>
              </w:rPr>
              <w:t>Guannan He</w:t>
            </w:r>
          </w:p>
        </w:tc>
      </w:tr>
      <w:tr w:rsidRPr="002E7DF2" w:rsidR="002E7DF2" w:rsidTr="00E739BF" w14:paraId="6E144611" w14:textId="77777777">
        <w:tc>
          <w:tcPr>
            <w:tcW w:w="4675" w:type="dxa"/>
          </w:tcPr>
          <w:p w:rsidRPr="002E7DF2" w:rsidR="002E7DF2" w:rsidP="002E7DF2" w:rsidRDefault="002E7DF2" w14:paraId="1308F0F5" w14:textId="77777777">
            <w:pPr>
              <w:autoSpaceDE/>
              <w:autoSpaceDN/>
              <w:adjustRightInd/>
              <w:rPr>
                <w:rFonts w:eastAsiaTheme="minorHAnsi"/>
                <w:b/>
                <w:szCs w:val="22"/>
              </w:rPr>
            </w:pPr>
            <w:r w:rsidRPr="002E7DF2">
              <w:rPr>
                <w:rFonts w:eastAsiaTheme="minorHAnsi"/>
                <w:b/>
                <w:bCs/>
                <w:szCs w:val="22"/>
              </w:rPr>
              <w:t>Harvard Environmental Policy Initiative</w:t>
            </w:r>
          </w:p>
        </w:tc>
        <w:tc>
          <w:tcPr>
            <w:tcW w:w="4675" w:type="dxa"/>
          </w:tcPr>
          <w:p w:rsidRPr="002E7DF2" w:rsidR="002E7DF2" w:rsidP="002E7DF2" w:rsidRDefault="002E7DF2" w14:paraId="5910A199" w14:textId="77777777">
            <w:pPr>
              <w:autoSpaceDE/>
              <w:autoSpaceDN/>
              <w:adjustRightInd/>
              <w:rPr>
                <w:rFonts w:eastAsiaTheme="minorHAnsi"/>
                <w:szCs w:val="22"/>
              </w:rPr>
            </w:pPr>
            <w:r w:rsidRPr="002E7DF2">
              <w:rPr>
                <w:rFonts w:eastAsiaTheme="minorHAnsi"/>
                <w:szCs w:val="22"/>
              </w:rPr>
              <w:t>Harvard Environmental Policy Initiative</w:t>
            </w:r>
          </w:p>
        </w:tc>
      </w:tr>
      <w:tr w:rsidRPr="002E7DF2" w:rsidR="002E7DF2" w:rsidTr="00E739BF" w14:paraId="0F99D62C" w14:textId="77777777">
        <w:tc>
          <w:tcPr>
            <w:tcW w:w="4675" w:type="dxa"/>
          </w:tcPr>
          <w:p w:rsidRPr="002E7DF2" w:rsidR="002E7DF2" w:rsidP="002E7DF2" w:rsidRDefault="002E7DF2" w14:paraId="1AD0F210" w14:textId="77777777">
            <w:pPr>
              <w:autoSpaceDE/>
              <w:autoSpaceDN/>
              <w:adjustRightInd/>
              <w:rPr>
                <w:rFonts w:eastAsiaTheme="minorHAnsi"/>
                <w:b/>
                <w:bCs/>
                <w:szCs w:val="22"/>
              </w:rPr>
            </w:pPr>
            <w:r w:rsidRPr="002E7DF2">
              <w:rPr>
                <w:rFonts w:eastAsiaTheme="minorHAnsi"/>
                <w:b/>
                <w:bCs/>
                <w:szCs w:val="22"/>
              </w:rPr>
              <w:t>Icetec</w:t>
            </w:r>
          </w:p>
        </w:tc>
        <w:tc>
          <w:tcPr>
            <w:tcW w:w="4675" w:type="dxa"/>
          </w:tcPr>
          <w:p w:rsidRPr="002E7DF2" w:rsidR="002E7DF2" w:rsidP="002E7DF2" w:rsidRDefault="002E7DF2" w14:paraId="5CE31B44" w14:textId="77777777">
            <w:pPr>
              <w:autoSpaceDE/>
              <w:autoSpaceDN/>
              <w:adjustRightInd/>
              <w:rPr>
                <w:rFonts w:eastAsiaTheme="minorHAnsi"/>
                <w:szCs w:val="22"/>
              </w:rPr>
            </w:pPr>
            <w:r w:rsidRPr="002E7DF2">
              <w:rPr>
                <w:rFonts w:eastAsiaTheme="minorHAnsi"/>
                <w:szCs w:val="22"/>
              </w:rPr>
              <w:t>Icetec</w:t>
            </w:r>
          </w:p>
        </w:tc>
      </w:tr>
      <w:tr w:rsidRPr="002E7DF2" w:rsidR="002E7DF2" w:rsidTr="00E739BF" w14:paraId="1349FA32" w14:textId="77777777">
        <w:tc>
          <w:tcPr>
            <w:tcW w:w="4675" w:type="dxa"/>
          </w:tcPr>
          <w:p w:rsidRPr="002E7DF2" w:rsidR="002E7DF2" w:rsidP="002E7DF2" w:rsidRDefault="002E7DF2" w14:paraId="1BBA20FD" w14:textId="795EDFD4">
            <w:pPr>
              <w:autoSpaceDE/>
              <w:autoSpaceDN/>
              <w:adjustRightInd/>
              <w:rPr>
                <w:rFonts w:eastAsiaTheme="minorHAnsi"/>
                <w:b/>
                <w:bCs/>
                <w:szCs w:val="22"/>
              </w:rPr>
            </w:pPr>
            <w:r w:rsidRPr="002E7DF2">
              <w:rPr>
                <w:rFonts w:eastAsiaTheme="minorHAnsi"/>
                <w:b/>
                <w:bCs/>
                <w:szCs w:val="22"/>
              </w:rPr>
              <w:t>Imperial Irrigation District</w:t>
            </w:r>
          </w:p>
        </w:tc>
        <w:tc>
          <w:tcPr>
            <w:tcW w:w="4675" w:type="dxa"/>
          </w:tcPr>
          <w:p w:rsidRPr="002E7DF2" w:rsidR="002E7DF2" w:rsidP="002E7DF2" w:rsidRDefault="002E7DF2" w14:paraId="4E905CEE" w14:textId="77777777">
            <w:pPr>
              <w:autoSpaceDE/>
              <w:autoSpaceDN/>
              <w:adjustRightInd/>
              <w:rPr>
                <w:rFonts w:eastAsiaTheme="minorHAnsi"/>
                <w:szCs w:val="22"/>
              </w:rPr>
            </w:pPr>
            <w:r w:rsidRPr="002E7DF2">
              <w:rPr>
                <w:rFonts w:eastAsiaTheme="minorHAnsi"/>
                <w:szCs w:val="22"/>
              </w:rPr>
              <w:t>Imperial Irrigation District</w:t>
            </w:r>
          </w:p>
        </w:tc>
      </w:tr>
      <w:tr w:rsidRPr="002E7DF2" w:rsidR="002E7DF2" w:rsidTr="00E739BF" w14:paraId="3B5877F1" w14:textId="77777777">
        <w:tc>
          <w:tcPr>
            <w:tcW w:w="4675" w:type="dxa"/>
          </w:tcPr>
          <w:p w:rsidRPr="002E7DF2" w:rsidR="002E7DF2" w:rsidP="002E7DF2" w:rsidRDefault="002E7DF2" w14:paraId="180FFA94" w14:textId="77777777">
            <w:pPr>
              <w:autoSpaceDE/>
              <w:autoSpaceDN/>
              <w:adjustRightInd/>
              <w:rPr>
                <w:rFonts w:eastAsiaTheme="minorHAnsi"/>
                <w:b/>
                <w:bCs/>
                <w:szCs w:val="22"/>
              </w:rPr>
            </w:pPr>
            <w:r w:rsidRPr="002E7DF2">
              <w:rPr>
                <w:rFonts w:eastAsiaTheme="minorHAnsi"/>
                <w:b/>
                <w:bCs/>
                <w:szCs w:val="22"/>
              </w:rPr>
              <w:t>Independent Energy Producers</w:t>
            </w:r>
          </w:p>
          <w:p w:rsidRPr="002E7DF2" w:rsidR="002E7DF2" w:rsidP="002E7DF2" w:rsidRDefault="002E7DF2" w14:paraId="380CABE6" w14:textId="77777777">
            <w:pPr>
              <w:autoSpaceDE/>
              <w:autoSpaceDN/>
              <w:adjustRightInd/>
              <w:rPr>
                <w:rFonts w:eastAsiaTheme="minorHAnsi"/>
                <w:b/>
                <w:szCs w:val="22"/>
              </w:rPr>
            </w:pPr>
            <w:r w:rsidRPr="002E7DF2">
              <w:rPr>
                <w:rFonts w:eastAsiaTheme="minorHAnsi"/>
                <w:b/>
                <w:bCs/>
                <w:szCs w:val="22"/>
              </w:rPr>
              <w:t>Association</w:t>
            </w:r>
          </w:p>
        </w:tc>
        <w:tc>
          <w:tcPr>
            <w:tcW w:w="4675" w:type="dxa"/>
          </w:tcPr>
          <w:p w:rsidRPr="002E7DF2" w:rsidR="002E7DF2" w:rsidP="002E7DF2" w:rsidRDefault="002E7DF2" w14:paraId="592B6FDE" w14:textId="77777777">
            <w:pPr>
              <w:autoSpaceDE/>
              <w:autoSpaceDN/>
              <w:adjustRightInd/>
              <w:rPr>
                <w:rFonts w:eastAsiaTheme="minorHAnsi"/>
                <w:szCs w:val="22"/>
              </w:rPr>
            </w:pPr>
            <w:r w:rsidRPr="002E7DF2">
              <w:rPr>
                <w:rFonts w:eastAsiaTheme="minorHAnsi"/>
                <w:szCs w:val="22"/>
              </w:rPr>
              <w:t>Independent Energy Producers</w:t>
            </w:r>
          </w:p>
          <w:p w:rsidRPr="002E7DF2" w:rsidR="002E7DF2" w:rsidP="002E7DF2" w:rsidRDefault="002E7DF2" w14:paraId="726F8544" w14:textId="77777777">
            <w:pPr>
              <w:autoSpaceDE/>
              <w:autoSpaceDN/>
              <w:adjustRightInd/>
              <w:rPr>
                <w:rFonts w:eastAsiaTheme="minorHAnsi"/>
                <w:szCs w:val="22"/>
              </w:rPr>
            </w:pPr>
            <w:r w:rsidRPr="002E7DF2">
              <w:rPr>
                <w:rFonts w:eastAsiaTheme="minorHAnsi"/>
                <w:szCs w:val="22"/>
              </w:rPr>
              <w:t>Association</w:t>
            </w:r>
          </w:p>
        </w:tc>
      </w:tr>
      <w:tr w:rsidRPr="002E7DF2" w:rsidR="001317D5" w:rsidTr="00E739BF" w14:paraId="24F5F9C8" w14:textId="77777777">
        <w:tc>
          <w:tcPr>
            <w:tcW w:w="4675" w:type="dxa"/>
          </w:tcPr>
          <w:p w:rsidRPr="002E7DF2" w:rsidR="001317D5" w:rsidP="002E7DF2" w:rsidRDefault="001317D5" w14:paraId="77DFE222" w14:textId="03DCA3B2">
            <w:pPr>
              <w:rPr>
                <w:b/>
                <w:bCs/>
              </w:rPr>
            </w:pPr>
            <w:r>
              <w:rPr>
                <w:b/>
                <w:bCs/>
              </w:rPr>
              <w:t>Indiana Commission</w:t>
            </w:r>
          </w:p>
        </w:tc>
        <w:tc>
          <w:tcPr>
            <w:tcW w:w="4675" w:type="dxa"/>
          </w:tcPr>
          <w:p w:rsidRPr="002E7DF2" w:rsidR="001317D5" w:rsidP="002E7DF2" w:rsidRDefault="001317D5" w14:paraId="62F32597" w14:textId="17380E15">
            <w:r w:rsidRPr="001317D5">
              <w:t>Indiana Utility Regulatory Commission</w:t>
            </w:r>
          </w:p>
        </w:tc>
      </w:tr>
      <w:tr w:rsidRPr="002E7DF2" w:rsidR="002E7DF2" w:rsidTr="00E739BF" w14:paraId="3C842DF2" w14:textId="77777777">
        <w:tc>
          <w:tcPr>
            <w:tcW w:w="4675" w:type="dxa"/>
          </w:tcPr>
          <w:p w:rsidRPr="002E7DF2" w:rsidR="002E7DF2" w:rsidP="002E7DF2" w:rsidRDefault="002E7DF2" w14:paraId="4BFE244E" w14:textId="77777777">
            <w:pPr>
              <w:autoSpaceDE/>
              <w:autoSpaceDN/>
              <w:adjustRightInd/>
              <w:rPr>
                <w:rFonts w:eastAsiaTheme="minorHAnsi"/>
                <w:b/>
                <w:szCs w:val="22"/>
              </w:rPr>
            </w:pPr>
            <w:r w:rsidRPr="002E7DF2">
              <w:rPr>
                <w:rFonts w:eastAsiaTheme="minorHAnsi"/>
                <w:b/>
                <w:bCs/>
                <w:szCs w:val="22"/>
              </w:rPr>
              <w:t>Institute for Policy Integrity</w:t>
            </w:r>
          </w:p>
        </w:tc>
        <w:tc>
          <w:tcPr>
            <w:tcW w:w="4675" w:type="dxa"/>
          </w:tcPr>
          <w:p w:rsidRPr="002E7DF2" w:rsidR="002E7DF2" w:rsidP="002E7DF2" w:rsidRDefault="002E7DF2" w14:paraId="6FC39050" w14:textId="77777777">
            <w:pPr>
              <w:autoSpaceDE/>
              <w:autoSpaceDN/>
              <w:adjustRightInd/>
              <w:rPr>
                <w:rFonts w:eastAsiaTheme="minorHAnsi"/>
                <w:szCs w:val="22"/>
              </w:rPr>
            </w:pPr>
            <w:r w:rsidRPr="002E7DF2">
              <w:rPr>
                <w:rFonts w:eastAsiaTheme="minorHAnsi"/>
                <w:szCs w:val="22"/>
              </w:rPr>
              <w:t>Institute for Policy Integrity</w:t>
            </w:r>
          </w:p>
        </w:tc>
      </w:tr>
      <w:tr w:rsidRPr="002E7DF2" w:rsidR="002E7DF2" w:rsidTr="00E739BF" w14:paraId="1E9A6741" w14:textId="77777777">
        <w:tc>
          <w:tcPr>
            <w:tcW w:w="4675" w:type="dxa"/>
          </w:tcPr>
          <w:p w:rsidRPr="002E7DF2" w:rsidR="002E7DF2" w:rsidP="002E7DF2" w:rsidRDefault="002E7DF2" w14:paraId="35E37182" w14:textId="77777777">
            <w:pPr>
              <w:autoSpaceDE/>
              <w:autoSpaceDN/>
              <w:adjustRightInd/>
              <w:rPr>
                <w:rFonts w:eastAsiaTheme="minorHAnsi"/>
                <w:b/>
                <w:szCs w:val="22"/>
              </w:rPr>
            </w:pPr>
            <w:r w:rsidRPr="002E7DF2">
              <w:rPr>
                <w:rFonts w:eastAsiaTheme="minorHAnsi"/>
                <w:b/>
                <w:bCs/>
                <w:szCs w:val="22"/>
              </w:rPr>
              <w:t>IPKeys/Motorola</w:t>
            </w:r>
          </w:p>
        </w:tc>
        <w:tc>
          <w:tcPr>
            <w:tcW w:w="4675" w:type="dxa"/>
          </w:tcPr>
          <w:p w:rsidRPr="002E7DF2" w:rsidR="002E7DF2" w:rsidP="002E7DF2" w:rsidRDefault="002E7DF2" w14:paraId="718664D6" w14:textId="77777777">
            <w:pPr>
              <w:autoSpaceDE/>
              <w:autoSpaceDN/>
              <w:adjustRightInd/>
              <w:rPr>
                <w:rFonts w:eastAsiaTheme="minorHAnsi"/>
                <w:szCs w:val="22"/>
              </w:rPr>
            </w:pPr>
            <w:r w:rsidRPr="002E7DF2">
              <w:rPr>
                <w:rFonts w:eastAsiaTheme="minorHAnsi"/>
                <w:szCs w:val="22"/>
              </w:rPr>
              <w:t>IPKeys Technologies and Motorola</w:t>
            </w:r>
          </w:p>
          <w:p w:rsidRPr="002E7DF2" w:rsidR="002E7DF2" w:rsidP="002E7DF2" w:rsidRDefault="002E7DF2" w14:paraId="4BD75310" w14:textId="77777777">
            <w:pPr>
              <w:autoSpaceDE/>
              <w:autoSpaceDN/>
              <w:adjustRightInd/>
              <w:rPr>
                <w:rFonts w:eastAsiaTheme="minorHAnsi"/>
                <w:szCs w:val="22"/>
              </w:rPr>
            </w:pPr>
            <w:r w:rsidRPr="002E7DF2">
              <w:rPr>
                <w:rFonts w:eastAsiaTheme="minorHAnsi"/>
                <w:szCs w:val="22"/>
              </w:rPr>
              <w:t>Solutions</w:t>
            </w:r>
          </w:p>
        </w:tc>
      </w:tr>
      <w:tr w:rsidRPr="002E7DF2" w:rsidR="002E7DF2" w:rsidTr="00E739BF" w14:paraId="196B367D" w14:textId="77777777">
        <w:tc>
          <w:tcPr>
            <w:tcW w:w="4675" w:type="dxa"/>
          </w:tcPr>
          <w:p w:rsidRPr="002E7DF2" w:rsidR="002E7DF2" w:rsidP="002E7DF2" w:rsidRDefault="002E7DF2" w14:paraId="2477E54F" w14:textId="77777777">
            <w:pPr>
              <w:autoSpaceDE/>
              <w:autoSpaceDN/>
              <w:adjustRightInd/>
              <w:rPr>
                <w:rFonts w:eastAsiaTheme="minorHAnsi"/>
                <w:b/>
                <w:szCs w:val="22"/>
              </w:rPr>
            </w:pPr>
            <w:r w:rsidRPr="002E7DF2">
              <w:rPr>
                <w:rFonts w:eastAsiaTheme="minorHAnsi"/>
                <w:b/>
                <w:bCs/>
                <w:szCs w:val="22"/>
              </w:rPr>
              <w:t>IRC</w:t>
            </w:r>
          </w:p>
        </w:tc>
        <w:tc>
          <w:tcPr>
            <w:tcW w:w="4675" w:type="dxa"/>
          </w:tcPr>
          <w:p w:rsidRPr="002E7DF2" w:rsidR="002E7DF2" w:rsidP="002E7DF2" w:rsidRDefault="002E7DF2" w14:paraId="26A4C01F" w14:textId="77777777">
            <w:pPr>
              <w:autoSpaceDE/>
              <w:autoSpaceDN/>
              <w:adjustRightInd/>
              <w:rPr>
                <w:rFonts w:eastAsiaTheme="minorHAnsi"/>
                <w:szCs w:val="22"/>
              </w:rPr>
            </w:pPr>
            <w:r w:rsidRPr="002E7DF2">
              <w:rPr>
                <w:rFonts w:eastAsiaTheme="minorHAnsi"/>
                <w:szCs w:val="22"/>
              </w:rPr>
              <w:t>ISO-RTO Council</w:t>
            </w:r>
          </w:p>
        </w:tc>
      </w:tr>
      <w:tr w:rsidRPr="002E7DF2" w:rsidR="002E7DF2" w:rsidTr="00E739BF" w14:paraId="5DB7BFCA" w14:textId="77777777">
        <w:tc>
          <w:tcPr>
            <w:tcW w:w="4675" w:type="dxa"/>
          </w:tcPr>
          <w:p w:rsidRPr="002E7DF2" w:rsidR="002E7DF2" w:rsidP="002E7DF2" w:rsidRDefault="002E7DF2" w14:paraId="411608FD" w14:textId="77777777">
            <w:pPr>
              <w:autoSpaceDE/>
              <w:autoSpaceDN/>
              <w:adjustRightInd/>
              <w:rPr>
                <w:rFonts w:eastAsiaTheme="minorHAnsi"/>
                <w:b/>
                <w:szCs w:val="22"/>
              </w:rPr>
            </w:pPr>
            <w:r w:rsidRPr="002E7DF2">
              <w:rPr>
                <w:rFonts w:eastAsiaTheme="minorHAnsi"/>
                <w:b/>
                <w:bCs/>
                <w:szCs w:val="22"/>
              </w:rPr>
              <w:t>ISO-NE</w:t>
            </w:r>
          </w:p>
        </w:tc>
        <w:tc>
          <w:tcPr>
            <w:tcW w:w="4675" w:type="dxa"/>
          </w:tcPr>
          <w:p w:rsidRPr="002E7DF2" w:rsidR="002E7DF2" w:rsidP="002E7DF2" w:rsidRDefault="002E7DF2" w14:paraId="0563B8DE" w14:textId="77777777">
            <w:pPr>
              <w:autoSpaceDE/>
              <w:autoSpaceDN/>
              <w:adjustRightInd/>
              <w:rPr>
                <w:rFonts w:eastAsiaTheme="minorHAnsi"/>
                <w:szCs w:val="22"/>
              </w:rPr>
            </w:pPr>
            <w:r w:rsidRPr="002E7DF2">
              <w:rPr>
                <w:rFonts w:eastAsiaTheme="minorHAnsi"/>
                <w:szCs w:val="22"/>
              </w:rPr>
              <w:t>ISO New England Inc.</w:t>
            </w:r>
          </w:p>
        </w:tc>
      </w:tr>
      <w:tr w:rsidRPr="002E7DF2" w:rsidR="00F55EA9" w:rsidTr="00E739BF" w14:paraId="0CE8CB86" w14:textId="77777777">
        <w:tc>
          <w:tcPr>
            <w:tcW w:w="4675" w:type="dxa"/>
          </w:tcPr>
          <w:p w:rsidRPr="002E7DF2" w:rsidR="00F55EA9" w:rsidP="002E7DF2" w:rsidRDefault="00F55EA9" w14:paraId="37209E84" w14:textId="62745DC8">
            <w:pPr>
              <w:rPr>
                <w:b/>
                <w:bCs/>
              </w:rPr>
            </w:pPr>
            <w:r>
              <w:rPr>
                <w:b/>
                <w:bCs/>
              </w:rPr>
              <w:t>Kansas Commission</w:t>
            </w:r>
          </w:p>
        </w:tc>
        <w:tc>
          <w:tcPr>
            <w:tcW w:w="4675" w:type="dxa"/>
          </w:tcPr>
          <w:p w:rsidRPr="002E7DF2" w:rsidR="00F55EA9" w:rsidP="002E7DF2" w:rsidRDefault="00F55EA9" w14:paraId="796E05FE" w14:textId="2F1531A5">
            <w:r w:rsidRPr="00F55EA9">
              <w:t>Kansas Corporation Commission</w:t>
            </w:r>
          </w:p>
        </w:tc>
      </w:tr>
      <w:tr w:rsidRPr="002E7DF2" w:rsidR="002E7DF2" w:rsidTr="00E739BF" w14:paraId="00C1001A" w14:textId="77777777">
        <w:tc>
          <w:tcPr>
            <w:tcW w:w="4675" w:type="dxa"/>
          </w:tcPr>
          <w:p w:rsidRPr="002E7DF2" w:rsidR="002E7DF2" w:rsidP="002E7DF2" w:rsidRDefault="002E7DF2" w14:paraId="6D45897D" w14:textId="4ACC58E9">
            <w:pPr>
              <w:autoSpaceDE/>
              <w:autoSpaceDN/>
              <w:adjustRightInd/>
              <w:rPr>
                <w:rFonts w:eastAsiaTheme="minorHAnsi"/>
                <w:b/>
                <w:bCs/>
                <w:szCs w:val="22"/>
              </w:rPr>
            </w:pPr>
            <w:r w:rsidRPr="002E7DF2">
              <w:rPr>
                <w:rFonts w:eastAsiaTheme="minorHAnsi"/>
                <w:b/>
                <w:bCs/>
                <w:szCs w:val="22"/>
              </w:rPr>
              <w:t>Kathy Seal</w:t>
            </w:r>
          </w:p>
        </w:tc>
        <w:tc>
          <w:tcPr>
            <w:tcW w:w="4675" w:type="dxa"/>
          </w:tcPr>
          <w:p w:rsidRPr="002E7DF2" w:rsidR="002E7DF2" w:rsidP="002E7DF2" w:rsidRDefault="002E7DF2" w14:paraId="1FB869D6" w14:textId="77777777">
            <w:pPr>
              <w:autoSpaceDE/>
              <w:autoSpaceDN/>
              <w:adjustRightInd/>
              <w:rPr>
                <w:rFonts w:eastAsiaTheme="minorHAnsi"/>
                <w:szCs w:val="22"/>
              </w:rPr>
            </w:pPr>
            <w:r w:rsidRPr="002E7DF2">
              <w:rPr>
                <w:rFonts w:eastAsiaTheme="minorHAnsi"/>
                <w:szCs w:val="22"/>
              </w:rPr>
              <w:t>Kathy Seal</w:t>
            </w:r>
          </w:p>
        </w:tc>
      </w:tr>
      <w:tr w:rsidRPr="002E7DF2" w:rsidR="002E7DF2" w:rsidTr="00E739BF" w14:paraId="00211568" w14:textId="77777777">
        <w:tc>
          <w:tcPr>
            <w:tcW w:w="4675" w:type="dxa"/>
          </w:tcPr>
          <w:p w:rsidRPr="002E7DF2" w:rsidR="002E7DF2" w:rsidP="002E7DF2" w:rsidRDefault="002E7DF2" w14:paraId="072D9242" w14:textId="77777777">
            <w:pPr>
              <w:autoSpaceDE/>
              <w:autoSpaceDN/>
              <w:adjustRightInd/>
              <w:rPr>
                <w:rFonts w:eastAsiaTheme="minorHAnsi"/>
                <w:b/>
                <w:bCs/>
                <w:szCs w:val="22"/>
              </w:rPr>
            </w:pPr>
            <w:r w:rsidRPr="002E7DF2">
              <w:rPr>
                <w:rFonts w:eastAsiaTheme="minorHAnsi"/>
                <w:b/>
                <w:bCs/>
                <w:szCs w:val="22"/>
              </w:rPr>
              <w:t>Leadership Group</w:t>
            </w:r>
          </w:p>
        </w:tc>
        <w:tc>
          <w:tcPr>
            <w:tcW w:w="4675" w:type="dxa"/>
          </w:tcPr>
          <w:p w:rsidRPr="002E7DF2" w:rsidR="002E7DF2" w:rsidP="002E7DF2" w:rsidRDefault="002E7DF2" w14:paraId="7A5092EA" w14:textId="77777777">
            <w:pPr>
              <w:autoSpaceDE/>
              <w:autoSpaceDN/>
              <w:adjustRightInd/>
              <w:rPr>
                <w:rFonts w:eastAsiaTheme="minorHAnsi"/>
                <w:szCs w:val="22"/>
              </w:rPr>
            </w:pPr>
            <w:r w:rsidRPr="002E7DF2">
              <w:rPr>
                <w:rFonts w:eastAsiaTheme="minorHAnsi"/>
                <w:szCs w:val="22"/>
              </w:rPr>
              <w:t>Leadership Group</w:t>
            </w:r>
          </w:p>
        </w:tc>
      </w:tr>
      <w:tr w:rsidRPr="002E7DF2" w:rsidR="002E7DF2" w:rsidTr="00E739BF" w14:paraId="211FEF41" w14:textId="77777777">
        <w:tc>
          <w:tcPr>
            <w:tcW w:w="4675" w:type="dxa"/>
          </w:tcPr>
          <w:p w:rsidRPr="002E7DF2" w:rsidR="002E7DF2" w:rsidP="002E7DF2" w:rsidRDefault="002E7DF2" w14:paraId="103EF25A" w14:textId="2F4D9194">
            <w:pPr>
              <w:autoSpaceDE/>
              <w:autoSpaceDN/>
              <w:adjustRightInd/>
              <w:rPr>
                <w:rFonts w:eastAsiaTheme="minorHAnsi"/>
                <w:b/>
                <w:bCs/>
                <w:szCs w:val="22"/>
              </w:rPr>
            </w:pPr>
            <w:r w:rsidRPr="002E7DF2">
              <w:rPr>
                <w:rFonts w:eastAsiaTheme="minorHAnsi"/>
                <w:b/>
                <w:bCs/>
                <w:szCs w:val="22"/>
              </w:rPr>
              <w:t>Liza White</w:t>
            </w:r>
          </w:p>
        </w:tc>
        <w:tc>
          <w:tcPr>
            <w:tcW w:w="4675" w:type="dxa"/>
          </w:tcPr>
          <w:p w:rsidRPr="002E7DF2" w:rsidR="002E7DF2" w:rsidP="002E7DF2" w:rsidRDefault="002E7DF2" w14:paraId="59E429AE" w14:textId="77777777">
            <w:pPr>
              <w:autoSpaceDE/>
              <w:autoSpaceDN/>
              <w:adjustRightInd/>
              <w:rPr>
                <w:rFonts w:eastAsiaTheme="minorHAnsi"/>
                <w:szCs w:val="22"/>
              </w:rPr>
            </w:pPr>
            <w:r w:rsidRPr="002E7DF2">
              <w:rPr>
                <w:rFonts w:eastAsiaTheme="minorHAnsi"/>
                <w:szCs w:val="22"/>
              </w:rPr>
              <w:t>Liza C. White</w:t>
            </w:r>
          </w:p>
        </w:tc>
      </w:tr>
      <w:tr w:rsidRPr="002E7DF2" w:rsidR="002E7DF2" w:rsidTr="00E739BF" w14:paraId="159E335C" w14:textId="77777777">
        <w:tc>
          <w:tcPr>
            <w:tcW w:w="4675" w:type="dxa"/>
          </w:tcPr>
          <w:p w:rsidRPr="002E7DF2" w:rsidR="002E7DF2" w:rsidP="002E7DF2" w:rsidRDefault="002E7DF2" w14:paraId="612A6402" w14:textId="77777777">
            <w:pPr>
              <w:autoSpaceDE/>
              <w:autoSpaceDN/>
              <w:adjustRightInd/>
              <w:rPr>
                <w:rFonts w:eastAsiaTheme="minorHAnsi"/>
                <w:b/>
                <w:bCs/>
                <w:szCs w:val="22"/>
              </w:rPr>
            </w:pPr>
            <w:r w:rsidRPr="002E7DF2">
              <w:rPr>
                <w:rFonts w:eastAsiaTheme="minorHAnsi"/>
                <w:b/>
                <w:bCs/>
                <w:szCs w:val="22"/>
              </w:rPr>
              <w:t>Lorenzo Kristov</w:t>
            </w:r>
          </w:p>
        </w:tc>
        <w:tc>
          <w:tcPr>
            <w:tcW w:w="4675" w:type="dxa"/>
          </w:tcPr>
          <w:p w:rsidRPr="002E7DF2" w:rsidR="002E7DF2" w:rsidP="002E7DF2" w:rsidRDefault="002E7DF2" w14:paraId="324B80F0" w14:textId="77777777">
            <w:pPr>
              <w:autoSpaceDE/>
              <w:autoSpaceDN/>
              <w:adjustRightInd/>
              <w:rPr>
                <w:rFonts w:eastAsiaTheme="minorHAnsi"/>
                <w:szCs w:val="22"/>
              </w:rPr>
            </w:pPr>
            <w:r w:rsidRPr="002E7DF2">
              <w:rPr>
                <w:rFonts w:eastAsiaTheme="minorHAnsi"/>
                <w:szCs w:val="22"/>
              </w:rPr>
              <w:t>Lorenzo Kristov</w:t>
            </w:r>
          </w:p>
        </w:tc>
      </w:tr>
      <w:tr w:rsidRPr="002E7DF2" w:rsidR="002E7DF2" w:rsidTr="00E739BF" w14:paraId="744B3883" w14:textId="77777777">
        <w:tc>
          <w:tcPr>
            <w:tcW w:w="4675" w:type="dxa"/>
          </w:tcPr>
          <w:p w:rsidRPr="002E7DF2" w:rsidR="002E7DF2" w:rsidP="002E7DF2" w:rsidRDefault="002E7DF2" w14:paraId="7124FE6D" w14:textId="6502153D">
            <w:pPr>
              <w:autoSpaceDE/>
              <w:autoSpaceDN/>
              <w:adjustRightInd/>
              <w:rPr>
                <w:rFonts w:eastAsiaTheme="minorHAnsi"/>
                <w:b/>
                <w:bCs/>
                <w:szCs w:val="22"/>
              </w:rPr>
            </w:pPr>
            <w:r w:rsidRPr="002E7DF2">
              <w:rPr>
                <w:rFonts w:eastAsiaTheme="minorHAnsi"/>
                <w:b/>
                <w:bCs/>
                <w:szCs w:val="22"/>
              </w:rPr>
              <w:t>Lyla Fadali</w:t>
            </w:r>
          </w:p>
        </w:tc>
        <w:tc>
          <w:tcPr>
            <w:tcW w:w="4675" w:type="dxa"/>
          </w:tcPr>
          <w:p w:rsidRPr="002E7DF2" w:rsidR="002E7DF2" w:rsidP="002E7DF2" w:rsidRDefault="002E7DF2" w14:paraId="334189AB" w14:textId="77777777">
            <w:pPr>
              <w:autoSpaceDE/>
              <w:autoSpaceDN/>
              <w:adjustRightInd/>
              <w:rPr>
                <w:rFonts w:eastAsiaTheme="minorHAnsi"/>
                <w:szCs w:val="22"/>
              </w:rPr>
            </w:pPr>
            <w:r w:rsidRPr="002E7DF2">
              <w:rPr>
                <w:rFonts w:eastAsiaTheme="minorHAnsi"/>
                <w:szCs w:val="22"/>
              </w:rPr>
              <w:t>Lyla Fadali</w:t>
            </w:r>
          </w:p>
        </w:tc>
      </w:tr>
      <w:tr w:rsidRPr="002E7DF2" w:rsidR="002E7DF2" w:rsidTr="00E739BF" w14:paraId="35F4B4F8" w14:textId="77777777">
        <w:tc>
          <w:tcPr>
            <w:tcW w:w="4675" w:type="dxa"/>
          </w:tcPr>
          <w:p w:rsidRPr="002E7DF2" w:rsidR="002E7DF2" w:rsidP="002E7DF2" w:rsidRDefault="002E7DF2" w14:paraId="04C4002A" w14:textId="5C2E5132">
            <w:pPr>
              <w:autoSpaceDE/>
              <w:autoSpaceDN/>
              <w:adjustRightInd/>
              <w:rPr>
                <w:rFonts w:eastAsiaTheme="minorHAnsi"/>
                <w:b/>
                <w:bCs/>
                <w:szCs w:val="22"/>
              </w:rPr>
            </w:pPr>
            <w:r w:rsidRPr="002E7DF2">
              <w:rPr>
                <w:rFonts w:eastAsiaTheme="minorHAnsi"/>
                <w:b/>
                <w:bCs/>
                <w:szCs w:val="22"/>
              </w:rPr>
              <w:t>Magnum</w:t>
            </w:r>
          </w:p>
        </w:tc>
        <w:tc>
          <w:tcPr>
            <w:tcW w:w="4675" w:type="dxa"/>
          </w:tcPr>
          <w:p w:rsidRPr="002E7DF2" w:rsidR="002E7DF2" w:rsidP="002E7DF2" w:rsidRDefault="002E7DF2" w14:paraId="6E47076C" w14:textId="77777777">
            <w:pPr>
              <w:autoSpaceDE/>
              <w:autoSpaceDN/>
              <w:adjustRightInd/>
              <w:rPr>
                <w:rFonts w:eastAsiaTheme="minorHAnsi"/>
                <w:szCs w:val="22"/>
              </w:rPr>
            </w:pPr>
            <w:r w:rsidRPr="002E7DF2">
              <w:rPr>
                <w:rFonts w:eastAsiaTheme="minorHAnsi"/>
                <w:szCs w:val="22"/>
              </w:rPr>
              <w:t>Magnum CAES, LLC</w:t>
            </w:r>
          </w:p>
        </w:tc>
      </w:tr>
      <w:tr w:rsidRPr="002E7DF2" w:rsidR="002E7DF2" w:rsidTr="00E739BF" w14:paraId="4CDECA9B" w14:textId="77777777">
        <w:tc>
          <w:tcPr>
            <w:tcW w:w="4675" w:type="dxa"/>
          </w:tcPr>
          <w:p w:rsidRPr="002E7DF2" w:rsidR="002E7DF2" w:rsidP="002E7DF2" w:rsidRDefault="002E7DF2" w14:paraId="07CF55F4" w14:textId="77777777">
            <w:pPr>
              <w:autoSpaceDE/>
              <w:autoSpaceDN/>
              <w:adjustRightInd/>
              <w:rPr>
                <w:rFonts w:eastAsiaTheme="minorHAnsi"/>
                <w:b/>
                <w:szCs w:val="22"/>
              </w:rPr>
            </w:pPr>
            <w:r w:rsidRPr="002E7DF2">
              <w:rPr>
                <w:rFonts w:eastAsiaTheme="minorHAnsi"/>
                <w:b/>
                <w:bCs/>
                <w:szCs w:val="22"/>
              </w:rPr>
              <w:t>Maryland and New Jersey Commissions</w:t>
            </w:r>
          </w:p>
        </w:tc>
        <w:tc>
          <w:tcPr>
            <w:tcW w:w="4675" w:type="dxa"/>
          </w:tcPr>
          <w:p w:rsidRPr="002E7DF2" w:rsidR="002E7DF2" w:rsidP="002E7DF2" w:rsidRDefault="002E7DF2" w14:paraId="38212C89" w14:textId="77777777">
            <w:pPr>
              <w:autoSpaceDE/>
              <w:autoSpaceDN/>
              <w:adjustRightInd/>
              <w:rPr>
                <w:rFonts w:eastAsiaTheme="minorHAnsi"/>
                <w:szCs w:val="22"/>
              </w:rPr>
            </w:pPr>
            <w:r w:rsidRPr="002E7DF2">
              <w:rPr>
                <w:rFonts w:eastAsiaTheme="minorHAnsi"/>
                <w:szCs w:val="22"/>
              </w:rPr>
              <w:t>Maryland Public Service Commission and</w:t>
            </w:r>
          </w:p>
          <w:p w:rsidRPr="002E7DF2" w:rsidR="002E7DF2" w:rsidP="002E7DF2" w:rsidRDefault="002E7DF2" w14:paraId="6BB654C4" w14:textId="77777777">
            <w:pPr>
              <w:autoSpaceDE/>
              <w:autoSpaceDN/>
              <w:adjustRightInd/>
              <w:rPr>
                <w:rFonts w:eastAsiaTheme="minorHAnsi"/>
                <w:szCs w:val="22"/>
              </w:rPr>
            </w:pPr>
            <w:r w:rsidRPr="002E7DF2">
              <w:rPr>
                <w:rFonts w:eastAsiaTheme="minorHAnsi"/>
                <w:szCs w:val="22"/>
              </w:rPr>
              <w:t>New Jersey Board of Public Utilities</w:t>
            </w:r>
          </w:p>
        </w:tc>
      </w:tr>
      <w:tr w:rsidRPr="002E7DF2" w:rsidR="00B51B88" w:rsidTr="00E739BF" w14:paraId="016169F8" w14:textId="77777777">
        <w:tc>
          <w:tcPr>
            <w:tcW w:w="4675" w:type="dxa"/>
          </w:tcPr>
          <w:p w:rsidRPr="002E7DF2" w:rsidR="00B51B88" w:rsidP="002E7DF2" w:rsidRDefault="00B51B88" w14:paraId="78D7A462" w14:textId="6AEC30AB">
            <w:pPr>
              <w:rPr>
                <w:b/>
                <w:bCs/>
              </w:rPr>
            </w:pPr>
            <w:r>
              <w:rPr>
                <w:b/>
                <w:bCs/>
              </w:rPr>
              <w:t>Massachusetts Commission</w:t>
            </w:r>
          </w:p>
        </w:tc>
        <w:tc>
          <w:tcPr>
            <w:tcW w:w="4675" w:type="dxa"/>
          </w:tcPr>
          <w:p w:rsidRPr="002E7DF2" w:rsidR="00B51B88" w:rsidP="002E7DF2" w:rsidRDefault="00B51B88" w14:paraId="03CA4262" w14:textId="5428E295">
            <w:r>
              <w:t>Massachusetts Department of Public Utilities</w:t>
            </w:r>
          </w:p>
        </w:tc>
      </w:tr>
      <w:tr w:rsidRPr="002E7DF2" w:rsidR="002E7DF2" w:rsidTr="00E739BF" w14:paraId="132C5A42" w14:textId="77777777">
        <w:tc>
          <w:tcPr>
            <w:tcW w:w="4675" w:type="dxa"/>
          </w:tcPr>
          <w:p w:rsidRPr="002E7DF2" w:rsidR="002E7DF2" w:rsidP="002E7DF2" w:rsidRDefault="002E7DF2" w14:paraId="1A0F6943" w14:textId="77777777">
            <w:pPr>
              <w:autoSpaceDE/>
              <w:autoSpaceDN/>
              <w:adjustRightInd/>
              <w:rPr>
                <w:rFonts w:eastAsiaTheme="minorHAnsi"/>
                <w:b/>
                <w:szCs w:val="22"/>
              </w:rPr>
            </w:pPr>
            <w:r w:rsidRPr="002E7DF2">
              <w:rPr>
                <w:rFonts w:eastAsiaTheme="minorHAnsi"/>
                <w:b/>
                <w:bCs/>
                <w:szCs w:val="22"/>
              </w:rPr>
              <w:t>Massachusetts State Entities</w:t>
            </w:r>
          </w:p>
        </w:tc>
        <w:tc>
          <w:tcPr>
            <w:tcW w:w="4675" w:type="dxa"/>
          </w:tcPr>
          <w:p w:rsidRPr="002E7DF2" w:rsidR="002E7DF2" w:rsidP="002E7DF2" w:rsidRDefault="002E7DF2" w14:paraId="5C45F7B8" w14:textId="77777777">
            <w:pPr>
              <w:autoSpaceDE/>
              <w:autoSpaceDN/>
              <w:adjustRightInd/>
              <w:rPr>
                <w:rFonts w:eastAsiaTheme="minorHAnsi"/>
                <w:szCs w:val="22"/>
              </w:rPr>
            </w:pPr>
            <w:r w:rsidRPr="002E7DF2">
              <w:rPr>
                <w:rFonts w:eastAsiaTheme="minorHAnsi"/>
                <w:szCs w:val="22"/>
              </w:rPr>
              <w:t>Massachusetts Department of Public</w:t>
            </w:r>
          </w:p>
          <w:p w:rsidRPr="002E7DF2" w:rsidR="002E7DF2" w:rsidP="002E7DF2" w:rsidRDefault="002E7DF2" w14:paraId="033D3985" w14:textId="77777777">
            <w:pPr>
              <w:autoSpaceDE/>
              <w:autoSpaceDN/>
              <w:adjustRightInd/>
              <w:rPr>
                <w:rFonts w:eastAsiaTheme="minorHAnsi"/>
                <w:szCs w:val="22"/>
              </w:rPr>
            </w:pPr>
            <w:r w:rsidRPr="002E7DF2">
              <w:rPr>
                <w:rFonts w:eastAsiaTheme="minorHAnsi"/>
                <w:szCs w:val="22"/>
              </w:rPr>
              <w:t>Utilities and Massachusetts Department of</w:t>
            </w:r>
          </w:p>
          <w:p w:rsidRPr="002E7DF2" w:rsidR="002E7DF2" w:rsidP="002E7DF2" w:rsidRDefault="002E7DF2" w14:paraId="5ED45777" w14:textId="77777777">
            <w:pPr>
              <w:autoSpaceDE/>
              <w:autoSpaceDN/>
              <w:adjustRightInd/>
              <w:rPr>
                <w:rFonts w:eastAsiaTheme="minorHAnsi"/>
                <w:szCs w:val="22"/>
              </w:rPr>
            </w:pPr>
            <w:r w:rsidRPr="002E7DF2">
              <w:rPr>
                <w:rFonts w:eastAsiaTheme="minorHAnsi"/>
                <w:szCs w:val="22"/>
              </w:rPr>
              <w:t>Energy Resources</w:t>
            </w:r>
          </w:p>
        </w:tc>
      </w:tr>
      <w:tr w:rsidRPr="002E7DF2" w:rsidR="002E7DF2" w:rsidTr="00E739BF" w14:paraId="20C3EB59" w14:textId="77777777">
        <w:tc>
          <w:tcPr>
            <w:tcW w:w="4675" w:type="dxa"/>
          </w:tcPr>
          <w:p w:rsidRPr="002E7DF2" w:rsidR="002E7DF2" w:rsidP="002E7DF2" w:rsidRDefault="002E7DF2" w14:paraId="278F6148" w14:textId="77777777">
            <w:pPr>
              <w:autoSpaceDE/>
              <w:autoSpaceDN/>
              <w:adjustRightInd/>
              <w:rPr>
                <w:rFonts w:eastAsiaTheme="minorHAnsi"/>
                <w:b/>
                <w:szCs w:val="22"/>
              </w:rPr>
            </w:pPr>
            <w:r w:rsidRPr="002E7DF2">
              <w:rPr>
                <w:rFonts w:eastAsiaTheme="minorHAnsi"/>
                <w:b/>
                <w:bCs/>
                <w:szCs w:val="22"/>
              </w:rPr>
              <w:t>Massachusetts Municipal Electric</w:t>
            </w:r>
          </w:p>
        </w:tc>
        <w:tc>
          <w:tcPr>
            <w:tcW w:w="4675" w:type="dxa"/>
          </w:tcPr>
          <w:p w:rsidRPr="002E7DF2" w:rsidR="002E7DF2" w:rsidP="002E7DF2" w:rsidRDefault="002E7DF2" w14:paraId="4293CFB0" w14:textId="77777777">
            <w:pPr>
              <w:autoSpaceDE/>
              <w:autoSpaceDN/>
              <w:adjustRightInd/>
              <w:rPr>
                <w:rFonts w:eastAsiaTheme="minorHAnsi"/>
                <w:szCs w:val="22"/>
              </w:rPr>
            </w:pPr>
            <w:r w:rsidRPr="002E7DF2">
              <w:rPr>
                <w:rFonts w:eastAsiaTheme="minorHAnsi"/>
                <w:szCs w:val="22"/>
              </w:rPr>
              <w:t>Massachusetts Municipal Wholesale</w:t>
            </w:r>
          </w:p>
          <w:p w:rsidRPr="002E7DF2" w:rsidR="002E7DF2" w:rsidP="002E7DF2" w:rsidRDefault="002E7DF2" w14:paraId="3B93662F" w14:textId="77777777">
            <w:pPr>
              <w:autoSpaceDE/>
              <w:autoSpaceDN/>
              <w:adjustRightInd/>
              <w:rPr>
                <w:rFonts w:eastAsiaTheme="minorHAnsi"/>
                <w:szCs w:val="22"/>
              </w:rPr>
            </w:pPr>
            <w:r w:rsidRPr="002E7DF2">
              <w:rPr>
                <w:rFonts w:eastAsiaTheme="minorHAnsi"/>
                <w:szCs w:val="22"/>
              </w:rPr>
              <w:t>Electric Company</w:t>
            </w:r>
          </w:p>
        </w:tc>
      </w:tr>
      <w:tr w:rsidRPr="002E7DF2" w:rsidR="002E7DF2" w:rsidTr="00E739BF" w14:paraId="718A25B0" w14:textId="77777777">
        <w:tc>
          <w:tcPr>
            <w:tcW w:w="4675" w:type="dxa"/>
          </w:tcPr>
          <w:p w:rsidRPr="002E7DF2" w:rsidR="002E7DF2" w:rsidP="002E7DF2" w:rsidRDefault="002E7DF2" w14:paraId="172879BF" w14:textId="33FBED41">
            <w:pPr>
              <w:autoSpaceDE/>
              <w:autoSpaceDN/>
              <w:adjustRightInd/>
              <w:rPr>
                <w:rFonts w:eastAsiaTheme="minorHAnsi"/>
                <w:b/>
                <w:bCs/>
                <w:szCs w:val="22"/>
              </w:rPr>
            </w:pPr>
            <w:r w:rsidRPr="002E7DF2">
              <w:rPr>
                <w:rFonts w:eastAsiaTheme="minorHAnsi"/>
                <w:b/>
                <w:bCs/>
                <w:szCs w:val="22"/>
              </w:rPr>
              <w:t>Matthew d’Alessio</w:t>
            </w:r>
          </w:p>
        </w:tc>
        <w:tc>
          <w:tcPr>
            <w:tcW w:w="4675" w:type="dxa"/>
          </w:tcPr>
          <w:p w:rsidRPr="002E7DF2" w:rsidR="002E7DF2" w:rsidP="002E7DF2" w:rsidRDefault="002E7DF2" w14:paraId="06D341A6" w14:textId="77777777">
            <w:pPr>
              <w:autoSpaceDE/>
              <w:autoSpaceDN/>
              <w:adjustRightInd/>
              <w:rPr>
                <w:rFonts w:eastAsiaTheme="minorHAnsi"/>
                <w:szCs w:val="22"/>
              </w:rPr>
            </w:pPr>
            <w:r w:rsidRPr="002E7DF2">
              <w:rPr>
                <w:rFonts w:eastAsiaTheme="minorHAnsi"/>
                <w:szCs w:val="22"/>
              </w:rPr>
              <w:t>Matthew d’Alessio</w:t>
            </w:r>
          </w:p>
        </w:tc>
      </w:tr>
      <w:tr w:rsidRPr="002E7DF2" w:rsidR="002E7DF2" w:rsidTr="00E739BF" w14:paraId="30BBD13D" w14:textId="77777777">
        <w:tc>
          <w:tcPr>
            <w:tcW w:w="4675" w:type="dxa"/>
          </w:tcPr>
          <w:p w:rsidRPr="002E7DF2" w:rsidR="002E7DF2" w:rsidP="002E7DF2" w:rsidRDefault="002E7DF2" w14:paraId="5BD4CD78" w14:textId="77777777">
            <w:pPr>
              <w:autoSpaceDE/>
              <w:autoSpaceDN/>
              <w:adjustRightInd/>
              <w:rPr>
                <w:rFonts w:eastAsiaTheme="minorHAnsi"/>
                <w:b/>
                <w:szCs w:val="22"/>
              </w:rPr>
            </w:pPr>
            <w:r w:rsidRPr="002E7DF2">
              <w:rPr>
                <w:rFonts w:eastAsiaTheme="minorHAnsi"/>
                <w:b/>
                <w:bCs/>
                <w:szCs w:val="22"/>
              </w:rPr>
              <w:t>Mensah</w:t>
            </w:r>
          </w:p>
        </w:tc>
        <w:tc>
          <w:tcPr>
            <w:tcW w:w="4675" w:type="dxa"/>
          </w:tcPr>
          <w:p w:rsidRPr="002E7DF2" w:rsidR="002E7DF2" w:rsidP="002E7DF2" w:rsidRDefault="002E7DF2" w14:paraId="0DDB4A3D" w14:textId="77777777">
            <w:pPr>
              <w:autoSpaceDE/>
              <w:autoSpaceDN/>
              <w:adjustRightInd/>
              <w:rPr>
                <w:rFonts w:eastAsiaTheme="minorHAnsi"/>
                <w:szCs w:val="22"/>
              </w:rPr>
            </w:pPr>
            <w:r w:rsidRPr="002E7DF2">
              <w:rPr>
                <w:rFonts w:eastAsiaTheme="minorHAnsi"/>
                <w:szCs w:val="22"/>
              </w:rPr>
              <w:t>AF Mensah Inc.</w:t>
            </w:r>
          </w:p>
        </w:tc>
      </w:tr>
      <w:tr w:rsidRPr="002E7DF2" w:rsidR="002E7DF2" w:rsidTr="00E739BF" w14:paraId="271EE3A8" w14:textId="77777777">
        <w:tc>
          <w:tcPr>
            <w:tcW w:w="4675" w:type="dxa"/>
          </w:tcPr>
          <w:p w:rsidRPr="002E7DF2" w:rsidR="002E7DF2" w:rsidP="002E7DF2" w:rsidRDefault="002E7DF2" w14:paraId="3056EB26" w14:textId="77777777">
            <w:pPr>
              <w:autoSpaceDE/>
              <w:autoSpaceDN/>
              <w:adjustRightInd/>
              <w:rPr>
                <w:rFonts w:eastAsiaTheme="minorHAnsi"/>
                <w:b/>
                <w:szCs w:val="22"/>
              </w:rPr>
            </w:pPr>
            <w:r w:rsidRPr="002E7DF2">
              <w:rPr>
                <w:rFonts w:eastAsiaTheme="minorHAnsi"/>
                <w:b/>
                <w:bCs/>
                <w:szCs w:val="22"/>
              </w:rPr>
              <w:t>Microgrid Resources Coalition</w:t>
            </w:r>
          </w:p>
        </w:tc>
        <w:tc>
          <w:tcPr>
            <w:tcW w:w="4675" w:type="dxa"/>
          </w:tcPr>
          <w:p w:rsidRPr="002E7DF2" w:rsidR="002E7DF2" w:rsidP="002E7DF2" w:rsidRDefault="002E7DF2" w14:paraId="1187F06B" w14:textId="77777777">
            <w:pPr>
              <w:autoSpaceDE/>
              <w:autoSpaceDN/>
              <w:adjustRightInd/>
              <w:rPr>
                <w:rFonts w:eastAsiaTheme="minorHAnsi"/>
                <w:szCs w:val="22"/>
              </w:rPr>
            </w:pPr>
            <w:r w:rsidRPr="002E7DF2">
              <w:rPr>
                <w:rFonts w:eastAsiaTheme="minorHAnsi"/>
                <w:szCs w:val="22"/>
              </w:rPr>
              <w:t>Microgrid Resources Coalition</w:t>
            </w:r>
          </w:p>
        </w:tc>
      </w:tr>
      <w:tr w:rsidRPr="002E7DF2" w:rsidR="002E7DF2" w:rsidTr="00E739BF" w14:paraId="3D3409D1" w14:textId="77777777">
        <w:tc>
          <w:tcPr>
            <w:tcW w:w="4675" w:type="dxa"/>
          </w:tcPr>
          <w:p w:rsidRPr="002E7DF2" w:rsidR="002E7DF2" w:rsidP="002E7DF2" w:rsidRDefault="002E7DF2" w14:paraId="67107301" w14:textId="77777777">
            <w:pPr>
              <w:autoSpaceDE/>
              <w:autoSpaceDN/>
              <w:adjustRightInd/>
              <w:rPr>
                <w:rFonts w:eastAsiaTheme="minorHAnsi"/>
                <w:b/>
                <w:bCs/>
                <w:szCs w:val="22"/>
              </w:rPr>
            </w:pPr>
            <w:r w:rsidRPr="002E7DF2">
              <w:rPr>
                <w:rFonts w:eastAsiaTheme="minorHAnsi"/>
                <w:b/>
                <w:bCs/>
                <w:szCs w:val="22"/>
              </w:rPr>
              <w:t>Microsoft</w:t>
            </w:r>
          </w:p>
        </w:tc>
        <w:tc>
          <w:tcPr>
            <w:tcW w:w="4675" w:type="dxa"/>
          </w:tcPr>
          <w:p w:rsidRPr="002E7DF2" w:rsidR="002E7DF2" w:rsidP="002E7DF2" w:rsidRDefault="002E7DF2" w14:paraId="7D18D86F" w14:textId="77777777">
            <w:pPr>
              <w:autoSpaceDE/>
              <w:autoSpaceDN/>
              <w:adjustRightInd/>
              <w:rPr>
                <w:rFonts w:eastAsiaTheme="minorHAnsi"/>
                <w:szCs w:val="22"/>
              </w:rPr>
            </w:pPr>
            <w:r w:rsidRPr="002E7DF2">
              <w:rPr>
                <w:rFonts w:eastAsiaTheme="minorHAnsi"/>
                <w:szCs w:val="22"/>
              </w:rPr>
              <w:t>Microsoft Corporation</w:t>
            </w:r>
          </w:p>
        </w:tc>
      </w:tr>
      <w:tr w:rsidRPr="002E7DF2" w:rsidR="002E7DF2" w:rsidTr="00E739BF" w14:paraId="0EB65B06" w14:textId="77777777">
        <w:tc>
          <w:tcPr>
            <w:tcW w:w="4675" w:type="dxa"/>
          </w:tcPr>
          <w:p w:rsidRPr="002E7DF2" w:rsidR="002E7DF2" w:rsidP="002E7DF2" w:rsidRDefault="002E7DF2" w14:paraId="10697B8F" w14:textId="32C98430">
            <w:pPr>
              <w:autoSpaceDE/>
              <w:autoSpaceDN/>
              <w:adjustRightInd/>
              <w:rPr>
                <w:rFonts w:eastAsiaTheme="minorHAnsi"/>
                <w:b/>
                <w:bCs/>
                <w:szCs w:val="22"/>
              </w:rPr>
            </w:pPr>
            <w:r w:rsidRPr="002E7DF2">
              <w:rPr>
                <w:rFonts w:eastAsiaTheme="minorHAnsi"/>
                <w:b/>
                <w:bCs/>
                <w:szCs w:val="22"/>
              </w:rPr>
              <w:t>Minnesota Energy Storage Alliance</w:t>
            </w:r>
          </w:p>
        </w:tc>
        <w:tc>
          <w:tcPr>
            <w:tcW w:w="4675" w:type="dxa"/>
          </w:tcPr>
          <w:p w:rsidRPr="002E7DF2" w:rsidR="002E7DF2" w:rsidP="002E7DF2" w:rsidRDefault="002E7DF2" w14:paraId="39B5CE41" w14:textId="77777777">
            <w:pPr>
              <w:autoSpaceDE/>
              <w:autoSpaceDN/>
              <w:adjustRightInd/>
              <w:rPr>
                <w:rFonts w:eastAsiaTheme="minorHAnsi"/>
                <w:szCs w:val="22"/>
              </w:rPr>
            </w:pPr>
            <w:r w:rsidRPr="002E7DF2">
              <w:rPr>
                <w:rFonts w:eastAsiaTheme="minorHAnsi"/>
                <w:szCs w:val="22"/>
              </w:rPr>
              <w:t>Minnesota Energy Storage Alliance</w:t>
            </w:r>
          </w:p>
        </w:tc>
      </w:tr>
      <w:tr w:rsidRPr="002E7DF2" w:rsidR="002E7DF2" w:rsidTr="00E739BF" w14:paraId="733E61A0" w14:textId="77777777">
        <w:tc>
          <w:tcPr>
            <w:tcW w:w="4675" w:type="dxa"/>
          </w:tcPr>
          <w:p w:rsidRPr="002E7DF2" w:rsidR="002E7DF2" w:rsidP="002E7DF2" w:rsidRDefault="002E7DF2" w14:paraId="04CEACA1" w14:textId="77777777">
            <w:pPr>
              <w:autoSpaceDE/>
              <w:autoSpaceDN/>
              <w:adjustRightInd/>
              <w:rPr>
                <w:rFonts w:eastAsiaTheme="minorHAnsi"/>
                <w:b/>
                <w:szCs w:val="22"/>
              </w:rPr>
            </w:pPr>
            <w:r w:rsidRPr="002E7DF2">
              <w:rPr>
                <w:rFonts w:eastAsiaTheme="minorHAnsi"/>
                <w:b/>
                <w:bCs/>
                <w:szCs w:val="22"/>
              </w:rPr>
              <w:t>MISO</w:t>
            </w:r>
          </w:p>
        </w:tc>
        <w:tc>
          <w:tcPr>
            <w:tcW w:w="4675" w:type="dxa"/>
          </w:tcPr>
          <w:p w:rsidRPr="002E7DF2" w:rsidR="002E7DF2" w:rsidP="002E7DF2" w:rsidRDefault="002E7DF2" w14:paraId="07C15FDA" w14:textId="77777777">
            <w:pPr>
              <w:autoSpaceDE/>
              <w:autoSpaceDN/>
              <w:adjustRightInd/>
              <w:rPr>
                <w:rFonts w:eastAsiaTheme="minorHAnsi"/>
                <w:szCs w:val="22"/>
              </w:rPr>
            </w:pPr>
            <w:r w:rsidRPr="002E7DF2">
              <w:rPr>
                <w:rFonts w:eastAsiaTheme="minorHAnsi"/>
                <w:szCs w:val="22"/>
              </w:rPr>
              <w:t>Midcontinent Independent System</w:t>
            </w:r>
          </w:p>
          <w:p w:rsidRPr="002E7DF2" w:rsidR="002E7DF2" w:rsidP="002E7DF2" w:rsidRDefault="002E7DF2" w14:paraId="2086ECFD" w14:textId="77777777">
            <w:pPr>
              <w:autoSpaceDE/>
              <w:autoSpaceDN/>
              <w:adjustRightInd/>
              <w:rPr>
                <w:rFonts w:eastAsiaTheme="minorHAnsi"/>
                <w:szCs w:val="22"/>
              </w:rPr>
            </w:pPr>
            <w:r w:rsidRPr="002E7DF2">
              <w:rPr>
                <w:rFonts w:eastAsiaTheme="minorHAnsi"/>
                <w:szCs w:val="22"/>
              </w:rPr>
              <w:t>Operator, Inc.</w:t>
            </w:r>
          </w:p>
        </w:tc>
      </w:tr>
      <w:tr w:rsidRPr="002E7DF2" w:rsidR="002E7DF2" w:rsidTr="00E739BF" w14:paraId="079DC8D8" w14:textId="77777777">
        <w:tc>
          <w:tcPr>
            <w:tcW w:w="4675" w:type="dxa"/>
          </w:tcPr>
          <w:p w:rsidRPr="002E7DF2" w:rsidR="002E7DF2" w:rsidP="002E7DF2" w:rsidRDefault="002E7DF2" w14:paraId="3B342E69" w14:textId="77777777">
            <w:pPr>
              <w:autoSpaceDE/>
              <w:autoSpaceDN/>
              <w:adjustRightInd/>
              <w:rPr>
                <w:rFonts w:eastAsiaTheme="minorHAnsi"/>
                <w:b/>
                <w:szCs w:val="22"/>
              </w:rPr>
            </w:pPr>
            <w:r w:rsidRPr="002E7DF2">
              <w:rPr>
                <w:rFonts w:eastAsiaTheme="minorHAnsi"/>
                <w:b/>
                <w:bCs/>
                <w:szCs w:val="22"/>
              </w:rPr>
              <w:t>MISO Transmission Owners</w:t>
            </w:r>
          </w:p>
        </w:tc>
        <w:tc>
          <w:tcPr>
            <w:tcW w:w="4675" w:type="dxa"/>
          </w:tcPr>
          <w:p w:rsidRPr="002E7DF2" w:rsidR="002E7DF2" w:rsidP="002E7DF2" w:rsidRDefault="002E7DF2" w14:paraId="5BE55293" w14:textId="77777777">
            <w:pPr>
              <w:autoSpaceDE/>
              <w:autoSpaceDN/>
              <w:adjustRightInd/>
              <w:rPr>
                <w:rFonts w:eastAsiaTheme="minorHAnsi"/>
                <w:szCs w:val="22"/>
              </w:rPr>
            </w:pPr>
            <w:r w:rsidRPr="002E7DF2">
              <w:rPr>
                <w:rFonts w:eastAsiaTheme="minorHAnsi"/>
                <w:szCs w:val="22"/>
              </w:rPr>
              <w:t>MISO Transmission Owners</w:t>
            </w:r>
          </w:p>
        </w:tc>
      </w:tr>
      <w:tr w:rsidRPr="002E7DF2" w:rsidR="002E7DF2" w:rsidTr="00E739BF" w14:paraId="4CE3C3E7" w14:textId="77777777">
        <w:tc>
          <w:tcPr>
            <w:tcW w:w="4675" w:type="dxa"/>
          </w:tcPr>
          <w:p w:rsidRPr="002E7DF2" w:rsidR="002E7DF2" w:rsidP="002E7DF2" w:rsidRDefault="002E7DF2" w14:paraId="4B2EA81C" w14:textId="77777777">
            <w:pPr>
              <w:autoSpaceDE/>
              <w:autoSpaceDN/>
              <w:adjustRightInd/>
              <w:rPr>
                <w:rFonts w:eastAsiaTheme="minorHAnsi"/>
                <w:b/>
                <w:szCs w:val="22"/>
              </w:rPr>
            </w:pPr>
            <w:r w:rsidRPr="002E7DF2">
              <w:rPr>
                <w:rFonts w:eastAsiaTheme="minorHAnsi"/>
                <w:b/>
                <w:bCs/>
                <w:szCs w:val="22"/>
              </w:rPr>
              <w:t>Mosaic Power</w:t>
            </w:r>
          </w:p>
        </w:tc>
        <w:tc>
          <w:tcPr>
            <w:tcW w:w="4675" w:type="dxa"/>
          </w:tcPr>
          <w:p w:rsidRPr="002E7DF2" w:rsidR="002E7DF2" w:rsidP="002E7DF2" w:rsidRDefault="002E7DF2" w14:paraId="57F4295D" w14:textId="77777777">
            <w:pPr>
              <w:autoSpaceDE/>
              <w:autoSpaceDN/>
              <w:adjustRightInd/>
              <w:rPr>
                <w:rFonts w:eastAsiaTheme="minorHAnsi"/>
                <w:szCs w:val="22"/>
              </w:rPr>
            </w:pPr>
            <w:r w:rsidRPr="002E7DF2">
              <w:rPr>
                <w:rFonts w:eastAsiaTheme="minorHAnsi"/>
                <w:szCs w:val="22"/>
              </w:rPr>
              <w:t>Mosaic Power, LLC</w:t>
            </w:r>
          </w:p>
        </w:tc>
      </w:tr>
      <w:tr w:rsidRPr="002E7DF2" w:rsidR="002E7DF2" w:rsidTr="00E739BF" w14:paraId="7FE72C1D" w14:textId="77777777">
        <w:tc>
          <w:tcPr>
            <w:tcW w:w="4675" w:type="dxa"/>
          </w:tcPr>
          <w:p w:rsidRPr="002E7DF2" w:rsidR="002E7DF2" w:rsidP="002E7DF2" w:rsidRDefault="002E7DF2" w14:paraId="58DF5D11" w14:textId="77777777">
            <w:pPr>
              <w:autoSpaceDE/>
              <w:autoSpaceDN/>
              <w:adjustRightInd/>
              <w:rPr>
                <w:rFonts w:eastAsiaTheme="minorHAnsi"/>
                <w:b/>
                <w:szCs w:val="22"/>
              </w:rPr>
            </w:pPr>
            <w:r w:rsidRPr="002E7DF2">
              <w:rPr>
                <w:rFonts w:eastAsiaTheme="minorHAnsi"/>
                <w:b/>
                <w:bCs/>
                <w:szCs w:val="22"/>
              </w:rPr>
              <w:t>NARUC</w:t>
            </w:r>
          </w:p>
        </w:tc>
        <w:tc>
          <w:tcPr>
            <w:tcW w:w="4675" w:type="dxa"/>
          </w:tcPr>
          <w:p w:rsidRPr="002E7DF2" w:rsidR="002E7DF2" w:rsidP="002E7DF2" w:rsidRDefault="002E7DF2" w14:paraId="0C024173" w14:textId="77777777">
            <w:pPr>
              <w:autoSpaceDE/>
              <w:autoSpaceDN/>
              <w:adjustRightInd/>
              <w:rPr>
                <w:rFonts w:eastAsiaTheme="minorHAnsi"/>
                <w:szCs w:val="22"/>
              </w:rPr>
            </w:pPr>
            <w:r w:rsidRPr="002E7DF2">
              <w:rPr>
                <w:rFonts w:eastAsiaTheme="minorHAnsi"/>
                <w:szCs w:val="22"/>
              </w:rPr>
              <w:t>National Association of Regulatory Utility</w:t>
            </w:r>
          </w:p>
          <w:p w:rsidRPr="002E7DF2" w:rsidR="002E7DF2" w:rsidP="002E7DF2" w:rsidRDefault="002E7DF2" w14:paraId="4D959E4F" w14:textId="77777777">
            <w:pPr>
              <w:autoSpaceDE/>
              <w:autoSpaceDN/>
              <w:adjustRightInd/>
              <w:rPr>
                <w:rFonts w:eastAsiaTheme="minorHAnsi"/>
                <w:szCs w:val="22"/>
              </w:rPr>
            </w:pPr>
            <w:r w:rsidRPr="002E7DF2">
              <w:rPr>
                <w:rFonts w:eastAsiaTheme="minorHAnsi"/>
                <w:szCs w:val="22"/>
              </w:rPr>
              <w:t>Commissioners</w:t>
            </w:r>
          </w:p>
        </w:tc>
      </w:tr>
      <w:tr w:rsidRPr="002E7DF2" w:rsidR="002E7DF2" w:rsidTr="00E739BF" w14:paraId="20EA7670" w14:textId="77777777">
        <w:tc>
          <w:tcPr>
            <w:tcW w:w="4675" w:type="dxa"/>
          </w:tcPr>
          <w:p w:rsidRPr="002E7DF2" w:rsidR="002E7DF2" w:rsidP="002E7DF2" w:rsidRDefault="002E7DF2" w14:paraId="6294588F" w14:textId="77777777">
            <w:pPr>
              <w:autoSpaceDE/>
              <w:autoSpaceDN/>
              <w:adjustRightInd/>
              <w:rPr>
                <w:rFonts w:eastAsiaTheme="minorHAnsi"/>
                <w:b/>
                <w:szCs w:val="22"/>
              </w:rPr>
            </w:pPr>
            <w:r w:rsidRPr="002E7DF2">
              <w:rPr>
                <w:rFonts w:eastAsiaTheme="minorHAnsi"/>
                <w:b/>
                <w:bCs/>
                <w:szCs w:val="22"/>
              </w:rPr>
              <w:t>National Hydropower Association</w:t>
            </w:r>
          </w:p>
        </w:tc>
        <w:tc>
          <w:tcPr>
            <w:tcW w:w="4675" w:type="dxa"/>
          </w:tcPr>
          <w:p w:rsidRPr="002E7DF2" w:rsidR="002E7DF2" w:rsidP="002E7DF2" w:rsidRDefault="002E7DF2" w14:paraId="701641E2" w14:textId="77777777">
            <w:pPr>
              <w:autoSpaceDE/>
              <w:autoSpaceDN/>
              <w:adjustRightInd/>
              <w:rPr>
                <w:rFonts w:eastAsiaTheme="minorHAnsi"/>
                <w:szCs w:val="22"/>
              </w:rPr>
            </w:pPr>
            <w:r w:rsidRPr="002E7DF2">
              <w:rPr>
                <w:rFonts w:eastAsiaTheme="minorHAnsi"/>
                <w:szCs w:val="22"/>
              </w:rPr>
              <w:t>National Hydropower Association</w:t>
            </w:r>
          </w:p>
        </w:tc>
      </w:tr>
      <w:tr w:rsidRPr="002E7DF2" w:rsidR="002E7DF2" w:rsidTr="00E739BF" w14:paraId="7A8D0AB9" w14:textId="77777777">
        <w:tc>
          <w:tcPr>
            <w:tcW w:w="4675" w:type="dxa"/>
          </w:tcPr>
          <w:p w:rsidRPr="002E7DF2" w:rsidR="002E7DF2" w:rsidP="002E7DF2" w:rsidRDefault="002E7DF2" w14:paraId="5DCE5990" w14:textId="3F8152E6">
            <w:pPr>
              <w:autoSpaceDE/>
              <w:autoSpaceDN/>
              <w:adjustRightInd/>
              <w:rPr>
                <w:rFonts w:eastAsiaTheme="minorHAnsi"/>
                <w:b/>
                <w:bCs/>
                <w:szCs w:val="22"/>
              </w:rPr>
            </w:pPr>
            <w:r w:rsidRPr="002E7DF2">
              <w:rPr>
                <w:rFonts w:eastAsiaTheme="minorHAnsi"/>
                <w:b/>
                <w:bCs/>
                <w:szCs w:val="22"/>
              </w:rPr>
              <w:t>NEPOOL</w:t>
            </w:r>
          </w:p>
        </w:tc>
        <w:tc>
          <w:tcPr>
            <w:tcW w:w="4675" w:type="dxa"/>
          </w:tcPr>
          <w:p w:rsidRPr="002E7DF2" w:rsidR="002E7DF2" w:rsidP="002E7DF2" w:rsidRDefault="002E7DF2" w14:paraId="504ECFF7" w14:textId="77777777">
            <w:pPr>
              <w:autoSpaceDE/>
              <w:autoSpaceDN/>
              <w:adjustRightInd/>
              <w:rPr>
                <w:rFonts w:eastAsiaTheme="minorHAnsi"/>
                <w:szCs w:val="22"/>
              </w:rPr>
            </w:pPr>
            <w:r w:rsidRPr="002E7DF2">
              <w:rPr>
                <w:rFonts w:eastAsiaTheme="minorHAnsi"/>
                <w:szCs w:val="22"/>
              </w:rPr>
              <w:t>New England Power Pool</w:t>
            </w:r>
          </w:p>
        </w:tc>
      </w:tr>
      <w:tr w:rsidRPr="002E7DF2" w:rsidR="002E7DF2" w:rsidTr="00E739BF" w14:paraId="7567F51C" w14:textId="77777777">
        <w:tc>
          <w:tcPr>
            <w:tcW w:w="4675" w:type="dxa"/>
          </w:tcPr>
          <w:p w:rsidRPr="002E7DF2" w:rsidR="002E7DF2" w:rsidP="002E7DF2" w:rsidRDefault="002E7DF2" w14:paraId="0FE14CCD" w14:textId="1DDA97FB">
            <w:pPr>
              <w:autoSpaceDE/>
              <w:autoSpaceDN/>
              <w:adjustRightInd/>
              <w:rPr>
                <w:rFonts w:eastAsiaTheme="minorHAnsi"/>
                <w:b/>
                <w:bCs/>
                <w:szCs w:val="22"/>
              </w:rPr>
            </w:pPr>
            <w:r w:rsidRPr="002E7DF2">
              <w:rPr>
                <w:rFonts w:eastAsiaTheme="minorHAnsi"/>
                <w:b/>
                <w:bCs/>
                <w:szCs w:val="22"/>
              </w:rPr>
              <w:t>NERC</w:t>
            </w:r>
          </w:p>
        </w:tc>
        <w:tc>
          <w:tcPr>
            <w:tcW w:w="4675" w:type="dxa"/>
          </w:tcPr>
          <w:p w:rsidRPr="002E7DF2" w:rsidR="002E7DF2" w:rsidP="002E7DF2" w:rsidRDefault="002E7DF2" w14:paraId="514C1609" w14:textId="77777777">
            <w:pPr>
              <w:autoSpaceDE/>
              <w:autoSpaceDN/>
              <w:adjustRightInd/>
              <w:rPr>
                <w:rFonts w:eastAsiaTheme="minorHAnsi"/>
                <w:szCs w:val="22"/>
              </w:rPr>
            </w:pPr>
            <w:r w:rsidRPr="002E7DF2">
              <w:rPr>
                <w:rFonts w:eastAsiaTheme="minorHAnsi"/>
                <w:szCs w:val="22"/>
              </w:rPr>
              <w:t>North American Electric Reliability</w:t>
            </w:r>
          </w:p>
          <w:p w:rsidRPr="002E7DF2" w:rsidR="002E7DF2" w:rsidP="002E7DF2" w:rsidRDefault="002E7DF2" w14:paraId="6EF62EA2" w14:textId="77777777">
            <w:pPr>
              <w:autoSpaceDE/>
              <w:autoSpaceDN/>
              <w:adjustRightInd/>
              <w:rPr>
                <w:rFonts w:eastAsiaTheme="minorHAnsi"/>
                <w:szCs w:val="22"/>
              </w:rPr>
            </w:pPr>
            <w:r w:rsidRPr="002E7DF2">
              <w:rPr>
                <w:rFonts w:eastAsiaTheme="minorHAnsi"/>
                <w:szCs w:val="22"/>
              </w:rPr>
              <w:t>Corporation</w:t>
            </w:r>
          </w:p>
        </w:tc>
      </w:tr>
      <w:tr w:rsidRPr="002E7DF2" w:rsidR="002E7DF2" w:rsidTr="00E739BF" w14:paraId="0990F675" w14:textId="77777777">
        <w:tc>
          <w:tcPr>
            <w:tcW w:w="4675" w:type="dxa"/>
          </w:tcPr>
          <w:p w:rsidRPr="002E7DF2" w:rsidR="002E7DF2" w:rsidP="002E7DF2" w:rsidRDefault="002E7DF2" w14:paraId="3033218B" w14:textId="77777777">
            <w:pPr>
              <w:autoSpaceDE/>
              <w:autoSpaceDN/>
              <w:adjustRightInd/>
              <w:rPr>
                <w:rFonts w:eastAsiaTheme="minorHAnsi"/>
                <w:b/>
                <w:szCs w:val="22"/>
              </w:rPr>
            </w:pPr>
            <w:r w:rsidRPr="002E7DF2">
              <w:rPr>
                <w:rFonts w:eastAsiaTheme="minorHAnsi"/>
                <w:b/>
                <w:bCs/>
                <w:szCs w:val="22"/>
              </w:rPr>
              <w:t>NESCOE</w:t>
            </w:r>
          </w:p>
        </w:tc>
        <w:tc>
          <w:tcPr>
            <w:tcW w:w="4675" w:type="dxa"/>
          </w:tcPr>
          <w:p w:rsidRPr="002E7DF2" w:rsidR="002E7DF2" w:rsidP="002E7DF2" w:rsidRDefault="002E7DF2" w14:paraId="349A9A67" w14:textId="77777777">
            <w:pPr>
              <w:autoSpaceDE/>
              <w:autoSpaceDN/>
              <w:adjustRightInd/>
              <w:rPr>
                <w:rFonts w:eastAsiaTheme="minorHAnsi"/>
                <w:szCs w:val="22"/>
              </w:rPr>
            </w:pPr>
            <w:r w:rsidRPr="002E7DF2">
              <w:rPr>
                <w:rFonts w:eastAsiaTheme="minorHAnsi"/>
                <w:szCs w:val="22"/>
              </w:rPr>
              <w:t>New England States Committee on</w:t>
            </w:r>
          </w:p>
          <w:p w:rsidRPr="002E7DF2" w:rsidR="002E7DF2" w:rsidP="002E7DF2" w:rsidRDefault="002E7DF2" w14:paraId="2A223125" w14:textId="77777777">
            <w:pPr>
              <w:autoSpaceDE/>
              <w:autoSpaceDN/>
              <w:adjustRightInd/>
              <w:rPr>
                <w:rFonts w:eastAsiaTheme="minorHAnsi"/>
                <w:szCs w:val="22"/>
              </w:rPr>
            </w:pPr>
            <w:r w:rsidRPr="002E7DF2">
              <w:rPr>
                <w:rFonts w:eastAsiaTheme="minorHAnsi"/>
                <w:szCs w:val="22"/>
              </w:rPr>
              <w:t>Electricity</w:t>
            </w:r>
          </w:p>
          <w:p w:rsidRPr="002E7DF2" w:rsidR="002E7DF2" w:rsidP="002E7DF2" w:rsidRDefault="002E7DF2" w14:paraId="7CC4161B" w14:textId="77777777">
            <w:pPr>
              <w:autoSpaceDE/>
              <w:autoSpaceDN/>
              <w:adjustRightInd/>
              <w:rPr>
                <w:rFonts w:eastAsiaTheme="minorHAnsi"/>
                <w:szCs w:val="22"/>
              </w:rPr>
            </w:pPr>
          </w:p>
        </w:tc>
      </w:tr>
      <w:tr w:rsidRPr="002E7DF2" w:rsidR="00B26AC3" w:rsidTr="00E739BF" w14:paraId="7C41E0D4" w14:textId="77777777">
        <w:tc>
          <w:tcPr>
            <w:tcW w:w="4675" w:type="dxa"/>
          </w:tcPr>
          <w:p w:rsidRPr="002E7DF2" w:rsidR="00B26AC3" w:rsidP="002E7DF2" w:rsidRDefault="00B26AC3" w14:paraId="7F75B695" w14:textId="5FEA0235">
            <w:pPr>
              <w:rPr>
                <w:b/>
                <w:bCs/>
              </w:rPr>
            </w:pPr>
            <w:r>
              <w:rPr>
                <w:b/>
                <w:bCs/>
              </w:rPr>
              <w:t>New Jersey Board</w:t>
            </w:r>
          </w:p>
        </w:tc>
        <w:tc>
          <w:tcPr>
            <w:tcW w:w="4675" w:type="dxa"/>
          </w:tcPr>
          <w:p w:rsidRPr="002E7DF2" w:rsidR="00B26AC3" w:rsidP="002E7DF2" w:rsidRDefault="00B26AC3" w14:paraId="61EA801E" w14:textId="48CF0A3A">
            <w:r w:rsidRPr="00B26AC3">
              <w:t>New Jersey Board of Public Utilities</w:t>
            </w:r>
          </w:p>
        </w:tc>
      </w:tr>
      <w:tr w:rsidRPr="002E7DF2" w:rsidR="002E7DF2" w:rsidTr="00E739BF" w14:paraId="3A0CD485" w14:textId="77777777">
        <w:tc>
          <w:tcPr>
            <w:tcW w:w="4675" w:type="dxa"/>
          </w:tcPr>
          <w:p w:rsidRPr="002E7DF2" w:rsidR="002E7DF2" w:rsidP="002E7DF2" w:rsidRDefault="002E7DF2" w14:paraId="194BA8AB" w14:textId="77777777">
            <w:pPr>
              <w:autoSpaceDE/>
              <w:autoSpaceDN/>
              <w:adjustRightInd/>
              <w:rPr>
                <w:rFonts w:eastAsiaTheme="minorHAnsi"/>
                <w:b/>
                <w:szCs w:val="22"/>
              </w:rPr>
            </w:pPr>
            <w:r w:rsidRPr="002E7DF2">
              <w:rPr>
                <w:rFonts w:eastAsiaTheme="minorHAnsi"/>
                <w:b/>
                <w:bCs/>
                <w:szCs w:val="22"/>
              </w:rPr>
              <w:t>New York Commission</w:t>
            </w:r>
          </w:p>
        </w:tc>
        <w:tc>
          <w:tcPr>
            <w:tcW w:w="4675" w:type="dxa"/>
          </w:tcPr>
          <w:p w:rsidRPr="002E7DF2" w:rsidR="002E7DF2" w:rsidP="002E7DF2" w:rsidRDefault="002E7DF2" w14:paraId="06926A83" w14:textId="77777777">
            <w:pPr>
              <w:autoSpaceDE/>
              <w:autoSpaceDN/>
              <w:adjustRightInd/>
              <w:rPr>
                <w:rFonts w:eastAsiaTheme="minorHAnsi"/>
                <w:szCs w:val="22"/>
              </w:rPr>
            </w:pPr>
            <w:r w:rsidRPr="002E7DF2">
              <w:rPr>
                <w:rFonts w:eastAsiaTheme="minorHAnsi"/>
                <w:szCs w:val="22"/>
              </w:rPr>
              <w:t>New York Public Service Commission</w:t>
            </w:r>
          </w:p>
        </w:tc>
      </w:tr>
      <w:tr w:rsidRPr="002E7DF2" w:rsidR="002E7DF2" w:rsidTr="00E739BF" w14:paraId="6A28A8EC" w14:textId="77777777">
        <w:tc>
          <w:tcPr>
            <w:tcW w:w="4675" w:type="dxa"/>
          </w:tcPr>
          <w:p w:rsidRPr="002E7DF2" w:rsidR="002E7DF2" w:rsidP="002E7DF2" w:rsidRDefault="002E7DF2" w14:paraId="1941BD3F" w14:textId="77777777">
            <w:pPr>
              <w:autoSpaceDE/>
              <w:autoSpaceDN/>
              <w:adjustRightInd/>
              <w:rPr>
                <w:rFonts w:eastAsiaTheme="minorHAnsi"/>
                <w:b/>
                <w:szCs w:val="22"/>
              </w:rPr>
            </w:pPr>
            <w:r w:rsidRPr="002E7DF2">
              <w:rPr>
                <w:rFonts w:eastAsiaTheme="minorHAnsi"/>
                <w:b/>
                <w:bCs/>
                <w:szCs w:val="22"/>
              </w:rPr>
              <w:t>New York State Entities</w:t>
            </w:r>
          </w:p>
        </w:tc>
        <w:tc>
          <w:tcPr>
            <w:tcW w:w="4675" w:type="dxa"/>
          </w:tcPr>
          <w:p w:rsidRPr="002E7DF2" w:rsidR="002E7DF2" w:rsidP="002E7DF2" w:rsidRDefault="002E7DF2" w14:paraId="0A05E5F1" w14:textId="77777777">
            <w:pPr>
              <w:autoSpaceDE/>
              <w:autoSpaceDN/>
              <w:adjustRightInd/>
              <w:rPr>
                <w:rFonts w:eastAsiaTheme="minorHAnsi"/>
                <w:szCs w:val="22"/>
              </w:rPr>
            </w:pPr>
            <w:r w:rsidRPr="002E7DF2">
              <w:rPr>
                <w:rFonts w:eastAsiaTheme="minorHAnsi"/>
                <w:szCs w:val="22"/>
              </w:rPr>
              <w:t>New York Public Service Commission</w:t>
            </w:r>
          </w:p>
          <w:p w:rsidRPr="002E7DF2" w:rsidR="002E7DF2" w:rsidP="002E7DF2" w:rsidRDefault="002E7DF2" w14:paraId="1F53100A" w14:textId="77777777">
            <w:pPr>
              <w:autoSpaceDE/>
              <w:autoSpaceDN/>
              <w:adjustRightInd/>
              <w:rPr>
                <w:rFonts w:eastAsiaTheme="minorHAnsi"/>
                <w:szCs w:val="22"/>
              </w:rPr>
            </w:pPr>
            <w:r w:rsidRPr="002E7DF2">
              <w:rPr>
                <w:rFonts w:eastAsiaTheme="minorHAnsi"/>
                <w:szCs w:val="22"/>
              </w:rPr>
              <w:t>and New York State Energy Research and</w:t>
            </w:r>
          </w:p>
          <w:p w:rsidRPr="002E7DF2" w:rsidR="002E7DF2" w:rsidP="002E7DF2" w:rsidRDefault="002E7DF2" w14:paraId="509B2008" w14:textId="77777777">
            <w:pPr>
              <w:autoSpaceDE/>
              <w:autoSpaceDN/>
              <w:adjustRightInd/>
              <w:rPr>
                <w:rFonts w:eastAsiaTheme="minorHAnsi"/>
                <w:szCs w:val="22"/>
              </w:rPr>
            </w:pPr>
            <w:r w:rsidRPr="002E7DF2">
              <w:rPr>
                <w:rFonts w:eastAsiaTheme="minorHAnsi"/>
                <w:szCs w:val="22"/>
              </w:rPr>
              <w:t>Development Authority</w:t>
            </w:r>
          </w:p>
        </w:tc>
      </w:tr>
      <w:tr w:rsidRPr="002E7DF2" w:rsidR="002E7DF2" w:rsidTr="00E739BF" w14:paraId="365F47D0" w14:textId="77777777">
        <w:tc>
          <w:tcPr>
            <w:tcW w:w="4675" w:type="dxa"/>
          </w:tcPr>
          <w:p w:rsidRPr="002E7DF2" w:rsidR="002E7DF2" w:rsidP="002E7DF2" w:rsidRDefault="002E7DF2" w14:paraId="34E553A8" w14:textId="77777777">
            <w:pPr>
              <w:autoSpaceDE/>
              <w:autoSpaceDN/>
              <w:adjustRightInd/>
              <w:rPr>
                <w:rFonts w:eastAsiaTheme="minorHAnsi"/>
                <w:b/>
                <w:szCs w:val="22"/>
              </w:rPr>
            </w:pPr>
            <w:r w:rsidRPr="002E7DF2">
              <w:rPr>
                <w:rFonts w:eastAsiaTheme="minorHAnsi"/>
                <w:b/>
                <w:bCs/>
                <w:szCs w:val="22"/>
              </w:rPr>
              <w:t>New York Utility Intervention Unit</w:t>
            </w:r>
          </w:p>
        </w:tc>
        <w:tc>
          <w:tcPr>
            <w:tcW w:w="4675" w:type="dxa"/>
          </w:tcPr>
          <w:p w:rsidRPr="002E7DF2" w:rsidR="002E7DF2" w:rsidP="002E7DF2" w:rsidRDefault="002E7DF2" w14:paraId="5CC7196A" w14:textId="77777777">
            <w:pPr>
              <w:autoSpaceDE/>
              <w:autoSpaceDN/>
              <w:adjustRightInd/>
              <w:rPr>
                <w:rFonts w:eastAsiaTheme="minorHAnsi"/>
                <w:szCs w:val="22"/>
              </w:rPr>
            </w:pPr>
            <w:r w:rsidRPr="002E7DF2">
              <w:rPr>
                <w:rFonts w:eastAsiaTheme="minorHAnsi"/>
                <w:szCs w:val="22"/>
              </w:rPr>
              <w:t>Utility Intervention Unit of the New York</w:t>
            </w:r>
          </w:p>
          <w:p w:rsidRPr="002E7DF2" w:rsidR="002E7DF2" w:rsidP="002E7DF2" w:rsidRDefault="002E7DF2" w14:paraId="5D26D8FD" w14:textId="77777777">
            <w:pPr>
              <w:autoSpaceDE/>
              <w:autoSpaceDN/>
              <w:adjustRightInd/>
              <w:rPr>
                <w:rFonts w:eastAsiaTheme="minorHAnsi"/>
                <w:szCs w:val="22"/>
              </w:rPr>
            </w:pPr>
            <w:r w:rsidRPr="002E7DF2">
              <w:rPr>
                <w:rFonts w:eastAsiaTheme="minorHAnsi"/>
                <w:szCs w:val="22"/>
              </w:rPr>
              <w:t>State Department of State</w:t>
            </w:r>
          </w:p>
        </w:tc>
      </w:tr>
      <w:tr w:rsidRPr="002E7DF2" w:rsidR="002E7DF2" w:rsidTr="00E739BF" w14:paraId="1EF5D700" w14:textId="77777777">
        <w:tc>
          <w:tcPr>
            <w:tcW w:w="4675" w:type="dxa"/>
          </w:tcPr>
          <w:p w:rsidRPr="002E7DF2" w:rsidR="002E7DF2" w:rsidP="002E7DF2" w:rsidRDefault="002E7DF2" w14:paraId="0052D19B" w14:textId="77777777">
            <w:pPr>
              <w:autoSpaceDE/>
              <w:autoSpaceDN/>
              <w:adjustRightInd/>
              <w:rPr>
                <w:rFonts w:eastAsiaTheme="minorHAnsi"/>
                <w:b/>
                <w:szCs w:val="22"/>
              </w:rPr>
            </w:pPr>
            <w:r w:rsidRPr="002E7DF2">
              <w:rPr>
                <w:rFonts w:eastAsiaTheme="minorHAnsi"/>
                <w:b/>
                <w:bCs/>
                <w:szCs w:val="22"/>
              </w:rPr>
              <w:t>NextEra</w:t>
            </w:r>
          </w:p>
        </w:tc>
        <w:tc>
          <w:tcPr>
            <w:tcW w:w="4675" w:type="dxa"/>
          </w:tcPr>
          <w:p w:rsidRPr="002E7DF2" w:rsidR="002E7DF2" w:rsidP="002E7DF2" w:rsidRDefault="002E7DF2" w14:paraId="043FCF06" w14:textId="77777777">
            <w:pPr>
              <w:autoSpaceDE/>
              <w:autoSpaceDN/>
              <w:adjustRightInd/>
              <w:rPr>
                <w:rFonts w:eastAsiaTheme="minorHAnsi"/>
                <w:szCs w:val="22"/>
              </w:rPr>
            </w:pPr>
            <w:r w:rsidRPr="002E7DF2">
              <w:rPr>
                <w:rFonts w:eastAsiaTheme="minorHAnsi"/>
                <w:szCs w:val="22"/>
              </w:rPr>
              <w:t>NextEra Energy Resources, LLC</w:t>
            </w:r>
          </w:p>
        </w:tc>
      </w:tr>
      <w:tr w:rsidRPr="002E7DF2" w:rsidR="002E7DF2" w:rsidTr="00E739BF" w14:paraId="41C4161E" w14:textId="77777777">
        <w:tc>
          <w:tcPr>
            <w:tcW w:w="4675" w:type="dxa"/>
          </w:tcPr>
          <w:p w:rsidRPr="002E7DF2" w:rsidR="002E7DF2" w:rsidP="002E7DF2" w:rsidRDefault="002E7DF2" w14:paraId="5845D73A" w14:textId="77777777">
            <w:pPr>
              <w:autoSpaceDE/>
              <w:autoSpaceDN/>
              <w:adjustRightInd/>
              <w:rPr>
                <w:rFonts w:eastAsiaTheme="minorHAnsi"/>
                <w:b/>
                <w:bCs/>
                <w:szCs w:val="22"/>
              </w:rPr>
            </w:pPr>
            <w:r w:rsidRPr="002E7DF2">
              <w:rPr>
                <w:rFonts w:eastAsiaTheme="minorHAnsi"/>
                <w:b/>
                <w:bCs/>
                <w:szCs w:val="22"/>
              </w:rPr>
              <w:t>NRECA</w:t>
            </w:r>
          </w:p>
        </w:tc>
        <w:tc>
          <w:tcPr>
            <w:tcW w:w="4675" w:type="dxa"/>
          </w:tcPr>
          <w:p w:rsidRPr="002E7DF2" w:rsidR="002E7DF2" w:rsidP="002E7DF2" w:rsidRDefault="002E7DF2" w14:paraId="0A5EB6E2" w14:textId="77777777">
            <w:pPr>
              <w:autoSpaceDE/>
              <w:autoSpaceDN/>
              <w:adjustRightInd/>
              <w:rPr>
                <w:rFonts w:eastAsiaTheme="minorHAnsi"/>
                <w:szCs w:val="22"/>
              </w:rPr>
            </w:pPr>
            <w:r w:rsidRPr="002E7DF2">
              <w:rPr>
                <w:rFonts w:eastAsiaTheme="minorHAnsi"/>
                <w:szCs w:val="22"/>
              </w:rPr>
              <w:t>National Rural Electric Cooperative</w:t>
            </w:r>
          </w:p>
          <w:p w:rsidRPr="002E7DF2" w:rsidR="002E7DF2" w:rsidP="002E7DF2" w:rsidRDefault="002E7DF2" w14:paraId="6E9ABFFC" w14:textId="77777777">
            <w:pPr>
              <w:autoSpaceDE/>
              <w:autoSpaceDN/>
              <w:adjustRightInd/>
              <w:rPr>
                <w:rFonts w:eastAsiaTheme="minorHAnsi"/>
                <w:szCs w:val="22"/>
              </w:rPr>
            </w:pPr>
            <w:r w:rsidRPr="002E7DF2">
              <w:rPr>
                <w:rFonts w:eastAsiaTheme="minorHAnsi"/>
                <w:szCs w:val="22"/>
              </w:rPr>
              <w:t>Association</w:t>
            </w:r>
          </w:p>
        </w:tc>
      </w:tr>
      <w:tr w:rsidRPr="002E7DF2" w:rsidR="002E7DF2" w:rsidTr="00E739BF" w14:paraId="5FA0DA3A" w14:textId="77777777">
        <w:tc>
          <w:tcPr>
            <w:tcW w:w="4675" w:type="dxa"/>
          </w:tcPr>
          <w:p w:rsidRPr="002E7DF2" w:rsidR="002E7DF2" w:rsidP="002E7DF2" w:rsidRDefault="002E7DF2" w14:paraId="1A914236" w14:textId="77777777">
            <w:pPr>
              <w:autoSpaceDE/>
              <w:autoSpaceDN/>
              <w:adjustRightInd/>
              <w:rPr>
                <w:rFonts w:eastAsiaTheme="minorHAnsi"/>
                <w:b/>
                <w:szCs w:val="22"/>
              </w:rPr>
            </w:pPr>
            <w:r w:rsidRPr="002E7DF2">
              <w:rPr>
                <w:rFonts w:eastAsiaTheme="minorHAnsi"/>
                <w:b/>
                <w:bCs/>
                <w:szCs w:val="22"/>
              </w:rPr>
              <w:t>NRG</w:t>
            </w:r>
          </w:p>
        </w:tc>
        <w:tc>
          <w:tcPr>
            <w:tcW w:w="4675" w:type="dxa"/>
          </w:tcPr>
          <w:p w:rsidRPr="002E7DF2" w:rsidR="002E7DF2" w:rsidP="002E7DF2" w:rsidRDefault="002E7DF2" w14:paraId="51A5C5C4" w14:textId="77777777">
            <w:pPr>
              <w:autoSpaceDE/>
              <w:autoSpaceDN/>
              <w:adjustRightInd/>
              <w:rPr>
                <w:rFonts w:eastAsiaTheme="minorHAnsi"/>
                <w:szCs w:val="22"/>
              </w:rPr>
            </w:pPr>
            <w:r w:rsidRPr="002E7DF2">
              <w:rPr>
                <w:rFonts w:eastAsiaTheme="minorHAnsi"/>
                <w:szCs w:val="22"/>
              </w:rPr>
              <w:t>NRG Energy, Inc.</w:t>
            </w:r>
          </w:p>
        </w:tc>
      </w:tr>
      <w:tr w:rsidRPr="002E7DF2" w:rsidR="002E7DF2" w:rsidTr="00E739BF" w14:paraId="4A796662" w14:textId="77777777">
        <w:tc>
          <w:tcPr>
            <w:tcW w:w="4675" w:type="dxa"/>
          </w:tcPr>
          <w:p w:rsidRPr="002E7DF2" w:rsidR="002E7DF2" w:rsidP="002E7DF2" w:rsidRDefault="002E7DF2" w14:paraId="38E0BDBC" w14:textId="77777777">
            <w:pPr>
              <w:autoSpaceDE/>
              <w:autoSpaceDN/>
              <w:adjustRightInd/>
              <w:rPr>
                <w:rFonts w:eastAsiaTheme="minorHAnsi"/>
                <w:b/>
                <w:szCs w:val="22"/>
              </w:rPr>
            </w:pPr>
            <w:r w:rsidRPr="002E7DF2">
              <w:rPr>
                <w:rFonts w:eastAsiaTheme="minorHAnsi"/>
                <w:b/>
                <w:bCs/>
                <w:szCs w:val="22"/>
              </w:rPr>
              <w:t>NYISO</w:t>
            </w:r>
          </w:p>
        </w:tc>
        <w:tc>
          <w:tcPr>
            <w:tcW w:w="4675" w:type="dxa"/>
          </w:tcPr>
          <w:p w:rsidRPr="002E7DF2" w:rsidR="002E7DF2" w:rsidP="002E7DF2" w:rsidRDefault="002E7DF2" w14:paraId="20DBA6E5" w14:textId="77777777">
            <w:pPr>
              <w:autoSpaceDE/>
              <w:autoSpaceDN/>
              <w:adjustRightInd/>
              <w:rPr>
                <w:rFonts w:eastAsiaTheme="minorHAnsi"/>
                <w:szCs w:val="22"/>
              </w:rPr>
            </w:pPr>
            <w:r w:rsidRPr="002E7DF2">
              <w:rPr>
                <w:rFonts w:eastAsiaTheme="minorHAnsi"/>
                <w:szCs w:val="22"/>
              </w:rPr>
              <w:t>New York Independent System Operator,</w:t>
            </w:r>
          </w:p>
          <w:p w:rsidRPr="002E7DF2" w:rsidR="002E7DF2" w:rsidP="002E7DF2" w:rsidRDefault="002E7DF2" w14:paraId="259E719D" w14:textId="77777777">
            <w:pPr>
              <w:autoSpaceDE/>
              <w:autoSpaceDN/>
              <w:adjustRightInd/>
              <w:rPr>
                <w:rFonts w:eastAsiaTheme="minorHAnsi"/>
                <w:szCs w:val="22"/>
              </w:rPr>
            </w:pPr>
            <w:r w:rsidRPr="002E7DF2">
              <w:rPr>
                <w:rFonts w:eastAsiaTheme="minorHAnsi"/>
                <w:szCs w:val="22"/>
              </w:rPr>
              <w:t>Inc.</w:t>
            </w:r>
          </w:p>
        </w:tc>
      </w:tr>
      <w:tr w:rsidRPr="002E7DF2" w:rsidR="002E7DF2" w:rsidTr="00E739BF" w14:paraId="5AF52E5C" w14:textId="77777777">
        <w:tc>
          <w:tcPr>
            <w:tcW w:w="4675" w:type="dxa"/>
          </w:tcPr>
          <w:p w:rsidRPr="002E7DF2" w:rsidR="002E7DF2" w:rsidP="002E7DF2" w:rsidRDefault="002E7DF2" w14:paraId="2E5988FB" w14:textId="77777777">
            <w:pPr>
              <w:autoSpaceDE/>
              <w:autoSpaceDN/>
              <w:adjustRightInd/>
              <w:rPr>
                <w:rFonts w:eastAsiaTheme="minorHAnsi"/>
                <w:b/>
                <w:szCs w:val="22"/>
              </w:rPr>
            </w:pPr>
            <w:r w:rsidRPr="002E7DF2">
              <w:rPr>
                <w:rFonts w:eastAsiaTheme="minorHAnsi"/>
                <w:b/>
                <w:bCs/>
                <w:szCs w:val="22"/>
              </w:rPr>
              <w:t>NYISO Indicated Transmission Owners</w:t>
            </w:r>
          </w:p>
        </w:tc>
        <w:tc>
          <w:tcPr>
            <w:tcW w:w="4675" w:type="dxa"/>
          </w:tcPr>
          <w:p w:rsidRPr="002E7DF2" w:rsidR="002E7DF2" w:rsidP="002E7DF2" w:rsidRDefault="002E7DF2" w14:paraId="3BE8D4AF" w14:textId="77777777">
            <w:pPr>
              <w:autoSpaceDE/>
              <w:autoSpaceDN/>
              <w:adjustRightInd/>
              <w:rPr>
                <w:rFonts w:eastAsiaTheme="minorHAnsi"/>
                <w:szCs w:val="22"/>
              </w:rPr>
            </w:pPr>
            <w:r w:rsidRPr="002E7DF2">
              <w:rPr>
                <w:rFonts w:eastAsiaTheme="minorHAnsi"/>
                <w:szCs w:val="22"/>
              </w:rPr>
              <w:t>Central Hudson Gas &amp; Electric</w:t>
            </w:r>
          </w:p>
          <w:p w:rsidRPr="002E7DF2" w:rsidR="002E7DF2" w:rsidP="002E7DF2" w:rsidRDefault="002E7DF2" w14:paraId="6E340CB2" w14:textId="77777777">
            <w:pPr>
              <w:autoSpaceDE/>
              <w:autoSpaceDN/>
              <w:adjustRightInd/>
              <w:rPr>
                <w:rFonts w:eastAsiaTheme="minorHAnsi"/>
                <w:szCs w:val="22"/>
              </w:rPr>
            </w:pPr>
            <w:r w:rsidRPr="002E7DF2">
              <w:rPr>
                <w:rFonts w:eastAsiaTheme="minorHAnsi"/>
                <w:szCs w:val="22"/>
              </w:rPr>
              <w:t>Corporation, Consolidated Edison</w:t>
            </w:r>
          </w:p>
          <w:p w:rsidRPr="002E7DF2" w:rsidR="002E7DF2" w:rsidP="002E7DF2" w:rsidRDefault="002E7DF2" w14:paraId="5DD801AC" w14:textId="77777777">
            <w:pPr>
              <w:autoSpaceDE/>
              <w:autoSpaceDN/>
              <w:adjustRightInd/>
              <w:rPr>
                <w:rFonts w:eastAsiaTheme="minorHAnsi"/>
                <w:szCs w:val="22"/>
              </w:rPr>
            </w:pPr>
            <w:r w:rsidRPr="002E7DF2">
              <w:rPr>
                <w:rFonts w:eastAsiaTheme="minorHAnsi"/>
                <w:szCs w:val="22"/>
              </w:rPr>
              <w:t>Company of New York, Inc., National</w:t>
            </w:r>
          </w:p>
          <w:p w:rsidRPr="002E7DF2" w:rsidR="002E7DF2" w:rsidP="002E7DF2" w:rsidRDefault="002E7DF2" w14:paraId="42C50AD0" w14:textId="77777777">
            <w:pPr>
              <w:autoSpaceDE/>
              <w:autoSpaceDN/>
              <w:adjustRightInd/>
              <w:rPr>
                <w:rFonts w:eastAsiaTheme="minorHAnsi"/>
                <w:szCs w:val="22"/>
              </w:rPr>
            </w:pPr>
            <w:r w:rsidRPr="002E7DF2">
              <w:rPr>
                <w:rFonts w:eastAsiaTheme="minorHAnsi"/>
                <w:szCs w:val="22"/>
              </w:rPr>
              <w:t>Grid, New York Power Authority, Orange</w:t>
            </w:r>
          </w:p>
          <w:p w:rsidRPr="002E7DF2" w:rsidR="002E7DF2" w:rsidP="002E7DF2" w:rsidRDefault="002E7DF2" w14:paraId="1C3C938C" w14:textId="77777777">
            <w:pPr>
              <w:autoSpaceDE/>
              <w:autoSpaceDN/>
              <w:adjustRightInd/>
              <w:rPr>
                <w:rFonts w:eastAsiaTheme="minorHAnsi"/>
                <w:szCs w:val="22"/>
              </w:rPr>
            </w:pPr>
            <w:r w:rsidRPr="002E7DF2">
              <w:rPr>
                <w:rFonts w:eastAsiaTheme="minorHAnsi"/>
                <w:szCs w:val="22"/>
              </w:rPr>
              <w:t>and Rockland Utilities, Inc., and Power</w:t>
            </w:r>
          </w:p>
        </w:tc>
      </w:tr>
      <w:tr w:rsidRPr="002E7DF2" w:rsidR="002E7DF2" w:rsidTr="00E739BF" w14:paraId="01147A02" w14:textId="77777777">
        <w:tc>
          <w:tcPr>
            <w:tcW w:w="4675" w:type="dxa"/>
          </w:tcPr>
          <w:p w:rsidRPr="002E7DF2" w:rsidR="002E7DF2" w:rsidP="002E7DF2" w:rsidRDefault="002E7DF2" w14:paraId="0B006AB9" w14:textId="77777777">
            <w:pPr>
              <w:autoSpaceDE/>
              <w:autoSpaceDN/>
              <w:adjustRightInd/>
              <w:rPr>
                <w:rFonts w:eastAsiaTheme="minorHAnsi"/>
                <w:b/>
                <w:szCs w:val="22"/>
              </w:rPr>
            </w:pPr>
            <w:r w:rsidRPr="002E7DF2">
              <w:rPr>
                <w:rFonts w:eastAsiaTheme="minorHAnsi"/>
                <w:b/>
                <w:bCs/>
                <w:szCs w:val="22"/>
              </w:rPr>
              <w:t>NYPA</w:t>
            </w:r>
          </w:p>
        </w:tc>
        <w:tc>
          <w:tcPr>
            <w:tcW w:w="4675" w:type="dxa"/>
          </w:tcPr>
          <w:p w:rsidRPr="002E7DF2" w:rsidR="002E7DF2" w:rsidP="002E7DF2" w:rsidRDefault="002E7DF2" w14:paraId="2A0AF2E1" w14:textId="77777777">
            <w:pPr>
              <w:autoSpaceDE/>
              <w:autoSpaceDN/>
              <w:adjustRightInd/>
              <w:rPr>
                <w:rFonts w:eastAsiaTheme="minorHAnsi"/>
                <w:szCs w:val="22"/>
              </w:rPr>
            </w:pPr>
            <w:r w:rsidRPr="002E7DF2">
              <w:rPr>
                <w:rFonts w:eastAsiaTheme="minorHAnsi"/>
                <w:szCs w:val="22"/>
              </w:rPr>
              <w:t>New York Power Authority</w:t>
            </w:r>
          </w:p>
        </w:tc>
      </w:tr>
      <w:tr w:rsidRPr="002E7DF2" w:rsidR="002E7DF2" w:rsidTr="00E739BF" w14:paraId="61D8BCBC" w14:textId="77777777">
        <w:tc>
          <w:tcPr>
            <w:tcW w:w="4675" w:type="dxa"/>
          </w:tcPr>
          <w:p w:rsidRPr="002E7DF2" w:rsidR="002E7DF2" w:rsidP="002E7DF2" w:rsidRDefault="002E7DF2" w14:paraId="09995128" w14:textId="77777777">
            <w:pPr>
              <w:autoSpaceDE/>
              <w:autoSpaceDN/>
              <w:adjustRightInd/>
              <w:rPr>
                <w:rFonts w:eastAsiaTheme="minorHAnsi"/>
                <w:b/>
                <w:szCs w:val="22"/>
              </w:rPr>
            </w:pPr>
            <w:r w:rsidRPr="002E7DF2">
              <w:rPr>
                <w:rFonts w:eastAsiaTheme="minorHAnsi"/>
                <w:b/>
                <w:bCs/>
                <w:szCs w:val="22"/>
              </w:rPr>
              <w:t>Ohio Commission</w:t>
            </w:r>
          </w:p>
        </w:tc>
        <w:tc>
          <w:tcPr>
            <w:tcW w:w="4675" w:type="dxa"/>
          </w:tcPr>
          <w:p w:rsidRPr="002E7DF2" w:rsidR="002E7DF2" w:rsidP="002E7DF2" w:rsidRDefault="002E7DF2" w14:paraId="59CB285F" w14:textId="77777777">
            <w:pPr>
              <w:autoSpaceDE/>
              <w:autoSpaceDN/>
              <w:adjustRightInd/>
              <w:rPr>
                <w:rFonts w:eastAsiaTheme="minorHAnsi"/>
                <w:szCs w:val="22"/>
              </w:rPr>
            </w:pPr>
            <w:r w:rsidRPr="002E7DF2">
              <w:rPr>
                <w:rFonts w:eastAsiaTheme="minorHAnsi"/>
                <w:szCs w:val="22"/>
              </w:rPr>
              <w:t>Public Utilities Commission of Ohio</w:t>
            </w:r>
          </w:p>
        </w:tc>
      </w:tr>
      <w:tr w:rsidRPr="002E7DF2" w:rsidR="002E7DF2" w:rsidTr="00E739BF" w14:paraId="33A80C92" w14:textId="77777777">
        <w:tc>
          <w:tcPr>
            <w:tcW w:w="4675" w:type="dxa"/>
          </w:tcPr>
          <w:p w:rsidRPr="002E7DF2" w:rsidR="002E7DF2" w:rsidP="002E7DF2" w:rsidRDefault="002E7DF2" w14:paraId="52CD4FF6" w14:textId="77777777">
            <w:pPr>
              <w:autoSpaceDE/>
              <w:autoSpaceDN/>
              <w:adjustRightInd/>
              <w:rPr>
                <w:rFonts w:eastAsiaTheme="minorHAnsi"/>
                <w:szCs w:val="22"/>
              </w:rPr>
            </w:pPr>
            <w:r w:rsidRPr="002E7DF2">
              <w:rPr>
                <w:rFonts w:eastAsiaTheme="minorHAnsi"/>
                <w:b/>
                <w:bCs/>
                <w:szCs w:val="22"/>
              </w:rPr>
              <w:t xml:space="preserve">Open Access Technology </w:t>
            </w:r>
          </w:p>
          <w:p w:rsidRPr="002E7DF2" w:rsidR="002E7DF2" w:rsidP="002E7DF2" w:rsidRDefault="002E7DF2" w14:paraId="29817E24" w14:textId="77777777">
            <w:pPr>
              <w:autoSpaceDE/>
              <w:autoSpaceDN/>
              <w:adjustRightInd/>
              <w:rPr>
                <w:rFonts w:eastAsiaTheme="minorHAnsi"/>
                <w:b/>
                <w:szCs w:val="22"/>
              </w:rPr>
            </w:pPr>
          </w:p>
        </w:tc>
        <w:tc>
          <w:tcPr>
            <w:tcW w:w="4675" w:type="dxa"/>
          </w:tcPr>
          <w:p w:rsidRPr="002E7DF2" w:rsidR="002E7DF2" w:rsidP="002E7DF2" w:rsidRDefault="002E7DF2" w14:paraId="67D0E286" w14:textId="77777777">
            <w:pPr>
              <w:autoSpaceDE/>
              <w:autoSpaceDN/>
              <w:adjustRightInd/>
              <w:rPr>
                <w:rFonts w:eastAsiaTheme="minorHAnsi"/>
                <w:szCs w:val="22"/>
              </w:rPr>
            </w:pPr>
            <w:r w:rsidRPr="002E7DF2">
              <w:rPr>
                <w:rFonts w:eastAsiaTheme="minorHAnsi"/>
                <w:szCs w:val="22"/>
              </w:rPr>
              <w:t>Open Access Technology International,</w:t>
            </w:r>
          </w:p>
          <w:p w:rsidRPr="002E7DF2" w:rsidR="002E7DF2" w:rsidP="002E7DF2" w:rsidRDefault="002E7DF2" w14:paraId="538F1867" w14:textId="77777777">
            <w:pPr>
              <w:autoSpaceDE/>
              <w:autoSpaceDN/>
              <w:adjustRightInd/>
              <w:rPr>
                <w:rFonts w:eastAsiaTheme="minorHAnsi"/>
                <w:szCs w:val="22"/>
              </w:rPr>
            </w:pPr>
            <w:r w:rsidRPr="002E7DF2">
              <w:rPr>
                <w:rFonts w:eastAsiaTheme="minorHAnsi"/>
                <w:szCs w:val="22"/>
              </w:rPr>
              <w:t>Inc.</w:t>
            </w:r>
          </w:p>
        </w:tc>
      </w:tr>
      <w:tr w:rsidRPr="002E7DF2" w:rsidR="002E7DF2" w:rsidTr="00E739BF" w14:paraId="2CDA2082" w14:textId="77777777">
        <w:tc>
          <w:tcPr>
            <w:tcW w:w="4675" w:type="dxa"/>
          </w:tcPr>
          <w:p w:rsidRPr="002E7DF2" w:rsidR="002E7DF2" w:rsidP="002E7DF2" w:rsidRDefault="002E7DF2" w14:paraId="50F71F1F" w14:textId="08EE8B85">
            <w:pPr>
              <w:autoSpaceDE/>
              <w:autoSpaceDN/>
              <w:adjustRightInd/>
              <w:rPr>
                <w:rFonts w:eastAsiaTheme="minorHAnsi"/>
                <w:b/>
                <w:bCs/>
                <w:szCs w:val="22"/>
              </w:rPr>
            </w:pPr>
            <w:r w:rsidRPr="002E7DF2">
              <w:rPr>
                <w:rFonts w:eastAsiaTheme="minorHAnsi"/>
                <w:b/>
                <w:bCs/>
                <w:szCs w:val="22"/>
              </w:rPr>
              <w:t>OpenADR</w:t>
            </w:r>
          </w:p>
        </w:tc>
        <w:tc>
          <w:tcPr>
            <w:tcW w:w="4675" w:type="dxa"/>
          </w:tcPr>
          <w:p w:rsidRPr="002E7DF2" w:rsidR="002E7DF2" w:rsidP="002E7DF2" w:rsidRDefault="002E7DF2" w14:paraId="3371B92F" w14:textId="77777777">
            <w:pPr>
              <w:autoSpaceDE/>
              <w:autoSpaceDN/>
              <w:adjustRightInd/>
              <w:rPr>
                <w:rFonts w:eastAsiaTheme="minorHAnsi"/>
                <w:szCs w:val="22"/>
              </w:rPr>
            </w:pPr>
            <w:r w:rsidRPr="002E7DF2">
              <w:rPr>
                <w:rFonts w:eastAsiaTheme="minorHAnsi"/>
                <w:szCs w:val="22"/>
              </w:rPr>
              <w:t>OpenADR Alliance</w:t>
            </w:r>
          </w:p>
        </w:tc>
      </w:tr>
      <w:tr w:rsidRPr="002E7DF2" w:rsidR="002E7DF2" w:rsidTr="00E739BF" w14:paraId="10C81F04" w14:textId="77777777">
        <w:tc>
          <w:tcPr>
            <w:tcW w:w="4675" w:type="dxa"/>
          </w:tcPr>
          <w:p w:rsidRPr="002E7DF2" w:rsidR="002E7DF2" w:rsidP="002E7DF2" w:rsidRDefault="002E7DF2" w14:paraId="471DEC4D" w14:textId="77777777">
            <w:pPr>
              <w:autoSpaceDE/>
              <w:autoSpaceDN/>
              <w:adjustRightInd/>
              <w:rPr>
                <w:rFonts w:eastAsiaTheme="minorHAnsi"/>
                <w:b/>
                <w:szCs w:val="22"/>
              </w:rPr>
            </w:pPr>
            <w:r w:rsidRPr="002E7DF2">
              <w:rPr>
                <w:rFonts w:eastAsiaTheme="minorHAnsi"/>
                <w:b/>
                <w:bCs/>
                <w:szCs w:val="22"/>
              </w:rPr>
              <w:t>Organization of MISO States</w:t>
            </w:r>
          </w:p>
        </w:tc>
        <w:tc>
          <w:tcPr>
            <w:tcW w:w="4675" w:type="dxa"/>
          </w:tcPr>
          <w:p w:rsidRPr="002E7DF2" w:rsidR="002E7DF2" w:rsidP="002E7DF2" w:rsidRDefault="002E7DF2" w14:paraId="61FF0DFA" w14:textId="77777777">
            <w:pPr>
              <w:autoSpaceDE/>
              <w:autoSpaceDN/>
              <w:adjustRightInd/>
              <w:rPr>
                <w:rFonts w:eastAsiaTheme="minorHAnsi"/>
                <w:szCs w:val="22"/>
              </w:rPr>
            </w:pPr>
            <w:r w:rsidRPr="002E7DF2">
              <w:rPr>
                <w:rFonts w:eastAsiaTheme="minorHAnsi"/>
                <w:szCs w:val="22"/>
              </w:rPr>
              <w:t>Organization of MISO States</w:t>
            </w:r>
          </w:p>
        </w:tc>
      </w:tr>
      <w:tr w:rsidRPr="002E7DF2" w:rsidR="002E7DF2" w:rsidTr="00E739BF" w14:paraId="7FE1BDB0" w14:textId="77777777">
        <w:tc>
          <w:tcPr>
            <w:tcW w:w="4675" w:type="dxa"/>
          </w:tcPr>
          <w:p w:rsidRPr="002E7DF2" w:rsidR="002E7DF2" w:rsidP="002E7DF2" w:rsidRDefault="002E7DF2" w14:paraId="685AA535" w14:textId="77777777">
            <w:pPr>
              <w:autoSpaceDE/>
              <w:autoSpaceDN/>
              <w:adjustRightInd/>
              <w:rPr>
                <w:rFonts w:eastAsiaTheme="minorHAnsi"/>
                <w:b/>
                <w:szCs w:val="22"/>
              </w:rPr>
            </w:pPr>
            <w:r w:rsidRPr="002E7DF2">
              <w:rPr>
                <w:rFonts w:eastAsiaTheme="minorHAnsi"/>
                <w:b/>
                <w:bCs/>
                <w:szCs w:val="22"/>
              </w:rPr>
              <w:t>Pacific Gas &amp; Electric</w:t>
            </w:r>
          </w:p>
        </w:tc>
        <w:tc>
          <w:tcPr>
            <w:tcW w:w="4675" w:type="dxa"/>
          </w:tcPr>
          <w:p w:rsidRPr="002E7DF2" w:rsidR="002E7DF2" w:rsidP="002E7DF2" w:rsidRDefault="002E7DF2" w14:paraId="7880CA67" w14:textId="77777777">
            <w:pPr>
              <w:autoSpaceDE/>
              <w:autoSpaceDN/>
              <w:adjustRightInd/>
              <w:rPr>
                <w:rFonts w:eastAsiaTheme="minorHAnsi"/>
                <w:szCs w:val="22"/>
              </w:rPr>
            </w:pPr>
            <w:r w:rsidRPr="002E7DF2">
              <w:rPr>
                <w:rFonts w:eastAsiaTheme="minorHAnsi"/>
                <w:szCs w:val="22"/>
              </w:rPr>
              <w:t>Pacific Gas and Electric Company</w:t>
            </w:r>
          </w:p>
        </w:tc>
      </w:tr>
      <w:tr w:rsidRPr="002E7DF2" w:rsidR="002E7DF2" w:rsidTr="00E739BF" w14:paraId="7C657F87" w14:textId="77777777">
        <w:tc>
          <w:tcPr>
            <w:tcW w:w="4675" w:type="dxa"/>
          </w:tcPr>
          <w:p w:rsidRPr="002E7DF2" w:rsidR="002E7DF2" w:rsidP="002E7DF2" w:rsidRDefault="002E7DF2" w14:paraId="1236F4EA" w14:textId="77777777">
            <w:pPr>
              <w:autoSpaceDE/>
              <w:autoSpaceDN/>
              <w:adjustRightInd/>
              <w:rPr>
                <w:rFonts w:eastAsiaTheme="minorHAnsi"/>
                <w:b/>
                <w:szCs w:val="22"/>
              </w:rPr>
            </w:pPr>
            <w:r w:rsidRPr="002E7DF2">
              <w:rPr>
                <w:rFonts w:eastAsiaTheme="minorHAnsi"/>
                <w:b/>
                <w:bCs/>
                <w:szCs w:val="22"/>
              </w:rPr>
              <w:t>PJM</w:t>
            </w:r>
          </w:p>
        </w:tc>
        <w:tc>
          <w:tcPr>
            <w:tcW w:w="4675" w:type="dxa"/>
          </w:tcPr>
          <w:p w:rsidRPr="0015617E" w:rsidR="002E7DF2" w:rsidP="002E7DF2" w:rsidRDefault="002E7DF2" w14:paraId="615E5EBE" w14:textId="77777777">
            <w:pPr>
              <w:autoSpaceDE/>
              <w:autoSpaceDN/>
              <w:adjustRightInd/>
              <w:rPr>
                <w:rFonts w:eastAsiaTheme="minorHAnsi"/>
                <w:szCs w:val="22"/>
                <w:lang w:val="fr-FR"/>
              </w:rPr>
            </w:pPr>
            <w:r w:rsidRPr="0015617E">
              <w:rPr>
                <w:rFonts w:eastAsiaTheme="minorHAnsi"/>
                <w:lang w:val="fr-FR"/>
              </w:rPr>
              <w:t>PJM Interconnection, L.L.C.</w:t>
            </w:r>
          </w:p>
        </w:tc>
      </w:tr>
      <w:tr w:rsidRPr="002E7DF2" w:rsidR="002E7DF2" w:rsidTr="00E739BF" w14:paraId="2A4701D6" w14:textId="77777777">
        <w:tc>
          <w:tcPr>
            <w:tcW w:w="4675" w:type="dxa"/>
          </w:tcPr>
          <w:p w:rsidRPr="002E7DF2" w:rsidR="002E7DF2" w:rsidP="002E7DF2" w:rsidRDefault="002E7DF2" w14:paraId="5CDA5C72" w14:textId="77777777">
            <w:pPr>
              <w:autoSpaceDE/>
              <w:autoSpaceDN/>
              <w:adjustRightInd/>
              <w:rPr>
                <w:rFonts w:eastAsiaTheme="minorHAnsi"/>
                <w:b/>
                <w:szCs w:val="22"/>
              </w:rPr>
            </w:pPr>
            <w:r w:rsidRPr="002E7DF2">
              <w:rPr>
                <w:rFonts w:eastAsiaTheme="minorHAnsi"/>
                <w:b/>
                <w:bCs/>
                <w:szCs w:val="22"/>
              </w:rPr>
              <w:t>PJM Market Monitor</w:t>
            </w:r>
          </w:p>
        </w:tc>
        <w:tc>
          <w:tcPr>
            <w:tcW w:w="4675" w:type="dxa"/>
          </w:tcPr>
          <w:p w:rsidRPr="002E7DF2" w:rsidR="002E7DF2" w:rsidP="002E7DF2" w:rsidRDefault="002E7DF2" w14:paraId="40196BBD" w14:textId="77777777">
            <w:pPr>
              <w:autoSpaceDE/>
              <w:autoSpaceDN/>
              <w:adjustRightInd/>
              <w:rPr>
                <w:rFonts w:eastAsiaTheme="minorHAnsi"/>
                <w:szCs w:val="22"/>
              </w:rPr>
            </w:pPr>
            <w:r w:rsidRPr="002E7DF2">
              <w:rPr>
                <w:rFonts w:eastAsiaTheme="minorHAnsi"/>
                <w:szCs w:val="22"/>
              </w:rPr>
              <w:t>Monitoring Analytics, LLC</w:t>
            </w:r>
          </w:p>
        </w:tc>
      </w:tr>
      <w:tr w:rsidRPr="002E7DF2" w:rsidR="002E7DF2" w:rsidTr="00E739BF" w14:paraId="7B980AF1" w14:textId="77777777">
        <w:tc>
          <w:tcPr>
            <w:tcW w:w="4675" w:type="dxa"/>
          </w:tcPr>
          <w:p w:rsidRPr="002E7DF2" w:rsidR="002E7DF2" w:rsidP="002E7DF2" w:rsidRDefault="002E7DF2" w14:paraId="011E2FDC" w14:textId="77777777">
            <w:pPr>
              <w:autoSpaceDE/>
              <w:autoSpaceDN/>
              <w:adjustRightInd/>
              <w:rPr>
                <w:rFonts w:eastAsiaTheme="minorHAnsi"/>
                <w:b/>
                <w:szCs w:val="22"/>
              </w:rPr>
            </w:pPr>
            <w:r w:rsidRPr="002E7DF2">
              <w:rPr>
                <w:rFonts w:eastAsiaTheme="minorHAnsi"/>
                <w:b/>
                <w:bCs/>
                <w:szCs w:val="22"/>
              </w:rPr>
              <w:t>PJM Utilities Coalition</w:t>
            </w:r>
          </w:p>
        </w:tc>
        <w:tc>
          <w:tcPr>
            <w:tcW w:w="4675" w:type="dxa"/>
          </w:tcPr>
          <w:p w:rsidRPr="002E7DF2" w:rsidR="002E7DF2" w:rsidP="002E7DF2" w:rsidRDefault="003C3FE7" w14:paraId="7E1EB87A" w14:textId="15C185C4">
            <w:pPr>
              <w:autoSpaceDE/>
              <w:autoSpaceDN/>
              <w:adjustRightInd/>
              <w:rPr>
                <w:rFonts w:eastAsiaTheme="minorHAnsi"/>
                <w:szCs w:val="22"/>
              </w:rPr>
            </w:pPr>
            <w:r>
              <w:rPr>
                <w:rFonts w:eastAsiaTheme="minorHAnsi"/>
                <w:szCs w:val="22"/>
              </w:rPr>
              <w:t>American Electric Power Service Corporation, East Kentucky Power Cooperative, Inc., and FirstEnergy Service Company, on behalf of its affiliates</w:t>
            </w:r>
          </w:p>
        </w:tc>
      </w:tr>
      <w:tr w:rsidRPr="002E7DF2" w:rsidR="002E7DF2" w:rsidTr="00E739BF" w14:paraId="18E57526" w14:textId="77777777">
        <w:tc>
          <w:tcPr>
            <w:tcW w:w="4675" w:type="dxa"/>
          </w:tcPr>
          <w:p w:rsidRPr="002E7DF2" w:rsidR="002E7DF2" w:rsidP="002E7DF2" w:rsidRDefault="002E7DF2" w14:paraId="12E8B737" w14:textId="0B5CD9CC">
            <w:pPr>
              <w:autoSpaceDE/>
              <w:autoSpaceDN/>
              <w:adjustRightInd/>
              <w:rPr>
                <w:rFonts w:eastAsiaTheme="minorHAnsi"/>
                <w:b/>
                <w:bCs/>
                <w:szCs w:val="22"/>
              </w:rPr>
            </w:pPr>
            <w:r w:rsidRPr="002E7DF2">
              <w:rPr>
                <w:rFonts w:eastAsiaTheme="minorHAnsi"/>
                <w:b/>
                <w:bCs/>
                <w:szCs w:val="22"/>
              </w:rPr>
              <w:t>Power Applications</w:t>
            </w:r>
          </w:p>
        </w:tc>
        <w:tc>
          <w:tcPr>
            <w:tcW w:w="4675" w:type="dxa"/>
          </w:tcPr>
          <w:p w:rsidRPr="002E7DF2" w:rsidR="002E7DF2" w:rsidP="002E7DF2" w:rsidRDefault="002E7DF2" w14:paraId="04C96F9B" w14:textId="77777777">
            <w:pPr>
              <w:autoSpaceDE/>
              <w:autoSpaceDN/>
              <w:adjustRightInd/>
              <w:rPr>
                <w:rFonts w:eastAsiaTheme="minorHAnsi"/>
                <w:szCs w:val="22"/>
              </w:rPr>
            </w:pPr>
            <w:r w:rsidRPr="002E7DF2">
              <w:rPr>
                <w:rFonts w:eastAsiaTheme="minorHAnsi"/>
                <w:szCs w:val="22"/>
              </w:rPr>
              <w:t>Power Applications and Research</w:t>
            </w:r>
          </w:p>
          <w:p w:rsidRPr="002E7DF2" w:rsidR="002E7DF2" w:rsidP="002E7DF2" w:rsidRDefault="002E7DF2" w14:paraId="3ECB50BF" w14:textId="77777777">
            <w:pPr>
              <w:autoSpaceDE/>
              <w:autoSpaceDN/>
              <w:adjustRightInd/>
              <w:rPr>
                <w:rFonts w:eastAsiaTheme="minorHAnsi"/>
                <w:szCs w:val="22"/>
              </w:rPr>
            </w:pPr>
            <w:r w:rsidRPr="002E7DF2">
              <w:rPr>
                <w:rFonts w:eastAsiaTheme="minorHAnsi"/>
                <w:szCs w:val="22"/>
              </w:rPr>
              <w:t>Systems, Inc.</w:t>
            </w:r>
          </w:p>
        </w:tc>
      </w:tr>
      <w:tr w:rsidRPr="002E7DF2" w:rsidR="002E7DF2" w:rsidTr="00E739BF" w14:paraId="04C84365" w14:textId="77777777">
        <w:tc>
          <w:tcPr>
            <w:tcW w:w="4675" w:type="dxa"/>
          </w:tcPr>
          <w:p w:rsidRPr="002E7DF2" w:rsidR="002E7DF2" w:rsidP="002E7DF2" w:rsidRDefault="002E7DF2" w14:paraId="35CBEA67" w14:textId="7F917642">
            <w:pPr>
              <w:autoSpaceDE/>
              <w:autoSpaceDN/>
              <w:adjustRightInd/>
              <w:rPr>
                <w:rFonts w:eastAsiaTheme="minorHAnsi"/>
                <w:b/>
                <w:bCs/>
                <w:szCs w:val="22"/>
              </w:rPr>
            </w:pPr>
            <w:r w:rsidRPr="002E7DF2">
              <w:rPr>
                <w:rFonts w:eastAsiaTheme="minorHAnsi"/>
                <w:b/>
                <w:bCs/>
                <w:szCs w:val="22"/>
              </w:rPr>
              <w:t>Protect Sudbury</w:t>
            </w:r>
          </w:p>
        </w:tc>
        <w:tc>
          <w:tcPr>
            <w:tcW w:w="4675" w:type="dxa"/>
          </w:tcPr>
          <w:p w:rsidRPr="002E7DF2" w:rsidR="002E7DF2" w:rsidP="002E7DF2" w:rsidRDefault="002E7DF2" w14:paraId="6AEC42B6" w14:textId="77777777">
            <w:pPr>
              <w:autoSpaceDE/>
              <w:autoSpaceDN/>
              <w:adjustRightInd/>
              <w:rPr>
                <w:rFonts w:eastAsiaTheme="minorHAnsi"/>
                <w:szCs w:val="22"/>
              </w:rPr>
            </w:pPr>
            <w:r w:rsidRPr="002E7DF2">
              <w:rPr>
                <w:rFonts w:eastAsiaTheme="minorHAnsi"/>
                <w:szCs w:val="22"/>
              </w:rPr>
              <w:t>Protect Sudbury</w:t>
            </w:r>
          </w:p>
        </w:tc>
      </w:tr>
      <w:tr w:rsidRPr="002E7DF2" w:rsidR="002E7DF2" w:rsidTr="00E739BF" w14:paraId="43256584" w14:textId="77777777">
        <w:tc>
          <w:tcPr>
            <w:tcW w:w="4675" w:type="dxa"/>
          </w:tcPr>
          <w:p w:rsidRPr="002E7DF2" w:rsidR="002E7DF2" w:rsidP="002E7DF2" w:rsidRDefault="002E7DF2" w14:paraId="11CE3629" w14:textId="77777777">
            <w:pPr>
              <w:autoSpaceDE/>
              <w:autoSpaceDN/>
              <w:adjustRightInd/>
              <w:rPr>
                <w:rFonts w:eastAsiaTheme="minorHAnsi"/>
                <w:b/>
                <w:szCs w:val="22"/>
              </w:rPr>
            </w:pPr>
            <w:r w:rsidRPr="002E7DF2">
              <w:rPr>
                <w:rFonts w:eastAsiaTheme="minorHAnsi"/>
                <w:b/>
                <w:bCs/>
                <w:szCs w:val="22"/>
              </w:rPr>
              <w:t>Public Interest Organizations</w:t>
            </w:r>
          </w:p>
        </w:tc>
        <w:tc>
          <w:tcPr>
            <w:tcW w:w="4675" w:type="dxa"/>
          </w:tcPr>
          <w:p w:rsidRPr="002E7DF2" w:rsidR="002E7DF2" w:rsidP="002E7DF2" w:rsidRDefault="00A40C48" w14:paraId="2F008CC6" w14:textId="3C357477">
            <w:pPr>
              <w:autoSpaceDE/>
              <w:autoSpaceDN/>
              <w:adjustRightInd/>
              <w:rPr>
                <w:rFonts w:eastAsiaTheme="minorHAnsi"/>
                <w:szCs w:val="22"/>
              </w:rPr>
            </w:pPr>
            <w:r w:rsidRPr="00AF7C24">
              <w:rPr>
                <w:rFonts w:eastAsiaTheme="minorHAnsi"/>
                <w:szCs w:val="22"/>
              </w:rPr>
              <w:t>Clean Wisconsin</w:t>
            </w:r>
            <w:r>
              <w:rPr>
                <w:rFonts w:eastAsiaTheme="minorHAnsi"/>
                <w:szCs w:val="22"/>
              </w:rPr>
              <w:t xml:space="preserve">, </w:t>
            </w:r>
            <w:r w:rsidR="00AF7C24">
              <w:rPr>
                <w:rFonts w:eastAsiaTheme="minorHAnsi"/>
                <w:szCs w:val="22"/>
              </w:rPr>
              <w:t>Environmental Defense Fund,</w:t>
            </w:r>
            <w:r w:rsidRPr="00AF7C24" w:rsidR="00AF7C24">
              <w:rPr>
                <w:rFonts w:eastAsiaTheme="minorHAnsi"/>
                <w:szCs w:val="22"/>
              </w:rPr>
              <w:t xml:space="preserve"> </w:t>
            </w:r>
            <w:r>
              <w:rPr>
                <w:rFonts w:eastAsiaTheme="minorHAnsi"/>
                <w:szCs w:val="22"/>
              </w:rPr>
              <w:t xml:space="preserve">Environmental Law &amp; Policy Center, </w:t>
            </w:r>
            <w:r w:rsidRPr="00AF7C24">
              <w:rPr>
                <w:rFonts w:eastAsiaTheme="minorHAnsi"/>
                <w:szCs w:val="22"/>
              </w:rPr>
              <w:t>Fresh Energy</w:t>
            </w:r>
            <w:r>
              <w:rPr>
                <w:rFonts w:eastAsiaTheme="minorHAnsi"/>
                <w:szCs w:val="22"/>
              </w:rPr>
              <w:t xml:space="preserve">, GridLab, Natural Resources Defense Council, Northwest Energy Coalition, </w:t>
            </w:r>
            <w:r w:rsidRPr="00AF7C24">
              <w:rPr>
                <w:rFonts w:eastAsiaTheme="minorHAnsi"/>
                <w:szCs w:val="22"/>
              </w:rPr>
              <w:t>Sierra Club</w:t>
            </w:r>
            <w:r>
              <w:rPr>
                <w:rFonts w:eastAsiaTheme="minorHAnsi"/>
                <w:szCs w:val="22"/>
              </w:rPr>
              <w:t xml:space="preserve">, Southern Environmental Law Center, </w:t>
            </w:r>
            <w:r w:rsidRPr="00AF7C24" w:rsidR="00AF7C24">
              <w:rPr>
                <w:rFonts w:eastAsiaTheme="minorHAnsi"/>
                <w:szCs w:val="22"/>
              </w:rPr>
              <w:t>U</w:t>
            </w:r>
            <w:r w:rsidR="00AF7C24">
              <w:rPr>
                <w:rFonts w:eastAsiaTheme="minorHAnsi"/>
                <w:szCs w:val="22"/>
              </w:rPr>
              <w:t>nion of Concerned Scientists,</w:t>
            </w:r>
            <w:r w:rsidRPr="00AF7C24" w:rsidR="00AF7C24">
              <w:rPr>
                <w:rFonts w:eastAsiaTheme="minorHAnsi"/>
                <w:szCs w:val="22"/>
              </w:rPr>
              <w:t xml:space="preserve"> </w:t>
            </w:r>
            <w:r>
              <w:rPr>
                <w:rFonts w:eastAsiaTheme="minorHAnsi"/>
                <w:szCs w:val="22"/>
              </w:rPr>
              <w:t>Vote Solar, Western Grid Group</w:t>
            </w:r>
          </w:p>
        </w:tc>
      </w:tr>
      <w:tr w:rsidRPr="002E7DF2" w:rsidR="002E7DF2" w:rsidTr="00E739BF" w14:paraId="5090B696" w14:textId="77777777">
        <w:tc>
          <w:tcPr>
            <w:tcW w:w="4675" w:type="dxa"/>
          </w:tcPr>
          <w:p w:rsidRPr="002E7DF2" w:rsidR="002E7DF2" w:rsidP="002E7DF2" w:rsidRDefault="002E7DF2" w14:paraId="0CB44DC7" w14:textId="77777777">
            <w:pPr>
              <w:autoSpaceDE/>
              <w:autoSpaceDN/>
              <w:adjustRightInd/>
              <w:rPr>
                <w:rFonts w:eastAsiaTheme="minorHAnsi"/>
                <w:b/>
                <w:szCs w:val="22"/>
              </w:rPr>
            </w:pPr>
            <w:r w:rsidRPr="002E7DF2">
              <w:rPr>
                <w:rFonts w:eastAsiaTheme="minorHAnsi"/>
                <w:b/>
                <w:bCs/>
                <w:szCs w:val="22"/>
              </w:rPr>
              <w:t>R Street Institute</w:t>
            </w:r>
          </w:p>
        </w:tc>
        <w:tc>
          <w:tcPr>
            <w:tcW w:w="4675" w:type="dxa"/>
          </w:tcPr>
          <w:p w:rsidRPr="002E7DF2" w:rsidR="002E7DF2" w:rsidP="002E7DF2" w:rsidRDefault="002E7DF2" w14:paraId="7C187014" w14:textId="77777777">
            <w:pPr>
              <w:autoSpaceDE/>
              <w:autoSpaceDN/>
              <w:adjustRightInd/>
              <w:rPr>
                <w:rFonts w:eastAsiaTheme="minorHAnsi"/>
                <w:szCs w:val="22"/>
              </w:rPr>
            </w:pPr>
            <w:r w:rsidRPr="002E7DF2">
              <w:rPr>
                <w:rFonts w:eastAsiaTheme="minorHAnsi"/>
                <w:szCs w:val="22"/>
              </w:rPr>
              <w:t>R Street Institute</w:t>
            </w:r>
          </w:p>
        </w:tc>
      </w:tr>
      <w:tr w:rsidRPr="002E7DF2" w:rsidR="000E5201" w:rsidTr="00E739BF" w14:paraId="67D3BAEB" w14:textId="77777777">
        <w:tc>
          <w:tcPr>
            <w:tcW w:w="4675" w:type="dxa"/>
          </w:tcPr>
          <w:p w:rsidRPr="002E7DF2" w:rsidR="000E5201" w:rsidP="002E7DF2" w:rsidRDefault="000E5201" w14:paraId="5FB99DD2" w14:textId="0E2A4935">
            <w:pPr>
              <w:rPr>
                <w:b/>
                <w:bCs/>
              </w:rPr>
            </w:pPr>
            <w:r>
              <w:rPr>
                <w:b/>
                <w:bCs/>
              </w:rPr>
              <w:t>RES Americas</w:t>
            </w:r>
          </w:p>
        </w:tc>
        <w:tc>
          <w:tcPr>
            <w:tcW w:w="4675" w:type="dxa"/>
          </w:tcPr>
          <w:p w:rsidRPr="002E7DF2" w:rsidR="000E5201" w:rsidP="002E7DF2" w:rsidRDefault="000E5201" w14:paraId="6EE87B6B" w14:textId="3EDF3838">
            <w:r w:rsidRPr="000E5201">
              <w:t>Renewable Energy Systems Americas Inc</w:t>
            </w:r>
            <w:r>
              <w:t>.</w:t>
            </w:r>
          </w:p>
        </w:tc>
      </w:tr>
      <w:tr w:rsidRPr="002E7DF2" w:rsidR="002E7DF2" w:rsidTr="00E739BF" w14:paraId="04556421" w14:textId="77777777">
        <w:tc>
          <w:tcPr>
            <w:tcW w:w="4675" w:type="dxa"/>
          </w:tcPr>
          <w:p w:rsidRPr="002E7DF2" w:rsidR="002E7DF2" w:rsidP="002E7DF2" w:rsidRDefault="002E7DF2" w14:paraId="5AB97421" w14:textId="54D06DDA">
            <w:pPr>
              <w:autoSpaceDE/>
              <w:autoSpaceDN/>
              <w:adjustRightInd/>
              <w:rPr>
                <w:rFonts w:eastAsiaTheme="minorHAnsi"/>
                <w:b/>
                <w:bCs/>
                <w:szCs w:val="22"/>
              </w:rPr>
            </w:pPr>
            <w:r w:rsidRPr="002E7DF2">
              <w:rPr>
                <w:rFonts w:eastAsiaTheme="minorHAnsi"/>
                <w:b/>
                <w:bCs/>
                <w:szCs w:val="22"/>
              </w:rPr>
              <w:t>Research Scientists</w:t>
            </w:r>
          </w:p>
        </w:tc>
        <w:tc>
          <w:tcPr>
            <w:tcW w:w="4675" w:type="dxa"/>
          </w:tcPr>
          <w:p w:rsidRPr="002E7DF2" w:rsidR="002E7DF2" w:rsidP="002E7DF2" w:rsidRDefault="002E7DF2" w14:paraId="17A8F573" w14:textId="77777777">
            <w:pPr>
              <w:autoSpaceDE/>
              <w:autoSpaceDN/>
              <w:adjustRightInd/>
              <w:rPr>
                <w:rFonts w:eastAsiaTheme="minorHAnsi"/>
                <w:szCs w:val="22"/>
              </w:rPr>
            </w:pPr>
            <w:r w:rsidRPr="002E7DF2">
              <w:rPr>
                <w:rFonts w:eastAsiaTheme="minorHAnsi"/>
                <w:szCs w:val="22"/>
              </w:rPr>
              <w:t>Drs. Audun Botterud, Apurba Sakti, and</w:t>
            </w:r>
          </w:p>
          <w:p w:rsidRPr="002E7DF2" w:rsidR="002E7DF2" w:rsidP="002E7DF2" w:rsidRDefault="002E7DF2" w14:paraId="47DCFFFD" w14:textId="77777777">
            <w:pPr>
              <w:autoSpaceDE/>
              <w:autoSpaceDN/>
              <w:adjustRightInd/>
              <w:rPr>
                <w:rFonts w:eastAsiaTheme="minorHAnsi"/>
                <w:szCs w:val="22"/>
              </w:rPr>
            </w:pPr>
            <w:r w:rsidRPr="002E7DF2">
              <w:rPr>
                <w:rFonts w:eastAsiaTheme="minorHAnsi"/>
                <w:szCs w:val="22"/>
              </w:rPr>
              <w:t>Francis O’Sullivan</w:t>
            </w:r>
          </w:p>
        </w:tc>
      </w:tr>
      <w:tr w:rsidRPr="002E7DF2" w:rsidR="002E7DF2" w:rsidTr="00E739BF" w14:paraId="60EF4640" w14:textId="77777777">
        <w:tc>
          <w:tcPr>
            <w:tcW w:w="4675" w:type="dxa"/>
          </w:tcPr>
          <w:p w:rsidRPr="002E7DF2" w:rsidR="002E7DF2" w:rsidP="002E7DF2" w:rsidRDefault="002E7DF2" w14:paraId="5AEF09F2" w14:textId="77777777">
            <w:pPr>
              <w:autoSpaceDE/>
              <w:autoSpaceDN/>
              <w:adjustRightInd/>
              <w:rPr>
                <w:rFonts w:eastAsiaTheme="minorHAnsi"/>
                <w:b/>
                <w:szCs w:val="22"/>
              </w:rPr>
            </w:pPr>
            <w:r w:rsidRPr="002E7DF2">
              <w:rPr>
                <w:rFonts w:eastAsiaTheme="minorHAnsi"/>
                <w:b/>
                <w:bCs/>
                <w:szCs w:val="22"/>
              </w:rPr>
              <w:t>Robert Borlick</w:t>
            </w:r>
          </w:p>
        </w:tc>
        <w:tc>
          <w:tcPr>
            <w:tcW w:w="4675" w:type="dxa"/>
          </w:tcPr>
          <w:p w:rsidRPr="002E7DF2" w:rsidR="002E7DF2" w:rsidP="002E7DF2" w:rsidRDefault="002E7DF2" w14:paraId="1F5D7F74" w14:textId="77777777">
            <w:pPr>
              <w:autoSpaceDE/>
              <w:autoSpaceDN/>
              <w:adjustRightInd/>
              <w:rPr>
                <w:rFonts w:eastAsiaTheme="minorHAnsi"/>
                <w:szCs w:val="22"/>
              </w:rPr>
            </w:pPr>
            <w:r w:rsidRPr="002E7DF2">
              <w:rPr>
                <w:rFonts w:eastAsiaTheme="minorHAnsi"/>
                <w:szCs w:val="22"/>
              </w:rPr>
              <w:t>Robert L. Borlick</w:t>
            </w:r>
          </w:p>
        </w:tc>
      </w:tr>
      <w:tr w:rsidRPr="002E7DF2" w:rsidR="002E7DF2" w:rsidTr="00E739BF" w14:paraId="098FCB98" w14:textId="77777777">
        <w:tc>
          <w:tcPr>
            <w:tcW w:w="4675" w:type="dxa"/>
          </w:tcPr>
          <w:p w:rsidRPr="002E7DF2" w:rsidR="002E7DF2" w:rsidP="002E7DF2" w:rsidRDefault="002E7DF2" w14:paraId="5666FF88" w14:textId="77777777">
            <w:pPr>
              <w:autoSpaceDE/>
              <w:autoSpaceDN/>
              <w:adjustRightInd/>
              <w:rPr>
                <w:rFonts w:eastAsiaTheme="minorHAnsi"/>
                <w:b/>
                <w:bCs/>
                <w:szCs w:val="22"/>
              </w:rPr>
            </w:pPr>
            <w:r w:rsidRPr="002E7DF2">
              <w:rPr>
                <w:rFonts w:eastAsiaTheme="minorHAnsi"/>
                <w:b/>
                <w:bCs/>
                <w:szCs w:val="22"/>
              </w:rPr>
              <w:t>San Diego Gas &amp; Electric</w:t>
            </w:r>
          </w:p>
        </w:tc>
        <w:tc>
          <w:tcPr>
            <w:tcW w:w="4675" w:type="dxa"/>
          </w:tcPr>
          <w:p w:rsidRPr="002E7DF2" w:rsidR="002E7DF2" w:rsidP="002E7DF2" w:rsidRDefault="006254AF" w14:paraId="4865EF07" w14:textId="75F8311F">
            <w:pPr>
              <w:autoSpaceDE/>
              <w:autoSpaceDN/>
              <w:adjustRightInd/>
              <w:rPr>
                <w:rFonts w:eastAsiaTheme="minorHAnsi"/>
                <w:szCs w:val="22"/>
              </w:rPr>
            </w:pPr>
            <w:r>
              <w:rPr>
                <w:rFonts w:eastAsiaTheme="minorHAnsi"/>
                <w:szCs w:val="22"/>
              </w:rPr>
              <w:t>San Diego Gas &amp; Electric</w:t>
            </w:r>
          </w:p>
        </w:tc>
      </w:tr>
      <w:tr w:rsidRPr="002E7DF2" w:rsidR="002E7DF2" w:rsidTr="00E739BF" w14:paraId="54068BC9" w14:textId="77777777">
        <w:tc>
          <w:tcPr>
            <w:tcW w:w="4675" w:type="dxa"/>
          </w:tcPr>
          <w:p w:rsidRPr="002E7DF2" w:rsidR="002E7DF2" w:rsidP="002E7DF2" w:rsidRDefault="002E7DF2" w14:paraId="6C8236D8" w14:textId="0FF2FEB5">
            <w:pPr>
              <w:autoSpaceDE/>
              <w:autoSpaceDN/>
              <w:adjustRightInd/>
              <w:rPr>
                <w:rFonts w:eastAsiaTheme="minorHAnsi"/>
                <w:b/>
                <w:bCs/>
                <w:szCs w:val="22"/>
              </w:rPr>
            </w:pPr>
            <w:r w:rsidRPr="002E7DF2">
              <w:rPr>
                <w:rFonts w:eastAsiaTheme="minorHAnsi"/>
                <w:b/>
                <w:bCs/>
                <w:szCs w:val="22"/>
              </w:rPr>
              <w:t>San Diego Water</w:t>
            </w:r>
          </w:p>
        </w:tc>
        <w:tc>
          <w:tcPr>
            <w:tcW w:w="4675" w:type="dxa"/>
          </w:tcPr>
          <w:p w:rsidRPr="002E7DF2" w:rsidR="002E7DF2" w:rsidP="002E7DF2" w:rsidRDefault="002E7DF2" w14:paraId="5A7EF840" w14:textId="77777777">
            <w:pPr>
              <w:autoSpaceDE/>
              <w:autoSpaceDN/>
              <w:adjustRightInd/>
              <w:rPr>
                <w:rFonts w:eastAsiaTheme="minorHAnsi"/>
                <w:szCs w:val="22"/>
              </w:rPr>
            </w:pPr>
            <w:r w:rsidRPr="002E7DF2">
              <w:rPr>
                <w:rFonts w:eastAsiaTheme="minorHAnsi"/>
                <w:szCs w:val="22"/>
              </w:rPr>
              <w:t>San Diego County Water Authority</w:t>
            </w:r>
          </w:p>
        </w:tc>
      </w:tr>
      <w:tr w:rsidRPr="002E7DF2" w:rsidR="002E7DF2" w:rsidTr="00E739BF" w14:paraId="1E18285A" w14:textId="77777777">
        <w:tc>
          <w:tcPr>
            <w:tcW w:w="4675" w:type="dxa"/>
          </w:tcPr>
          <w:p w:rsidRPr="002E7DF2" w:rsidR="002E7DF2" w:rsidP="002E7DF2" w:rsidRDefault="002E7DF2" w14:paraId="1A2D8460" w14:textId="7E3B8CFA">
            <w:pPr>
              <w:autoSpaceDE/>
              <w:autoSpaceDN/>
              <w:adjustRightInd/>
              <w:rPr>
                <w:rFonts w:eastAsiaTheme="minorHAnsi"/>
                <w:b/>
                <w:bCs/>
                <w:szCs w:val="22"/>
              </w:rPr>
            </w:pPr>
            <w:r w:rsidRPr="002E7DF2">
              <w:rPr>
                <w:rFonts w:eastAsiaTheme="minorHAnsi"/>
                <w:b/>
                <w:bCs/>
                <w:szCs w:val="22"/>
              </w:rPr>
              <w:t>Schulte Associates</w:t>
            </w:r>
          </w:p>
        </w:tc>
        <w:tc>
          <w:tcPr>
            <w:tcW w:w="4675" w:type="dxa"/>
          </w:tcPr>
          <w:p w:rsidRPr="002E7DF2" w:rsidR="002E7DF2" w:rsidP="002E7DF2" w:rsidRDefault="002E7DF2" w14:paraId="5F3C0EFF" w14:textId="77777777">
            <w:pPr>
              <w:autoSpaceDE/>
              <w:autoSpaceDN/>
              <w:adjustRightInd/>
              <w:rPr>
                <w:rFonts w:eastAsiaTheme="minorHAnsi"/>
                <w:szCs w:val="22"/>
              </w:rPr>
            </w:pPr>
            <w:r w:rsidRPr="002E7DF2">
              <w:rPr>
                <w:rFonts w:eastAsiaTheme="minorHAnsi"/>
                <w:szCs w:val="22"/>
              </w:rPr>
              <w:t>Schulte Associates LLC</w:t>
            </w:r>
          </w:p>
        </w:tc>
      </w:tr>
      <w:tr w:rsidRPr="002E7DF2" w:rsidR="002E7DF2" w:rsidTr="00E739BF" w14:paraId="0BB7210E" w14:textId="77777777">
        <w:tc>
          <w:tcPr>
            <w:tcW w:w="4675" w:type="dxa"/>
          </w:tcPr>
          <w:p w:rsidRPr="002E7DF2" w:rsidR="002E7DF2" w:rsidP="002E7DF2" w:rsidRDefault="002E7DF2" w14:paraId="1FD0C4C3" w14:textId="77777777">
            <w:pPr>
              <w:autoSpaceDE/>
              <w:autoSpaceDN/>
              <w:adjustRightInd/>
              <w:rPr>
                <w:rFonts w:eastAsiaTheme="minorHAnsi"/>
                <w:b/>
                <w:szCs w:val="22"/>
              </w:rPr>
            </w:pPr>
            <w:r w:rsidRPr="002E7DF2">
              <w:rPr>
                <w:rFonts w:eastAsiaTheme="minorHAnsi"/>
                <w:b/>
                <w:bCs/>
                <w:szCs w:val="22"/>
              </w:rPr>
              <w:t>SEIA</w:t>
            </w:r>
          </w:p>
        </w:tc>
        <w:tc>
          <w:tcPr>
            <w:tcW w:w="4675" w:type="dxa"/>
          </w:tcPr>
          <w:p w:rsidRPr="002E7DF2" w:rsidR="002E7DF2" w:rsidP="002E7DF2" w:rsidRDefault="002E7DF2" w14:paraId="27192BEE" w14:textId="77777777">
            <w:pPr>
              <w:autoSpaceDE/>
              <w:autoSpaceDN/>
              <w:adjustRightInd/>
              <w:rPr>
                <w:rFonts w:eastAsiaTheme="minorHAnsi"/>
                <w:szCs w:val="22"/>
              </w:rPr>
            </w:pPr>
            <w:r w:rsidRPr="002E7DF2">
              <w:rPr>
                <w:rFonts w:eastAsiaTheme="minorHAnsi"/>
                <w:szCs w:val="22"/>
              </w:rPr>
              <w:t>Solar Energy Industries Association</w:t>
            </w:r>
          </w:p>
        </w:tc>
      </w:tr>
      <w:tr w:rsidRPr="002E7DF2" w:rsidR="002E7DF2" w:rsidTr="00E739BF" w14:paraId="75DAAE05" w14:textId="77777777">
        <w:tc>
          <w:tcPr>
            <w:tcW w:w="4675" w:type="dxa"/>
          </w:tcPr>
          <w:p w:rsidRPr="002E7DF2" w:rsidR="002E7DF2" w:rsidP="002E7DF2" w:rsidRDefault="002E7DF2" w14:paraId="0B7BD687" w14:textId="6765A5A1">
            <w:pPr>
              <w:autoSpaceDE/>
              <w:autoSpaceDN/>
              <w:adjustRightInd/>
              <w:rPr>
                <w:rFonts w:eastAsiaTheme="minorHAnsi"/>
                <w:b/>
                <w:bCs/>
                <w:szCs w:val="22"/>
              </w:rPr>
            </w:pPr>
            <w:r w:rsidRPr="002E7DF2">
              <w:rPr>
                <w:rFonts w:eastAsiaTheme="minorHAnsi"/>
                <w:b/>
                <w:bCs/>
                <w:szCs w:val="22"/>
              </w:rPr>
              <w:t>Silicon Valley Leadership Group</w:t>
            </w:r>
          </w:p>
        </w:tc>
        <w:tc>
          <w:tcPr>
            <w:tcW w:w="4675" w:type="dxa"/>
          </w:tcPr>
          <w:p w:rsidRPr="002E7DF2" w:rsidR="002E7DF2" w:rsidP="002E7DF2" w:rsidRDefault="002E7DF2" w14:paraId="28E1B49D" w14:textId="77777777">
            <w:pPr>
              <w:autoSpaceDE/>
              <w:autoSpaceDN/>
              <w:adjustRightInd/>
              <w:rPr>
                <w:rFonts w:eastAsiaTheme="minorHAnsi"/>
                <w:szCs w:val="22"/>
              </w:rPr>
            </w:pPr>
            <w:r w:rsidRPr="002E7DF2">
              <w:rPr>
                <w:rFonts w:eastAsiaTheme="minorHAnsi"/>
                <w:szCs w:val="22"/>
              </w:rPr>
              <w:t>Silicon Valley Leadership Group</w:t>
            </w:r>
          </w:p>
        </w:tc>
      </w:tr>
      <w:tr w:rsidRPr="002E7DF2" w:rsidR="002E7DF2" w:rsidTr="00E739BF" w14:paraId="132F521F" w14:textId="77777777">
        <w:tc>
          <w:tcPr>
            <w:tcW w:w="4675" w:type="dxa"/>
          </w:tcPr>
          <w:p w:rsidRPr="002E7DF2" w:rsidR="002E7DF2" w:rsidP="002E7DF2" w:rsidRDefault="002E7DF2" w14:paraId="6152DE7D" w14:textId="77777777">
            <w:pPr>
              <w:autoSpaceDE/>
              <w:autoSpaceDN/>
              <w:adjustRightInd/>
              <w:rPr>
                <w:rFonts w:eastAsiaTheme="minorHAnsi"/>
                <w:b/>
                <w:szCs w:val="22"/>
              </w:rPr>
            </w:pPr>
            <w:r w:rsidRPr="002E7DF2">
              <w:rPr>
                <w:rFonts w:eastAsiaTheme="minorHAnsi"/>
                <w:b/>
                <w:bCs/>
                <w:szCs w:val="22"/>
              </w:rPr>
              <w:t>Six Cities</w:t>
            </w:r>
          </w:p>
        </w:tc>
        <w:tc>
          <w:tcPr>
            <w:tcW w:w="4675" w:type="dxa"/>
          </w:tcPr>
          <w:p w:rsidRPr="002E7DF2" w:rsidR="002E7DF2" w:rsidP="002E7DF2" w:rsidRDefault="002E7DF2" w14:paraId="432E582C" w14:textId="77777777">
            <w:pPr>
              <w:autoSpaceDE/>
              <w:autoSpaceDN/>
              <w:adjustRightInd/>
              <w:rPr>
                <w:rFonts w:eastAsiaTheme="minorHAnsi"/>
                <w:szCs w:val="22"/>
              </w:rPr>
            </w:pPr>
            <w:r w:rsidRPr="002E7DF2">
              <w:rPr>
                <w:rFonts w:eastAsiaTheme="minorHAnsi"/>
                <w:szCs w:val="22"/>
              </w:rPr>
              <w:t>Cities of Anaheim, Azusa, Banning,</w:t>
            </w:r>
          </w:p>
          <w:p w:rsidRPr="002E7DF2" w:rsidR="002E7DF2" w:rsidP="002E7DF2" w:rsidRDefault="002E7DF2" w14:paraId="63F96600" w14:textId="77777777">
            <w:pPr>
              <w:autoSpaceDE/>
              <w:autoSpaceDN/>
              <w:adjustRightInd/>
              <w:rPr>
                <w:rFonts w:eastAsiaTheme="minorHAnsi"/>
                <w:szCs w:val="22"/>
              </w:rPr>
            </w:pPr>
            <w:r w:rsidRPr="002E7DF2">
              <w:rPr>
                <w:rFonts w:eastAsiaTheme="minorHAnsi"/>
                <w:szCs w:val="22"/>
              </w:rPr>
              <w:t>Colton, Pasadena, and Riverside,</w:t>
            </w:r>
          </w:p>
          <w:p w:rsidRPr="002E7DF2" w:rsidR="002E7DF2" w:rsidP="002E7DF2" w:rsidRDefault="002E7DF2" w14:paraId="71CAFBEB" w14:textId="77777777">
            <w:pPr>
              <w:autoSpaceDE/>
              <w:autoSpaceDN/>
              <w:adjustRightInd/>
              <w:rPr>
                <w:rFonts w:eastAsiaTheme="minorHAnsi"/>
                <w:szCs w:val="22"/>
              </w:rPr>
            </w:pPr>
            <w:r w:rsidRPr="002E7DF2">
              <w:rPr>
                <w:rFonts w:eastAsiaTheme="minorHAnsi"/>
                <w:szCs w:val="22"/>
              </w:rPr>
              <w:t>California</w:t>
            </w:r>
          </w:p>
        </w:tc>
      </w:tr>
      <w:tr w:rsidRPr="002E7DF2" w:rsidR="002E7DF2" w:rsidTr="00E739BF" w14:paraId="059160E7" w14:textId="77777777">
        <w:tc>
          <w:tcPr>
            <w:tcW w:w="4675" w:type="dxa"/>
          </w:tcPr>
          <w:p w:rsidRPr="002E7DF2" w:rsidR="002E7DF2" w:rsidP="002E7DF2" w:rsidRDefault="002E7DF2" w14:paraId="196E2A88" w14:textId="77777777">
            <w:pPr>
              <w:autoSpaceDE/>
              <w:autoSpaceDN/>
              <w:adjustRightInd/>
              <w:rPr>
                <w:rFonts w:eastAsiaTheme="minorHAnsi"/>
                <w:b/>
                <w:szCs w:val="22"/>
              </w:rPr>
            </w:pPr>
            <w:r w:rsidRPr="002E7DF2">
              <w:rPr>
                <w:rFonts w:eastAsiaTheme="minorHAnsi"/>
                <w:b/>
                <w:bCs/>
                <w:szCs w:val="22"/>
              </w:rPr>
              <w:t>SoCal Edison</w:t>
            </w:r>
          </w:p>
        </w:tc>
        <w:tc>
          <w:tcPr>
            <w:tcW w:w="4675" w:type="dxa"/>
          </w:tcPr>
          <w:p w:rsidRPr="002E7DF2" w:rsidR="002E7DF2" w:rsidP="002E7DF2" w:rsidRDefault="002E7DF2" w14:paraId="326270E2" w14:textId="77777777">
            <w:pPr>
              <w:autoSpaceDE/>
              <w:autoSpaceDN/>
              <w:adjustRightInd/>
              <w:rPr>
                <w:rFonts w:eastAsiaTheme="minorHAnsi"/>
                <w:szCs w:val="22"/>
              </w:rPr>
            </w:pPr>
            <w:r w:rsidRPr="002E7DF2">
              <w:rPr>
                <w:rFonts w:eastAsiaTheme="minorHAnsi"/>
                <w:szCs w:val="22"/>
              </w:rPr>
              <w:t>Southern California Edison Company</w:t>
            </w:r>
          </w:p>
        </w:tc>
      </w:tr>
      <w:tr w:rsidRPr="002E7DF2" w:rsidR="00B26AC3" w:rsidTr="00E739BF" w14:paraId="5235E587" w14:textId="77777777">
        <w:tc>
          <w:tcPr>
            <w:tcW w:w="4675" w:type="dxa"/>
          </w:tcPr>
          <w:p w:rsidRPr="002E7DF2" w:rsidR="00B26AC3" w:rsidP="002E7DF2" w:rsidRDefault="00B26AC3" w14:paraId="0BCECB74" w14:textId="1468B1BD">
            <w:pPr>
              <w:rPr>
                <w:b/>
                <w:bCs/>
              </w:rPr>
            </w:pPr>
            <w:r>
              <w:rPr>
                <w:b/>
                <w:bCs/>
              </w:rPr>
              <w:t>Southern Companies</w:t>
            </w:r>
          </w:p>
        </w:tc>
        <w:tc>
          <w:tcPr>
            <w:tcW w:w="4675" w:type="dxa"/>
          </w:tcPr>
          <w:p w:rsidRPr="002E7DF2" w:rsidR="00B26AC3" w:rsidP="002E7DF2" w:rsidRDefault="00DE1391" w14:paraId="175FD332" w14:textId="0D2B3DE7">
            <w:r>
              <w:t>Southern Company Services, Inc.</w:t>
            </w:r>
          </w:p>
        </w:tc>
      </w:tr>
      <w:tr w:rsidRPr="002E7DF2" w:rsidR="002E7DF2" w:rsidTr="00E739BF" w14:paraId="4CD6183F" w14:textId="77777777">
        <w:tc>
          <w:tcPr>
            <w:tcW w:w="4675" w:type="dxa"/>
          </w:tcPr>
          <w:p w:rsidRPr="002E7DF2" w:rsidR="002E7DF2" w:rsidP="002E7DF2" w:rsidRDefault="002E7DF2" w14:paraId="353F2661" w14:textId="77777777">
            <w:pPr>
              <w:autoSpaceDE/>
              <w:autoSpaceDN/>
              <w:adjustRightInd/>
              <w:rPr>
                <w:rFonts w:eastAsiaTheme="minorHAnsi"/>
                <w:b/>
                <w:szCs w:val="22"/>
              </w:rPr>
            </w:pPr>
            <w:r w:rsidRPr="002E7DF2">
              <w:rPr>
                <w:rFonts w:eastAsiaTheme="minorHAnsi"/>
                <w:b/>
                <w:bCs/>
                <w:szCs w:val="22"/>
              </w:rPr>
              <w:t>SPP</w:t>
            </w:r>
          </w:p>
        </w:tc>
        <w:tc>
          <w:tcPr>
            <w:tcW w:w="4675" w:type="dxa"/>
          </w:tcPr>
          <w:p w:rsidRPr="002E7DF2" w:rsidR="002E7DF2" w:rsidP="002E7DF2" w:rsidRDefault="002E7DF2" w14:paraId="52B03460" w14:textId="77777777">
            <w:pPr>
              <w:autoSpaceDE/>
              <w:autoSpaceDN/>
              <w:adjustRightInd/>
              <w:rPr>
                <w:rFonts w:eastAsiaTheme="minorHAnsi"/>
                <w:szCs w:val="22"/>
              </w:rPr>
            </w:pPr>
            <w:r w:rsidRPr="002E7DF2">
              <w:rPr>
                <w:rFonts w:eastAsiaTheme="minorHAnsi"/>
                <w:szCs w:val="22"/>
              </w:rPr>
              <w:t>Southwest Power Pool, Inc.</w:t>
            </w:r>
          </w:p>
        </w:tc>
      </w:tr>
      <w:tr w:rsidRPr="002E7DF2" w:rsidR="002E7DF2" w:rsidTr="00E739BF" w14:paraId="36107043" w14:textId="77777777">
        <w:tc>
          <w:tcPr>
            <w:tcW w:w="4675" w:type="dxa"/>
          </w:tcPr>
          <w:p w:rsidRPr="002E7DF2" w:rsidR="002E7DF2" w:rsidP="002E7DF2" w:rsidRDefault="002E7DF2" w14:paraId="4C6D0CC4" w14:textId="65241198">
            <w:pPr>
              <w:autoSpaceDE/>
              <w:autoSpaceDN/>
              <w:adjustRightInd/>
              <w:rPr>
                <w:rFonts w:eastAsiaTheme="minorHAnsi"/>
                <w:b/>
                <w:bCs/>
                <w:szCs w:val="22"/>
              </w:rPr>
            </w:pPr>
            <w:r w:rsidRPr="002E7DF2">
              <w:rPr>
                <w:rFonts w:eastAsiaTheme="minorHAnsi"/>
                <w:b/>
                <w:bCs/>
                <w:szCs w:val="22"/>
              </w:rPr>
              <w:t>Starwood Energy</w:t>
            </w:r>
          </w:p>
        </w:tc>
        <w:tc>
          <w:tcPr>
            <w:tcW w:w="4675" w:type="dxa"/>
          </w:tcPr>
          <w:p w:rsidRPr="002E7DF2" w:rsidR="002E7DF2" w:rsidP="002E7DF2" w:rsidRDefault="002E7DF2" w14:paraId="0E8F99EA" w14:textId="77777777">
            <w:pPr>
              <w:autoSpaceDE/>
              <w:autoSpaceDN/>
              <w:adjustRightInd/>
              <w:rPr>
                <w:rFonts w:eastAsiaTheme="minorHAnsi"/>
                <w:szCs w:val="22"/>
              </w:rPr>
            </w:pPr>
            <w:r w:rsidRPr="002E7DF2">
              <w:rPr>
                <w:rFonts w:eastAsiaTheme="minorHAnsi"/>
                <w:szCs w:val="22"/>
              </w:rPr>
              <w:t>Starwood Energy Group Global, L.L.C.</w:t>
            </w:r>
          </w:p>
        </w:tc>
      </w:tr>
      <w:tr w:rsidRPr="002E7DF2" w:rsidR="002E7DF2" w:rsidTr="00E739BF" w14:paraId="263B18AA" w14:textId="77777777">
        <w:tc>
          <w:tcPr>
            <w:tcW w:w="4675" w:type="dxa"/>
          </w:tcPr>
          <w:p w:rsidRPr="002E7DF2" w:rsidR="002E7DF2" w:rsidP="002E7DF2" w:rsidRDefault="002E7DF2" w14:paraId="2FAF9468" w14:textId="77777777">
            <w:pPr>
              <w:autoSpaceDE/>
              <w:autoSpaceDN/>
              <w:adjustRightInd/>
              <w:rPr>
                <w:rFonts w:eastAsiaTheme="minorHAnsi"/>
                <w:b/>
                <w:szCs w:val="22"/>
              </w:rPr>
            </w:pPr>
            <w:r w:rsidRPr="002E7DF2">
              <w:rPr>
                <w:rFonts w:eastAsiaTheme="minorHAnsi"/>
                <w:b/>
                <w:bCs/>
                <w:szCs w:val="22"/>
              </w:rPr>
              <w:t>Stem</w:t>
            </w:r>
          </w:p>
        </w:tc>
        <w:tc>
          <w:tcPr>
            <w:tcW w:w="4675" w:type="dxa"/>
          </w:tcPr>
          <w:p w:rsidRPr="002E7DF2" w:rsidR="002E7DF2" w:rsidP="002E7DF2" w:rsidRDefault="002E7DF2" w14:paraId="7DDD19FE" w14:textId="77777777">
            <w:pPr>
              <w:autoSpaceDE/>
              <w:autoSpaceDN/>
              <w:adjustRightInd/>
              <w:rPr>
                <w:rFonts w:eastAsiaTheme="minorHAnsi"/>
                <w:szCs w:val="22"/>
              </w:rPr>
            </w:pPr>
            <w:r w:rsidRPr="002E7DF2">
              <w:rPr>
                <w:rFonts w:eastAsiaTheme="minorHAnsi"/>
                <w:szCs w:val="22"/>
              </w:rPr>
              <w:t>Stem, Inc.</w:t>
            </w:r>
          </w:p>
        </w:tc>
      </w:tr>
      <w:tr w:rsidRPr="002E7DF2" w:rsidR="002E7DF2" w:rsidTr="00E739BF" w14:paraId="3230B450" w14:textId="77777777">
        <w:tc>
          <w:tcPr>
            <w:tcW w:w="4675" w:type="dxa"/>
          </w:tcPr>
          <w:p w:rsidRPr="002E7DF2" w:rsidR="002E7DF2" w:rsidP="002E7DF2" w:rsidRDefault="002E7DF2" w14:paraId="442E011B" w14:textId="77777777">
            <w:pPr>
              <w:autoSpaceDE/>
              <w:autoSpaceDN/>
              <w:adjustRightInd/>
              <w:rPr>
                <w:rFonts w:eastAsiaTheme="minorHAnsi"/>
                <w:b/>
                <w:bCs/>
                <w:szCs w:val="22"/>
              </w:rPr>
            </w:pPr>
            <w:r w:rsidRPr="002E7DF2">
              <w:rPr>
                <w:rFonts w:eastAsiaTheme="minorHAnsi"/>
                <w:b/>
                <w:bCs/>
                <w:szCs w:val="22"/>
              </w:rPr>
              <w:t>Sunrun</w:t>
            </w:r>
          </w:p>
        </w:tc>
        <w:tc>
          <w:tcPr>
            <w:tcW w:w="4675" w:type="dxa"/>
          </w:tcPr>
          <w:p w:rsidRPr="002E7DF2" w:rsidR="002E7DF2" w:rsidP="002E7DF2" w:rsidRDefault="002E7DF2" w14:paraId="33ED505C" w14:textId="77777777">
            <w:pPr>
              <w:autoSpaceDE/>
              <w:autoSpaceDN/>
              <w:adjustRightInd/>
              <w:rPr>
                <w:rFonts w:eastAsiaTheme="minorHAnsi"/>
                <w:szCs w:val="22"/>
              </w:rPr>
            </w:pPr>
            <w:r w:rsidRPr="002E7DF2">
              <w:rPr>
                <w:rFonts w:eastAsiaTheme="minorHAnsi"/>
                <w:szCs w:val="22"/>
              </w:rPr>
              <w:t>Sunrun Inc.</w:t>
            </w:r>
          </w:p>
        </w:tc>
      </w:tr>
      <w:tr w:rsidRPr="002E7DF2" w:rsidR="002E7DF2" w:rsidTr="00E739BF" w14:paraId="6F9276BF" w14:textId="77777777">
        <w:tc>
          <w:tcPr>
            <w:tcW w:w="4675" w:type="dxa"/>
          </w:tcPr>
          <w:p w:rsidRPr="002E7DF2" w:rsidR="002E7DF2" w:rsidP="002E7DF2" w:rsidRDefault="002E7DF2" w14:paraId="11822134" w14:textId="77777777">
            <w:pPr>
              <w:autoSpaceDE/>
              <w:autoSpaceDN/>
              <w:adjustRightInd/>
              <w:rPr>
                <w:rFonts w:eastAsiaTheme="minorHAnsi"/>
                <w:b/>
                <w:bCs/>
                <w:szCs w:val="22"/>
              </w:rPr>
            </w:pPr>
            <w:r w:rsidRPr="002E7DF2">
              <w:rPr>
                <w:rFonts w:eastAsiaTheme="minorHAnsi"/>
                <w:b/>
                <w:bCs/>
                <w:szCs w:val="22"/>
              </w:rPr>
              <w:t>TAPS</w:t>
            </w:r>
          </w:p>
        </w:tc>
        <w:tc>
          <w:tcPr>
            <w:tcW w:w="4675" w:type="dxa"/>
          </w:tcPr>
          <w:p w:rsidRPr="002E7DF2" w:rsidR="002E7DF2" w:rsidP="002E7DF2" w:rsidRDefault="002E7DF2" w14:paraId="48408DF3" w14:textId="77777777">
            <w:pPr>
              <w:autoSpaceDE/>
              <w:autoSpaceDN/>
              <w:adjustRightInd/>
              <w:rPr>
                <w:rFonts w:eastAsiaTheme="minorHAnsi"/>
                <w:szCs w:val="22"/>
              </w:rPr>
            </w:pPr>
            <w:r w:rsidRPr="002E7DF2">
              <w:rPr>
                <w:rFonts w:eastAsiaTheme="minorHAnsi"/>
                <w:szCs w:val="22"/>
              </w:rPr>
              <w:t>Transmission Access Policy Study Group</w:t>
            </w:r>
          </w:p>
        </w:tc>
      </w:tr>
      <w:tr w:rsidRPr="002E7DF2" w:rsidR="002E7DF2" w:rsidTr="00E739BF" w14:paraId="652F5BD2" w14:textId="77777777">
        <w:tc>
          <w:tcPr>
            <w:tcW w:w="4675" w:type="dxa"/>
          </w:tcPr>
          <w:p w:rsidRPr="002E7DF2" w:rsidR="002E7DF2" w:rsidP="002E7DF2" w:rsidRDefault="002E7DF2" w14:paraId="60E26490" w14:textId="098D2AC2">
            <w:pPr>
              <w:autoSpaceDE/>
              <w:autoSpaceDN/>
              <w:adjustRightInd/>
              <w:rPr>
                <w:rFonts w:eastAsiaTheme="minorHAnsi"/>
                <w:b/>
                <w:bCs/>
                <w:szCs w:val="22"/>
              </w:rPr>
            </w:pPr>
            <w:r w:rsidRPr="002E7DF2">
              <w:rPr>
                <w:rFonts w:eastAsiaTheme="minorHAnsi"/>
                <w:b/>
                <w:bCs/>
                <w:szCs w:val="22"/>
              </w:rPr>
              <w:t>TechNet</w:t>
            </w:r>
          </w:p>
        </w:tc>
        <w:tc>
          <w:tcPr>
            <w:tcW w:w="4675" w:type="dxa"/>
          </w:tcPr>
          <w:p w:rsidRPr="002E7DF2" w:rsidR="002E7DF2" w:rsidP="002E7DF2" w:rsidRDefault="002E7DF2" w14:paraId="6838C6CC" w14:textId="77777777">
            <w:pPr>
              <w:autoSpaceDE/>
              <w:autoSpaceDN/>
              <w:adjustRightInd/>
              <w:rPr>
                <w:rFonts w:eastAsiaTheme="minorHAnsi"/>
                <w:szCs w:val="22"/>
              </w:rPr>
            </w:pPr>
            <w:r w:rsidRPr="002E7DF2">
              <w:rPr>
                <w:rFonts w:eastAsiaTheme="minorHAnsi"/>
                <w:szCs w:val="22"/>
              </w:rPr>
              <w:t>TechNet</w:t>
            </w:r>
          </w:p>
        </w:tc>
      </w:tr>
      <w:tr w:rsidRPr="002E7DF2" w:rsidR="002E7DF2" w:rsidTr="00E739BF" w14:paraId="281CAA6B" w14:textId="77777777">
        <w:tc>
          <w:tcPr>
            <w:tcW w:w="4675" w:type="dxa"/>
          </w:tcPr>
          <w:p w:rsidRPr="002E7DF2" w:rsidR="002E7DF2" w:rsidP="002E7DF2" w:rsidRDefault="002E7DF2" w14:paraId="64E26DB7" w14:textId="77777777">
            <w:pPr>
              <w:autoSpaceDE/>
              <w:autoSpaceDN/>
              <w:adjustRightInd/>
              <w:rPr>
                <w:rFonts w:eastAsiaTheme="minorHAnsi"/>
                <w:b/>
                <w:bCs/>
                <w:szCs w:val="22"/>
              </w:rPr>
            </w:pPr>
            <w:r w:rsidRPr="002E7DF2">
              <w:rPr>
                <w:rFonts w:eastAsiaTheme="minorHAnsi"/>
                <w:b/>
                <w:bCs/>
                <w:szCs w:val="22"/>
              </w:rPr>
              <w:t>TeMix</w:t>
            </w:r>
          </w:p>
        </w:tc>
        <w:tc>
          <w:tcPr>
            <w:tcW w:w="4675" w:type="dxa"/>
          </w:tcPr>
          <w:p w:rsidRPr="002E7DF2" w:rsidR="002E7DF2" w:rsidP="002E7DF2" w:rsidRDefault="002E7DF2" w14:paraId="5D97EAEF" w14:textId="77777777">
            <w:pPr>
              <w:autoSpaceDE/>
              <w:autoSpaceDN/>
              <w:adjustRightInd/>
              <w:rPr>
                <w:rFonts w:eastAsiaTheme="minorHAnsi"/>
                <w:szCs w:val="22"/>
              </w:rPr>
            </w:pPr>
            <w:r w:rsidRPr="002E7DF2">
              <w:rPr>
                <w:rFonts w:eastAsiaTheme="minorHAnsi"/>
                <w:szCs w:val="22"/>
              </w:rPr>
              <w:t>TeMix Inc.</w:t>
            </w:r>
          </w:p>
        </w:tc>
      </w:tr>
      <w:tr w:rsidRPr="002E7DF2" w:rsidR="002E7DF2" w:rsidTr="00E739BF" w14:paraId="6ACE04E9" w14:textId="77777777">
        <w:tc>
          <w:tcPr>
            <w:tcW w:w="4675" w:type="dxa"/>
          </w:tcPr>
          <w:p w:rsidRPr="002E7DF2" w:rsidR="002E7DF2" w:rsidP="002E7DF2" w:rsidRDefault="002E7DF2" w14:paraId="6EC28B4F" w14:textId="77777777">
            <w:pPr>
              <w:autoSpaceDE/>
              <w:autoSpaceDN/>
              <w:adjustRightInd/>
              <w:rPr>
                <w:rFonts w:eastAsiaTheme="minorHAnsi"/>
                <w:b/>
                <w:bCs/>
                <w:szCs w:val="22"/>
              </w:rPr>
            </w:pPr>
            <w:r w:rsidRPr="002E7DF2">
              <w:rPr>
                <w:rFonts w:eastAsiaTheme="minorHAnsi"/>
                <w:b/>
                <w:bCs/>
                <w:szCs w:val="22"/>
              </w:rPr>
              <w:t>Tesla</w:t>
            </w:r>
          </w:p>
        </w:tc>
        <w:tc>
          <w:tcPr>
            <w:tcW w:w="4675" w:type="dxa"/>
          </w:tcPr>
          <w:p w:rsidRPr="002E7DF2" w:rsidR="002E7DF2" w:rsidP="002E7DF2" w:rsidRDefault="002E7DF2" w14:paraId="386737A2" w14:textId="77777777">
            <w:pPr>
              <w:autoSpaceDE/>
              <w:autoSpaceDN/>
              <w:adjustRightInd/>
              <w:rPr>
                <w:rFonts w:eastAsiaTheme="minorHAnsi"/>
                <w:szCs w:val="22"/>
              </w:rPr>
            </w:pPr>
            <w:r w:rsidRPr="002E7DF2">
              <w:rPr>
                <w:rFonts w:eastAsiaTheme="minorHAnsi"/>
                <w:szCs w:val="22"/>
              </w:rPr>
              <w:t>Tesla, Inc.</w:t>
            </w:r>
          </w:p>
        </w:tc>
      </w:tr>
      <w:tr w:rsidRPr="002E7DF2" w:rsidR="002E7DF2" w:rsidTr="00E739BF" w14:paraId="261F903C" w14:textId="77777777">
        <w:tc>
          <w:tcPr>
            <w:tcW w:w="4675" w:type="dxa"/>
          </w:tcPr>
          <w:p w:rsidRPr="002E7DF2" w:rsidR="002E7DF2" w:rsidP="002E7DF2" w:rsidRDefault="002E7DF2" w14:paraId="7C9F4E49" w14:textId="77777777">
            <w:pPr>
              <w:autoSpaceDE/>
              <w:autoSpaceDN/>
              <w:adjustRightInd/>
              <w:rPr>
                <w:rFonts w:eastAsiaTheme="minorHAnsi"/>
                <w:b/>
                <w:bCs/>
                <w:szCs w:val="22"/>
              </w:rPr>
            </w:pPr>
            <w:r w:rsidRPr="002E7DF2">
              <w:rPr>
                <w:rFonts w:eastAsiaTheme="minorHAnsi"/>
                <w:b/>
                <w:bCs/>
                <w:szCs w:val="22"/>
              </w:rPr>
              <w:t>Tesla/SolarCity</w:t>
            </w:r>
          </w:p>
        </w:tc>
        <w:tc>
          <w:tcPr>
            <w:tcW w:w="4675" w:type="dxa"/>
          </w:tcPr>
          <w:p w:rsidRPr="002E7DF2" w:rsidR="002E7DF2" w:rsidP="002E7DF2" w:rsidRDefault="002E7DF2" w14:paraId="068B393D" w14:textId="77777777">
            <w:pPr>
              <w:autoSpaceDE/>
              <w:autoSpaceDN/>
              <w:adjustRightInd/>
              <w:rPr>
                <w:rFonts w:eastAsiaTheme="minorHAnsi"/>
                <w:szCs w:val="22"/>
              </w:rPr>
            </w:pPr>
            <w:r w:rsidRPr="002E7DF2">
              <w:rPr>
                <w:rFonts w:eastAsiaTheme="minorHAnsi"/>
                <w:szCs w:val="22"/>
              </w:rPr>
              <w:t>Tesla, Inc. and SolarCity Corporation</w:t>
            </w:r>
          </w:p>
        </w:tc>
      </w:tr>
      <w:tr w:rsidRPr="002E7DF2" w:rsidR="002E7DF2" w:rsidTr="00E739BF" w14:paraId="67525C84" w14:textId="77777777">
        <w:tc>
          <w:tcPr>
            <w:tcW w:w="4675" w:type="dxa"/>
          </w:tcPr>
          <w:p w:rsidRPr="002E7DF2" w:rsidR="002E7DF2" w:rsidP="002E7DF2" w:rsidRDefault="002E7DF2" w14:paraId="23ED14AE" w14:textId="72B171C3">
            <w:pPr>
              <w:autoSpaceDE/>
              <w:autoSpaceDN/>
              <w:adjustRightInd/>
              <w:rPr>
                <w:rFonts w:eastAsiaTheme="minorHAnsi"/>
                <w:b/>
                <w:bCs/>
                <w:szCs w:val="22"/>
              </w:rPr>
            </w:pPr>
            <w:r w:rsidRPr="002E7DF2">
              <w:rPr>
                <w:rFonts w:eastAsiaTheme="minorHAnsi"/>
                <w:b/>
                <w:bCs/>
                <w:szCs w:val="22"/>
              </w:rPr>
              <w:t>Trans Bay</w:t>
            </w:r>
          </w:p>
        </w:tc>
        <w:tc>
          <w:tcPr>
            <w:tcW w:w="4675" w:type="dxa"/>
          </w:tcPr>
          <w:p w:rsidRPr="002E7DF2" w:rsidR="002E7DF2" w:rsidP="002E7DF2" w:rsidRDefault="002E7DF2" w14:paraId="593F2A9B" w14:textId="77777777">
            <w:pPr>
              <w:autoSpaceDE/>
              <w:autoSpaceDN/>
              <w:adjustRightInd/>
              <w:rPr>
                <w:rFonts w:eastAsiaTheme="minorHAnsi"/>
                <w:szCs w:val="22"/>
              </w:rPr>
            </w:pPr>
            <w:r w:rsidRPr="002E7DF2">
              <w:rPr>
                <w:rFonts w:eastAsiaTheme="minorHAnsi"/>
                <w:szCs w:val="22"/>
              </w:rPr>
              <w:t>Trans Bay Cable LLC</w:t>
            </w:r>
          </w:p>
        </w:tc>
      </w:tr>
      <w:tr w:rsidRPr="002E7DF2" w:rsidR="002E7DF2" w:rsidTr="00E739BF" w14:paraId="0FBF3B95" w14:textId="77777777">
        <w:tc>
          <w:tcPr>
            <w:tcW w:w="4675" w:type="dxa"/>
          </w:tcPr>
          <w:p w:rsidRPr="002E7DF2" w:rsidR="002E7DF2" w:rsidP="002E7DF2" w:rsidRDefault="002E7DF2" w14:paraId="5DB4167B" w14:textId="77777777">
            <w:pPr>
              <w:autoSpaceDE/>
              <w:autoSpaceDN/>
              <w:adjustRightInd/>
              <w:rPr>
                <w:rFonts w:eastAsiaTheme="minorHAnsi"/>
                <w:b/>
                <w:bCs/>
                <w:szCs w:val="22"/>
              </w:rPr>
            </w:pPr>
            <w:r w:rsidRPr="002E7DF2">
              <w:rPr>
                <w:rFonts w:eastAsiaTheme="minorHAnsi"/>
                <w:b/>
                <w:bCs/>
                <w:szCs w:val="22"/>
              </w:rPr>
              <w:t>Union of Concerned Scientists</w:t>
            </w:r>
          </w:p>
        </w:tc>
        <w:tc>
          <w:tcPr>
            <w:tcW w:w="4675" w:type="dxa"/>
          </w:tcPr>
          <w:p w:rsidRPr="002E7DF2" w:rsidR="002E7DF2" w:rsidP="002E7DF2" w:rsidRDefault="002E7DF2" w14:paraId="60CF676A" w14:textId="77777777">
            <w:pPr>
              <w:autoSpaceDE/>
              <w:autoSpaceDN/>
              <w:adjustRightInd/>
              <w:rPr>
                <w:rFonts w:eastAsiaTheme="minorHAnsi"/>
                <w:szCs w:val="22"/>
              </w:rPr>
            </w:pPr>
            <w:r w:rsidRPr="002E7DF2">
              <w:rPr>
                <w:rFonts w:eastAsiaTheme="minorHAnsi"/>
                <w:szCs w:val="22"/>
              </w:rPr>
              <w:t>Union of Concerned Scientists</w:t>
            </w:r>
          </w:p>
        </w:tc>
      </w:tr>
      <w:tr w:rsidRPr="002E7DF2" w:rsidR="002E7DF2" w:rsidTr="00E739BF" w14:paraId="107E1F17" w14:textId="77777777">
        <w:tc>
          <w:tcPr>
            <w:tcW w:w="4675" w:type="dxa"/>
          </w:tcPr>
          <w:p w:rsidRPr="002E7DF2" w:rsidR="002E7DF2" w:rsidP="002E7DF2" w:rsidRDefault="002E7DF2" w14:paraId="365D7016" w14:textId="5D75CBF6">
            <w:pPr>
              <w:autoSpaceDE/>
              <w:autoSpaceDN/>
              <w:adjustRightInd/>
              <w:rPr>
                <w:rFonts w:eastAsiaTheme="minorHAnsi"/>
                <w:b/>
                <w:bCs/>
                <w:szCs w:val="22"/>
              </w:rPr>
            </w:pPr>
            <w:r w:rsidRPr="002E7DF2">
              <w:rPr>
                <w:rFonts w:eastAsiaTheme="minorHAnsi"/>
                <w:b/>
                <w:bCs/>
                <w:szCs w:val="22"/>
              </w:rPr>
              <w:t>University of Delaware’s EV R&amp;D Group</w:t>
            </w:r>
          </w:p>
        </w:tc>
        <w:tc>
          <w:tcPr>
            <w:tcW w:w="4675" w:type="dxa"/>
          </w:tcPr>
          <w:p w:rsidRPr="002E7DF2" w:rsidR="002E7DF2" w:rsidP="002E7DF2" w:rsidRDefault="002E7DF2" w14:paraId="39A1D53C" w14:textId="77777777">
            <w:pPr>
              <w:autoSpaceDE/>
              <w:autoSpaceDN/>
              <w:adjustRightInd/>
              <w:rPr>
                <w:rFonts w:eastAsiaTheme="minorHAnsi"/>
                <w:szCs w:val="22"/>
              </w:rPr>
            </w:pPr>
            <w:r w:rsidRPr="002E7DF2">
              <w:rPr>
                <w:rFonts w:eastAsiaTheme="minorHAnsi"/>
                <w:szCs w:val="22"/>
              </w:rPr>
              <w:t>EV R&amp;D Group, University of Delaware</w:t>
            </w:r>
          </w:p>
        </w:tc>
      </w:tr>
      <w:tr w:rsidRPr="002E7DF2" w:rsidR="009B4208" w:rsidTr="00E739BF" w14:paraId="2E394746" w14:textId="77777777">
        <w:tc>
          <w:tcPr>
            <w:tcW w:w="4675" w:type="dxa"/>
          </w:tcPr>
          <w:p w:rsidRPr="009B4208" w:rsidR="009B4208" w:rsidP="002E7DF2" w:rsidRDefault="009B4208" w14:paraId="04DCF575" w14:textId="585273C6">
            <w:pPr>
              <w:rPr>
                <w:b/>
                <w:bCs/>
              </w:rPr>
            </w:pPr>
            <w:r w:rsidRPr="009B4208">
              <w:rPr>
                <w:b/>
                <w:bCs/>
                <w:lang w:eastAsia="ja-JP"/>
              </w:rPr>
              <w:t>UofD/Mensah</w:t>
            </w:r>
          </w:p>
        </w:tc>
        <w:tc>
          <w:tcPr>
            <w:tcW w:w="4675" w:type="dxa"/>
          </w:tcPr>
          <w:p w:rsidRPr="002E7DF2" w:rsidR="009B4208" w:rsidP="002E7DF2" w:rsidRDefault="009B4208" w14:paraId="2BC135CA" w14:textId="14ECBCAC">
            <w:r>
              <w:rPr>
                <w:lang w:eastAsia="ja-JP"/>
              </w:rPr>
              <w:t>EV R&amp;D Group, University of Delaware and AF Mensah Inc.</w:t>
            </w:r>
          </w:p>
        </w:tc>
      </w:tr>
      <w:tr w:rsidRPr="002E7DF2" w:rsidR="00FA3128" w:rsidTr="00E739BF" w14:paraId="783D3D3F" w14:textId="77777777">
        <w:tc>
          <w:tcPr>
            <w:tcW w:w="4675" w:type="dxa"/>
          </w:tcPr>
          <w:p w:rsidRPr="002E7DF2" w:rsidR="00FA3128" w:rsidP="002E7DF2" w:rsidRDefault="00FA3128" w14:paraId="79B7B61C" w14:textId="0100A8C1">
            <w:pPr>
              <w:rPr>
                <w:b/>
                <w:bCs/>
              </w:rPr>
            </w:pPr>
            <w:r>
              <w:rPr>
                <w:b/>
                <w:bCs/>
              </w:rPr>
              <w:t>Viking Cold Solutions</w:t>
            </w:r>
          </w:p>
        </w:tc>
        <w:tc>
          <w:tcPr>
            <w:tcW w:w="4675" w:type="dxa"/>
          </w:tcPr>
          <w:p w:rsidRPr="002E7DF2" w:rsidR="00FA3128" w:rsidP="002E7DF2" w:rsidRDefault="00986F91" w14:paraId="17D24211" w14:textId="2629860A">
            <w:r>
              <w:t>Viking Cold Solutions</w:t>
            </w:r>
          </w:p>
        </w:tc>
      </w:tr>
      <w:tr w:rsidRPr="002E7DF2" w:rsidR="002E7DF2" w:rsidTr="00E739BF" w14:paraId="5E8DAF99" w14:textId="77777777">
        <w:tc>
          <w:tcPr>
            <w:tcW w:w="4675" w:type="dxa"/>
          </w:tcPr>
          <w:p w:rsidRPr="002E7DF2" w:rsidR="002E7DF2" w:rsidP="002E7DF2" w:rsidRDefault="002E7DF2" w14:paraId="4722D1E0" w14:textId="77777777">
            <w:pPr>
              <w:autoSpaceDE/>
              <w:autoSpaceDN/>
              <w:adjustRightInd/>
              <w:rPr>
                <w:rFonts w:eastAsiaTheme="minorHAnsi"/>
                <w:b/>
                <w:bCs/>
                <w:szCs w:val="22"/>
              </w:rPr>
            </w:pPr>
            <w:r w:rsidRPr="002E7DF2">
              <w:rPr>
                <w:rFonts w:eastAsiaTheme="minorHAnsi"/>
                <w:b/>
                <w:bCs/>
                <w:szCs w:val="22"/>
              </w:rPr>
              <w:t>Xcel Energy Services</w:t>
            </w:r>
          </w:p>
        </w:tc>
        <w:tc>
          <w:tcPr>
            <w:tcW w:w="4675" w:type="dxa"/>
          </w:tcPr>
          <w:p w:rsidRPr="002E7DF2" w:rsidR="002E7DF2" w:rsidP="002E7DF2" w:rsidRDefault="002E7DF2" w14:paraId="1DDA6627" w14:textId="77777777">
            <w:pPr>
              <w:autoSpaceDE/>
              <w:autoSpaceDN/>
              <w:adjustRightInd/>
              <w:rPr>
                <w:rFonts w:eastAsiaTheme="minorHAnsi"/>
                <w:szCs w:val="22"/>
              </w:rPr>
            </w:pPr>
            <w:r w:rsidRPr="002E7DF2">
              <w:rPr>
                <w:rFonts w:eastAsiaTheme="minorHAnsi"/>
                <w:szCs w:val="22"/>
              </w:rPr>
              <w:t>Xcel Energy Services Inc.</w:t>
            </w:r>
          </w:p>
        </w:tc>
      </w:tr>
    </w:tbl>
    <w:p w:rsidRPr="002E7DF2" w:rsidR="002E7DF2" w:rsidP="002E7DF2" w:rsidRDefault="002E7DF2" w14:paraId="7C965AB8" w14:textId="77777777"/>
    <w:p w:rsidR="004511E0" w:rsidP="00FD3D3B" w:rsidRDefault="004511E0" w14:paraId="452D320C" w14:textId="77777777">
      <w:pPr>
        <w:sectPr w:rsidR="004511E0" w:rsidSect="00A054BC">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440" w:bottom="1440" w:left="1440" w:header="720" w:footer="720" w:gutter="0"/>
          <w:pgNumType w:fmt="numberInDash" w:start="1"/>
          <w:cols w:space="720"/>
          <w:titlePg/>
          <w:docGrid w:linePitch="360"/>
        </w:sectPr>
      </w:pPr>
    </w:p>
    <w:p w:rsidRPr="00CD0B38" w:rsidR="004511E0" w:rsidP="002D2AB9" w:rsidRDefault="004511E0" w14:paraId="54718BD9" w14:textId="77777777">
      <w:pPr>
        <w:jc w:val="center"/>
      </w:pPr>
      <w:r>
        <w:rPr>
          <w:b/>
        </w:rPr>
        <w:fldChar w:fldCharType="begin"/>
      </w:r>
      <w:r>
        <w:rPr>
          <w:b/>
        </w:rPr>
        <w:instrText xml:space="preserve"> MACROBUTTON  AcceptAllChangesInDoc </w:instrText>
      </w:r>
      <w:r>
        <w:rPr>
          <w:b/>
        </w:rPr>
        <w:fldChar w:fldCharType="end"/>
      </w:r>
      <w:r w:rsidRPr="00CD0B38">
        <w:t>UNITED STATES OF AMERICA</w:t>
      </w:r>
    </w:p>
    <w:p w:rsidRPr="00CD0B38" w:rsidR="004511E0" w:rsidP="002D2AB9" w:rsidRDefault="004511E0" w14:paraId="230EDC06" w14:textId="77777777">
      <w:pPr>
        <w:jc w:val="center"/>
      </w:pPr>
      <w:r w:rsidRPr="00CD0B38">
        <w:t>FEDERAL ENERGY REGULATORY COMMISSION</w:t>
      </w:r>
    </w:p>
    <w:p w:rsidRPr="00CD0B38" w:rsidR="004511E0" w:rsidP="00C22D8B" w:rsidRDefault="004511E0" w14:paraId="0C1BA40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3"/>
        <w:gridCol w:w="1533"/>
        <w:gridCol w:w="1894"/>
      </w:tblGrid>
      <w:tr w:rsidRPr="00CD0B38" w:rsidR="004511E0" w:rsidTr="002D2AB9" w14:paraId="3F379435" w14:textId="77777777">
        <w:tc>
          <w:tcPr>
            <w:tcW w:w="6088" w:type="dxa"/>
            <w:shd w:val="clear" w:color="auto" w:fill="auto"/>
          </w:tcPr>
          <w:p w:rsidR="004511E0" w:rsidP="002D2AB9" w:rsidRDefault="004511E0" w14:paraId="1B6F7B54" w14:textId="77777777">
            <w:pPr>
              <w:widowControl/>
              <w:autoSpaceDE/>
              <w:autoSpaceDN/>
              <w:adjustRightInd/>
              <w:rPr>
                <w:rFonts w:eastAsiaTheme="minorHAnsi" w:cstheme="minorBidi"/>
                <w:szCs w:val="22"/>
              </w:rPr>
            </w:pPr>
            <w:r>
              <w:rPr>
                <w:rFonts w:eastAsiaTheme="minorHAnsi" w:cstheme="minorBidi"/>
                <w:szCs w:val="22"/>
              </w:rPr>
              <w:t>Participation of Distributed Energy Resource Aggregations in Markets Operated by Regional</w:t>
            </w:r>
          </w:p>
          <w:p w:rsidR="004511E0" w:rsidP="002D2AB9" w:rsidRDefault="004511E0" w14:paraId="1EDB0B80" w14:textId="77777777">
            <w:pPr>
              <w:widowControl/>
              <w:autoSpaceDE/>
              <w:autoSpaceDN/>
              <w:adjustRightInd/>
              <w:rPr>
                <w:rFonts w:eastAsiaTheme="minorHAnsi" w:cstheme="minorBidi"/>
                <w:szCs w:val="22"/>
              </w:rPr>
            </w:pPr>
            <w:r>
              <w:rPr>
                <w:rFonts w:eastAsiaTheme="minorHAnsi" w:cstheme="minorBidi"/>
                <w:szCs w:val="22"/>
              </w:rPr>
              <w:t>Transmission Organizations and Independent System</w:t>
            </w:r>
          </w:p>
          <w:p w:rsidRPr="00CD0B38" w:rsidR="004511E0" w:rsidP="002D2AB9" w:rsidRDefault="004511E0" w14:paraId="5454FA00" w14:textId="77777777">
            <w:pPr>
              <w:widowControl/>
              <w:autoSpaceDE/>
              <w:autoSpaceDN/>
              <w:adjustRightInd/>
              <w:rPr>
                <w:rFonts w:eastAsiaTheme="minorHAnsi" w:cstheme="minorBidi"/>
                <w:szCs w:val="22"/>
              </w:rPr>
            </w:pPr>
            <w:r>
              <w:rPr>
                <w:rFonts w:eastAsiaTheme="minorHAnsi" w:cstheme="minorBidi"/>
                <w:szCs w:val="22"/>
              </w:rPr>
              <w:t>Operators</w:t>
            </w:r>
          </w:p>
        </w:tc>
        <w:tc>
          <w:tcPr>
            <w:tcW w:w="1560" w:type="dxa"/>
            <w:shd w:val="clear" w:color="auto" w:fill="auto"/>
          </w:tcPr>
          <w:p w:rsidRPr="00CD0B38" w:rsidR="004511E0" w:rsidP="002D2AB9" w:rsidRDefault="004511E0" w14:paraId="5B07BD4C" w14:textId="77777777">
            <w:pPr>
              <w:widowControl/>
              <w:autoSpaceDE/>
              <w:autoSpaceDN/>
              <w:adjustRightInd/>
              <w:rPr>
                <w:rFonts w:eastAsiaTheme="minorHAnsi" w:cstheme="minorBidi"/>
                <w:szCs w:val="22"/>
              </w:rPr>
            </w:pPr>
            <w:r>
              <w:rPr>
                <w:rFonts w:eastAsiaTheme="minorHAnsi" w:cstheme="minorBidi"/>
                <w:szCs w:val="22"/>
              </w:rPr>
              <w:t xml:space="preserve"> Docket No.</w:t>
            </w:r>
          </w:p>
        </w:tc>
        <w:tc>
          <w:tcPr>
            <w:tcW w:w="1928" w:type="dxa"/>
            <w:shd w:val="clear" w:color="auto" w:fill="auto"/>
            <w:tcMar>
              <w:left w:w="144" w:type="dxa"/>
            </w:tcMar>
          </w:tcPr>
          <w:p w:rsidRPr="00CD0B38" w:rsidR="004511E0" w:rsidP="002D2AB9" w:rsidRDefault="004511E0" w14:paraId="52F5EAA5" w14:textId="77777777">
            <w:pPr>
              <w:widowControl/>
              <w:autoSpaceDE/>
              <w:autoSpaceDN/>
              <w:adjustRightInd/>
              <w:rPr>
                <w:rFonts w:eastAsiaTheme="minorHAnsi" w:cstheme="minorBidi"/>
                <w:szCs w:val="22"/>
              </w:rPr>
            </w:pPr>
            <w:r>
              <w:rPr>
                <w:rFonts w:eastAsiaTheme="minorHAnsi" w:cstheme="minorBidi"/>
                <w:szCs w:val="22"/>
              </w:rPr>
              <w:t>RM18-9-000</w:t>
            </w:r>
          </w:p>
        </w:tc>
      </w:tr>
    </w:tbl>
    <w:p w:rsidRPr="00CD0B38" w:rsidR="004511E0" w:rsidP="002D2AB9" w:rsidRDefault="004511E0" w14:paraId="523D8E0B" w14:textId="77777777"/>
    <w:p w:rsidRPr="00CD0B38" w:rsidR="004511E0" w:rsidP="00C22D8B" w:rsidRDefault="004511E0" w14:paraId="1E7F1F34" w14:textId="77777777">
      <w:pPr>
        <w:jc w:val="center"/>
      </w:pPr>
    </w:p>
    <w:p w:rsidRPr="00C26B1C" w:rsidR="004511E0" w:rsidP="00C26B1C" w:rsidRDefault="004511E0" w14:paraId="0DDCD440" w14:textId="77777777">
      <w:pPr>
        <w:jc w:val="center"/>
      </w:pPr>
      <w:r w:rsidRPr="00CD0B38">
        <w:t>(</w:t>
      </w:r>
      <w:r>
        <w:t xml:space="preserve">Issued </w:t>
      </w:r>
      <w:r w:rsidRPr="00CD0B38">
        <w:fldChar w:fldCharType="begin"/>
      </w:r>
      <w:r w:rsidRPr="00CD0B38">
        <w:instrText xml:space="preserve"> MACROBUTTON  AcceptAllChangesInDoc </w:instrText>
      </w:r>
      <w:r w:rsidRPr="00CD0B38">
        <w:fldChar w:fldCharType="end"/>
      </w:r>
      <w:r>
        <w:t>September 17, 2020</w:t>
      </w:r>
      <w:r w:rsidRPr="00CD0B38">
        <w:t>)</w:t>
      </w:r>
    </w:p>
    <w:p w:rsidR="004511E0" w:rsidP="00C22D8B" w:rsidRDefault="004511E0" w14:paraId="6BC7643A" w14:textId="77777777">
      <w:pPr>
        <w:rPr>
          <w:bCs/>
        </w:rPr>
      </w:pPr>
    </w:p>
    <w:p w:rsidR="004511E0" w:rsidP="00C22D8B" w:rsidRDefault="004511E0" w14:paraId="5B5D0220" w14:textId="77777777">
      <w:pPr>
        <w:rPr>
          <w:bCs/>
        </w:rPr>
      </w:pPr>
      <w:bookmarkStart w:name="Commissioner" w:id="380"/>
      <w:bookmarkEnd w:id="380"/>
      <w:r>
        <w:rPr>
          <w:bCs/>
        </w:rPr>
        <w:t xml:space="preserve">DANLY, Commissioner, </w:t>
      </w:r>
      <w:r>
        <w:rPr>
          <w:bCs/>
          <w:i/>
        </w:rPr>
        <w:t>dissenting</w:t>
      </w:r>
      <w:r>
        <w:rPr>
          <w:bCs/>
        </w:rPr>
        <w:t xml:space="preserve">: </w:t>
      </w:r>
      <w:bookmarkStart w:name="Action1" w:id="381"/>
      <w:bookmarkEnd w:id="381"/>
    </w:p>
    <w:p w:rsidRPr="00C26B1C" w:rsidR="004511E0" w:rsidP="00C22D8B" w:rsidRDefault="004511E0" w14:paraId="1A27659C" w14:textId="77777777">
      <w:pPr>
        <w:rPr>
          <w:bCs/>
        </w:rPr>
      </w:pPr>
    </w:p>
    <w:p w:rsidRPr="00A91C08" w:rsidR="004511E0" w:rsidP="004511E0" w:rsidRDefault="004511E0" w14:paraId="7471DF4B" w14:textId="77777777">
      <w:pPr>
        <w:pStyle w:val="FERCparanumber"/>
        <w:spacing w:after="240" w:line="240" w:lineRule="auto"/>
      </w:pPr>
      <w:r w:rsidRPr="004511E0">
        <w:rPr>
          <w:bCs/>
        </w:rPr>
        <w:t>The Commission today approves a rule requiring Regional Transmission Organizations (RTO) and Independent System Operators (ISO) to revise their tariffs to accommodate distributed energy resource (DER) aggregators.  I dissent because, regardless of the benefits promised by DERs, the Commission goes too far in declaring the extent of its own jurisdiction and because the Commission should not encourage resource development by fiat.</w:t>
      </w:r>
    </w:p>
    <w:p w:rsidRPr="00A91C08" w:rsidR="004511E0" w:rsidP="004511E0" w:rsidRDefault="004511E0" w14:paraId="4F904757" w14:textId="77777777">
      <w:pPr>
        <w:pStyle w:val="FERCparanumber"/>
        <w:spacing w:after="240" w:line="240" w:lineRule="auto"/>
      </w:pPr>
      <w:r w:rsidRPr="00A91C08">
        <w:rPr>
          <w:bCs/>
        </w:rPr>
        <w:t xml:space="preserve">The Federal Power Act (FPA) delineates the respective roles of the Commission and the States, assigning powers in accordance with </w:t>
      </w:r>
      <w:r>
        <w:rPr>
          <w:bCs/>
        </w:rPr>
        <w:t>each</w:t>
      </w:r>
      <w:r w:rsidRPr="00A91C08">
        <w:rPr>
          <w:bCs/>
        </w:rPr>
        <w:t xml:space="preserve"> sovereigns’ core interests.</w:t>
      </w:r>
      <w:r>
        <w:rPr>
          <w:rStyle w:val="FootnoteReference"/>
          <w:bCs/>
        </w:rPr>
        <w:footnoteReference w:id="854"/>
      </w:r>
      <w:r w:rsidRPr="00A91C08">
        <w:rPr>
          <w:bCs/>
        </w:rPr>
        <w:t xml:space="preserve">  The federal government </w:t>
      </w:r>
      <w:r>
        <w:rPr>
          <w:bCs/>
        </w:rPr>
        <w:t xml:space="preserve">is tasked with </w:t>
      </w:r>
      <w:r w:rsidRPr="00A91C08">
        <w:rPr>
          <w:bCs/>
        </w:rPr>
        <w:t>ensur</w:t>
      </w:r>
      <w:r>
        <w:rPr>
          <w:bCs/>
        </w:rPr>
        <w:t>ing</w:t>
      </w:r>
      <w:r w:rsidRPr="00A91C08">
        <w:rPr>
          <w:bCs/>
        </w:rPr>
        <w:t xml:space="preserve"> just and reasonable wholesale rates, </w:t>
      </w:r>
      <w:r>
        <w:rPr>
          <w:bCs/>
        </w:rPr>
        <w:t xml:space="preserve">prohibiting </w:t>
      </w:r>
      <w:r w:rsidRPr="00A91C08">
        <w:rPr>
          <w:bCs/>
        </w:rPr>
        <w:t xml:space="preserve">state action that would either encumber interstate commerce or harm other states.  The States retain authority over the most local of concerns: choice of generation, siting of transmission lines, and the entirety of retail sales and distribution.  Each </w:t>
      </w:r>
      <w:r>
        <w:rPr>
          <w:bCs/>
        </w:rPr>
        <w:t xml:space="preserve">sovereign </w:t>
      </w:r>
      <w:r w:rsidRPr="00A91C08">
        <w:rPr>
          <w:bCs/>
        </w:rPr>
        <w:t>has a sphere of authority, and in each sphere, the relevant sovereign’s powers are</w:t>
      </w:r>
      <w:r>
        <w:rPr>
          <w:bCs/>
        </w:rPr>
        <w:t xml:space="preserve"> supreme</w:t>
      </w:r>
      <w:r w:rsidRPr="00A91C08">
        <w:rPr>
          <w:bCs/>
        </w:rPr>
        <w:t>.</w:t>
      </w:r>
    </w:p>
    <w:p w:rsidRPr="00A91C08" w:rsidR="004511E0" w:rsidP="004511E0" w:rsidRDefault="004511E0" w14:paraId="6D0DC1A0" w14:textId="77777777">
      <w:pPr>
        <w:pStyle w:val="FERCparanumber"/>
        <w:spacing w:after="240" w:line="240" w:lineRule="auto"/>
      </w:pPr>
      <w:r w:rsidRPr="00A91C08">
        <w:t>Respect for the States’ role in our federal system and under the FPA would coun</w:t>
      </w:r>
      <w:r>
        <w:t>sel</w:t>
      </w:r>
      <w:r w:rsidRPr="00A91C08">
        <w:t xml:space="preserve"> against </w:t>
      </w:r>
      <w:r>
        <w:t xml:space="preserve">even modest, </w:t>
      </w:r>
      <w:r w:rsidRPr="00A91C08">
        <w:t>non-essential declarations of our authority</w:t>
      </w:r>
      <w:r>
        <w:t>, if</w:t>
      </w:r>
      <w:r w:rsidRPr="00A91C08">
        <w:t xml:space="preserve"> </w:t>
      </w:r>
      <w:r>
        <w:t>done at the States’ expense.</w:t>
      </w:r>
      <w:r w:rsidRPr="00A91C08">
        <w:t xml:space="preserve">  Why, when issuing a directive to the RTO</w:t>
      </w:r>
      <w:r>
        <w:t>s and ISOs</w:t>
      </w:r>
      <w:r w:rsidRPr="00A91C08">
        <w:t xml:space="preserve"> (undoubtedly Commission-jurisdictional entities)</w:t>
      </w:r>
      <w:r>
        <w:t>,</w:t>
      </w:r>
      <w:r w:rsidRPr="00A91C08">
        <w:t xml:space="preserve"> must we </w:t>
      </w:r>
      <w:r>
        <w:t xml:space="preserve">also </w:t>
      </w:r>
      <w:r w:rsidRPr="00A91C08">
        <w:t>declare that “retail regulatory authorit[ies] cannot broadly prohibit the participation in RTO/ISO markets of all distributed energy resources or of all distributed energy resource aggregators”</w:t>
      </w:r>
      <w:r>
        <w:t>?</w:t>
      </w:r>
      <w:r>
        <w:rPr>
          <w:rStyle w:val="FootnoteReference"/>
        </w:rPr>
        <w:footnoteReference w:id="855"/>
      </w:r>
      <w:r w:rsidRPr="00A91C08">
        <w:t xml:space="preserve">  Perhaps the </w:t>
      </w:r>
      <w:r>
        <w:t xml:space="preserve">States </w:t>
      </w:r>
      <w:r w:rsidRPr="00A91C08">
        <w:t>should not or cannot</w:t>
      </w:r>
      <w:r>
        <w:t xml:space="preserve"> </w:t>
      </w:r>
      <w:r w:rsidRPr="00CC3A25">
        <w:t>prohibit such participation</w:t>
      </w:r>
      <w:r w:rsidRPr="00A91C08">
        <w:t>.</w:t>
      </w:r>
      <w:r>
        <w:rPr>
          <w:rStyle w:val="FootnoteReference"/>
        </w:rPr>
        <w:footnoteReference w:id="856"/>
      </w:r>
      <w:r w:rsidRPr="00A91C08">
        <w:t xml:space="preserve">  But </w:t>
      </w:r>
      <w:r w:rsidRPr="00CC3A25">
        <w:t xml:space="preserve">it is not for us to </w:t>
      </w:r>
      <w:r>
        <w:t xml:space="preserve">make </w:t>
      </w:r>
      <w:r w:rsidRPr="00CC3A25">
        <w:t xml:space="preserve">sweeping </w:t>
      </w:r>
      <w:r>
        <w:t xml:space="preserve">declarations regarding the States’ jurisdiction over distributed generation.  Rather, </w:t>
      </w:r>
      <w:r w:rsidRPr="00A91C08">
        <w:t xml:space="preserve">the Commission’s jurisdiction over wholesale rates would </w:t>
      </w:r>
      <w:r>
        <w:t>ideally</w:t>
      </w:r>
      <w:r w:rsidRPr="00A91C08">
        <w:t xml:space="preserve"> be vindicated, were it to collide with a state prohibition</w:t>
      </w:r>
      <w:r>
        <w:t xml:space="preserve">, through </w:t>
      </w:r>
      <w:r w:rsidRPr="00A91C08">
        <w:t xml:space="preserve">a challenge to a specific enactment or regulation </w:t>
      </w:r>
      <w:r>
        <w:t>by making arguments</w:t>
      </w:r>
      <w:r w:rsidRPr="00A91C08">
        <w:t xml:space="preserve"> </w:t>
      </w:r>
      <w:r>
        <w:t xml:space="preserve">“armed with </w:t>
      </w:r>
      <w:r w:rsidRPr="00E93F64">
        <w:t>principles of federal preemption and the Supremacy Clause</w:t>
      </w:r>
      <w:r>
        <w:t>.”</w:t>
      </w:r>
      <w:r>
        <w:rPr>
          <w:rStyle w:val="FootnoteReference"/>
        </w:rPr>
        <w:footnoteReference w:id="857"/>
      </w:r>
    </w:p>
    <w:p w:rsidRPr="00CD0B38" w:rsidR="004511E0" w:rsidP="004511E0" w:rsidRDefault="004511E0" w14:paraId="43C9FBFB" w14:textId="77777777">
      <w:pPr>
        <w:pStyle w:val="FERCparanumber"/>
        <w:spacing w:after="240" w:line="240" w:lineRule="auto"/>
      </w:pPr>
      <w:r>
        <w:t xml:space="preserve">Apart from </w:t>
      </w:r>
      <w:r w:rsidRPr="00A91C08">
        <w:t xml:space="preserve">the Commission’s </w:t>
      </w:r>
      <w:r>
        <w:t xml:space="preserve">injudicious </w:t>
      </w:r>
      <w:r w:rsidRPr="00A91C08">
        <w:t xml:space="preserve">jurisdictional declarations, today’s order stands as an imprudent exercise of the Commission’s power.  Why promulgate a rule at all?  Reluctance to govern by fiat is counseled particularly in a case like this </w:t>
      </w:r>
      <w:r>
        <w:t>in which</w:t>
      </w:r>
      <w:r w:rsidRPr="00A91C08">
        <w:t xml:space="preserve"> the generation </w:t>
      </w:r>
      <w:r>
        <w:t xml:space="preserve">resources </w:t>
      </w:r>
      <w:r w:rsidRPr="00A91C08">
        <w:t>the majority seeks to promote, by their very nature, inevitabl</w:t>
      </w:r>
      <w:r>
        <w:t>y</w:t>
      </w:r>
      <w:r w:rsidRPr="00A91C08">
        <w:t xml:space="preserve"> </w:t>
      </w:r>
      <w:r>
        <w:t>will a</w:t>
      </w:r>
      <w:r w:rsidRPr="00A91C08">
        <w:t xml:space="preserve">ffect the distribution system, responsibility </w:t>
      </w:r>
      <w:r>
        <w:t xml:space="preserve">for which is </w:t>
      </w:r>
      <w:r w:rsidRPr="00A91C08">
        <w:t xml:space="preserve">assigned, with no ambiguity, to the States.  </w:t>
      </w:r>
      <w:r>
        <w:t>We should a</w:t>
      </w:r>
      <w:r w:rsidRPr="00A91C08">
        <w:t>llow the RTOs</w:t>
      </w:r>
      <w:r>
        <w:t xml:space="preserve"> and ISOs</w:t>
      </w:r>
      <w:r w:rsidRPr="00A91C08">
        <w:t xml:space="preserve"> (or the States or the utilities) to develop their own DER programs in the first instance.  If the promises of DERs are what they purport to be, the markets will encourage their development.  And if those programs result in wholesale sales in interstate commerce, then the question of the Commission’s jurisdiction will be ripe.  Commission directives are unnecessary to encourage</w:t>
      </w:r>
      <w:r>
        <w:t xml:space="preserve"> the development of</w:t>
      </w:r>
      <w:r w:rsidRPr="00A91C08">
        <w:t xml:space="preserve"> economically-viable resources.  I have greater faith in the power of market</w:t>
      </w:r>
      <w:r>
        <w:t xml:space="preserve"> forces</w:t>
      </w:r>
      <w:r w:rsidRPr="00A91C08">
        <w:t xml:space="preserve"> and in the </w:t>
      </w:r>
      <w:r>
        <w:t>discernment</w:t>
      </w:r>
      <w:r w:rsidRPr="00A91C08">
        <w:t xml:space="preserve"> of the utilities and the States.</w:t>
      </w:r>
    </w:p>
    <w:p w:rsidR="004511E0" w:rsidP="002D2AB9" w:rsidRDefault="004511E0" w14:paraId="36D4928B" w14:textId="77777777">
      <w:pPr>
        <w:ind w:firstLine="720"/>
      </w:pPr>
      <w:bookmarkStart w:name="Action2" w:id="382"/>
      <w:bookmarkEnd w:id="382"/>
      <w:r>
        <w:t>For these reasons, I respectfully dissent.</w:t>
      </w:r>
    </w:p>
    <w:p w:rsidR="004511E0" w:rsidP="002D2AB9" w:rsidRDefault="004511E0" w14:paraId="1406A77B" w14:textId="77777777">
      <w:pPr>
        <w:ind w:firstLine="720"/>
      </w:pPr>
    </w:p>
    <w:p w:rsidR="004511E0" w:rsidP="002D2AB9" w:rsidRDefault="004511E0" w14:paraId="5E53CA03" w14:textId="77777777"/>
    <w:p w:rsidR="004511E0" w:rsidP="002D2AB9" w:rsidRDefault="004511E0" w14:paraId="4F79B4FF" w14:textId="77777777">
      <w:r>
        <w:t>________________________</w:t>
      </w:r>
    </w:p>
    <w:p w:rsidR="004511E0" w:rsidP="002D2AB9" w:rsidRDefault="004511E0" w14:paraId="0B2187A9" w14:textId="77777777">
      <w:r>
        <w:t>James P. Danly</w:t>
      </w:r>
    </w:p>
    <w:p w:rsidR="004511E0" w:rsidP="002D2AB9" w:rsidRDefault="004511E0" w14:paraId="205E1CE3" w14:textId="77777777">
      <w:r>
        <w:t>Commissioner</w:t>
      </w:r>
    </w:p>
    <w:p w:rsidR="004511E0" w:rsidP="002D2AB9" w:rsidRDefault="004511E0" w14:paraId="5586F6AC" w14:textId="77777777"/>
    <w:p w:rsidR="004511E0" w:rsidP="002D2AB9" w:rsidRDefault="004511E0" w14:paraId="35B205E4" w14:textId="77777777"/>
    <w:p w:rsidRPr="00BD4EB9" w:rsidR="004511E0" w:rsidP="002D2AB9" w:rsidRDefault="004511E0" w14:paraId="0998DAC4" w14:textId="77777777"/>
    <w:p w:rsidRPr="008B654D" w:rsidR="004511E0" w:rsidP="002D2AB9" w:rsidRDefault="004511E0" w14:paraId="480D4A00" w14:textId="77777777"/>
    <w:p w:rsidRPr="00FD3D3B" w:rsidR="002870A9" w:rsidP="00FD3D3B" w:rsidRDefault="002870A9" w14:paraId="2AF22E55" w14:textId="4CCF3B92"/>
    <w:sectPr w:rsidRPr="00FD3D3B" w:rsidR="002870A9" w:rsidSect="002D2AB9">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2240" w:h="15840" w:orient="portrait"/>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A0E" w:rsidP="0048020B" w:rsidRDefault="005B7A0E" w14:paraId="5074E4A1" w14:textId="77777777">
      <w:r>
        <w:separator/>
      </w:r>
    </w:p>
  </w:endnote>
  <w:endnote w:type="continuationSeparator" w:id="0">
    <w:p w:rsidR="005B7A0E" w:rsidP="0048020B" w:rsidRDefault="005B7A0E" w14:paraId="07802C8C" w14:textId="77777777">
      <w:r>
        <w:continuationSeparator/>
      </w:r>
    </w:p>
  </w:endnote>
  <w:endnote w:type="continuationNotice" w:id="1">
    <w:p w:rsidR="005B7A0E" w:rsidRDefault="005B7A0E" w14:paraId="4DC71CB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544668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329B41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1520A00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6D9F7F4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30D28B5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7D70FE09"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B9" w:rsidRDefault="002D2AB9" w14:paraId="1FEC2B0C"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B9" w:rsidRDefault="002D2AB9" w14:paraId="178EC862"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AB9" w:rsidRDefault="002D2AB9" w14:paraId="644FC0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A0E" w:rsidP="0048020B" w:rsidRDefault="005B7A0E" w14:paraId="0B57E7DD" w14:textId="77777777">
      <w:r>
        <w:separator/>
      </w:r>
    </w:p>
  </w:footnote>
  <w:footnote w:type="continuationSeparator" w:id="0">
    <w:p w:rsidR="005B7A0E" w:rsidP="0048020B" w:rsidRDefault="005B7A0E" w14:paraId="6F728A5A" w14:textId="77777777">
      <w:r>
        <w:continuationSeparator/>
      </w:r>
    </w:p>
  </w:footnote>
  <w:footnote w:type="continuationNotice" w:id="1">
    <w:p w:rsidRPr="00FA595F" w:rsidR="005B7A0E" w:rsidP="00FA595F" w:rsidRDefault="005B7A0E" w14:paraId="6865B68B" w14:textId="77777777">
      <w:pPr>
        <w:spacing w:line="14" w:lineRule="exact"/>
        <w:rPr>
          <w:sz w:val="2"/>
        </w:rPr>
      </w:pPr>
    </w:p>
  </w:footnote>
  <w:footnote w:id="2">
    <w:p w:rsidRPr="00AC20F1" w:rsidR="00FB7F86" w:rsidP="00767729" w:rsidRDefault="00FB7F86" w14:paraId="6C5F1D20" w14:textId="7D3C7607">
      <w:pPr>
        <w:pStyle w:val="FootnoteText"/>
        <w:rPr>
          <w:szCs w:val="26"/>
        </w:rPr>
      </w:pPr>
      <w:r w:rsidRPr="00AC7698">
        <w:rPr>
          <w:rStyle w:val="FootnoteReference"/>
          <w:szCs w:val="26"/>
        </w:rPr>
        <w:footnoteRef/>
      </w:r>
      <w:r>
        <w:rPr>
          <w:szCs w:val="26"/>
        </w:rPr>
        <w:t xml:space="preserve"> We</w:t>
      </w:r>
      <w:r w:rsidRPr="00AC7698">
        <w:rPr>
          <w:szCs w:val="26"/>
        </w:rPr>
        <w:t xml:space="preserve"> define </w:t>
      </w:r>
      <w:r>
        <w:rPr>
          <w:szCs w:val="26"/>
        </w:rPr>
        <w:t>a</w:t>
      </w:r>
      <w:r w:rsidRPr="00AC7698">
        <w:rPr>
          <w:szCs w:val="26"/>
        </w:rPr>
        <w:t xml:space="preserve"> distributed energy resource as </w:t>
      </w:r>
      <w:r w:rsidRPr="005B2E99">
        <w:rPr>
          <w:szCs w:val="26"/>
        </w:rPr>
        <w:t xml:space="preserve">any resource located on the distribution system, any subsystem thereof or behind a customer meter.  </w:t>
      </w:r>
      <w:r>
        <w:rPr>
          <w:szCs w:val="26"/>
        </w:rPr>
        <w:t>These</w:t>
      </w:r>
      <w:r w:rsidRPr="005B2E99">
        <w:rPr>
          <w:szCs w:val="26"/>
        </w:rPr>
        <w:t xml:space="preserve"> resources may include, but are not limited to, electric storage resources, distributed generation, </w:t>
      </w:r>
      <w:r>
        <w:rPr>
          <w:szCs w:val="26"/>
        </w:rPr>
        <w:t xml:space="preserve">demand response, </w:t>
      </w:r>
      <w:r w:rsidRPr="005B2E99">
        <w:rPr>
          <w:szCs w:val="26"/>
        </w:rPr>
        <w:t xml:space="preserve">energy efficiency, thermal storage, and electric vehicles and their </w:t>
      </w:r>
      <w:r w:rsidRPr="00B13936">
        <w:rPr>
          <w:szCs w:val="26"/>
        </w:rPr>
        <w:t xml:space="preserve">supply equipment.  </w:t>
      </w:r>
      <w:r w:rsidRPr="00FA595F">
        <w:rPr>
          <w:i/>
          <w:szCs w:val="26"/>
        </w:rPr>
        <w:t>See infra</w:t>
      </w:r>
      <w:r w:rsidRPr="00FA595F">
        <w:rPr>
          <w:szCs w:val="26"/>
        </w:rPr>
        <w:t xml:space="preserve"> P 11</w:t>
      </w:r>
      <w:r>
        <w:rPr>
          <w:szCs w:val="26"/>
        </w:rPr>
        <w:t>4</w:t>
      </w:r>
      <w:r w:rsidRPr="00F34044">
        <w:rPr>
          <w:szCs w:val="26"/>
        </w:rPr>
        <w:t>.</w:t>
      </w:r>
    </w:p>
  </w:footnote>
  <w:footnote w:id="3">
    <w:p w:rsidRPr="00B55566" w:rsidR="00FB7F86" w:rsidP="00767729" w:rsidRDefault="00FB7F86" w14:paraId="17ED3476" w14:textId="2CAC7333">
      <w:pPr>
        <w:autoSpaceDE w:val="0"/>
        <w:autoSpaceDN w:val="0"/>
        <w:adjustRightInd w:val="0"/>
        <w:ind w:firstLine="720"/>
        <w:rPr>
          <w:szCs w:val="26"/>
        </w:rPr>
      </w:pPr>
      <w:r w:rsidRPr="00AC7698">
        <w:rPr>
          <w:rStyle w:val="FootnoteReference"/>
          <w:szCs w:val="26"/>
        </w:rPr>
        <w:footnoteRef/>
      </w:r>
      <w:r w:rsidRPr="00AC7698">
        <w:rPr>
          <w:szCs w:val="26"/>
        </w:rPr>
        <w:t xml:space="preserve"> For purposes of this </w:t>
      </w:r>
      <w:r w:rsidRPr="008232DA">
        <w:rPr>
          <w:szCs w:val="26"/>
        </w:rPr>
        <w:t>final rule</w:t>
      </w:r>
      <w:r w:rsidRPr="00AC7698">
        <w:rPr>
          <w:szCs w:val="26"/>
        </w:rPr>
        <w:t>, we define RTO/ISO markets as the capacity,</w:t>
      </w:r>
      <w:r>
        <w:rPr>
          <w:szCs w:val="26"/>
        </w:rPr>
        <w:t xml:space="preserve"> </w:t>
      </w:r>
      <w:r w:rsidRPr="00AC7698">
        <w:rPr>
          <w:szCs w:val="26"/>
        </w:rPr>
        <w:t xml:space="preserve">energy, and ancillary services markets operated by the RTOs and ISOs. </w:t>
      </w:r>
      <w:r>
        <w:rPr>
          <w:szCs w:val="26"/>
        </w:rPr>
        <w:t xml:space="preserve"> </w:t>
      </w:r>
      <w:r w:rsidRPr="00AC7698">
        <w:rPr>
          <w:szCs w:val="26"/>
        </w:rPr>
        <w:t xml:space="preserve">We note that, in the Notice of Proposed Rulemaking </w:t>
      </w:r>
      <w:r w:rsidDel="004E6C9D">
        <w:rPr>
          <w:szCs w:val="26"/>
        </w:rPr>
        <w:t>(NOPR)</w:t>
      </w:r>
      <w:r w:rsidRPr="00AC7698" w:rsidDel="004E6C9D">
        <w:rPr>
          <w:szCs w:val="26"/>
        </w:rPr>
        <w:t xml:space="preserve"> </w:t>
      </w:r>
      <w:r w:rsidRPr="00AC7698">
        <w:rPr>
          <w:szCs w:val="26"/>
        </w:rPr>
        <w:t>in this proceeding, the Commission used “organized</w:t>
      </w:r>
      <w:r>
        <w:rPr>
          <w:szCs w:val="26"/>
        </w:rPr>
        <w:t xml:space="preserve"> </w:t>
      </w:r>
      <w:r w:rsidRPr="00AC7698">
        <w:rPr>
          <w:szCs w:val="26"/>
        </w:rPr>
        <w:t xml:space="preserve">wholesale electric markets” and included that term in the proposed regulatory text. </w:t>
      </w:r>
      <w:r>
        <w:rPr>
          <w:szCs w:val="26"/>
        </w:rPr>
        <w:t xml:space="preserve"> </w:t>
      </w:r>
      <w:r w:rsidRPr="00DB0DAC">
        <w:rPr>
          <w:i/>
          <w:szCs w:val="26"/>
        </w:rPr>
        <w:t xml:space="preserve">See </w:t>
      </w:r>
      <w:r>
        <w:rPr>
          <w:i/>
          <w:szCs w:val="26"/>
        </w:rPr>
        <w:t>Electric</w:t>
      </w:r>
      <w:r w:rsidRPr="00DB0DAC">
        <w:rPr>
          <w:i/>
          <w:szCs w:val="26"/>
        </w:rPr>
        <w:t xml:space="preserve"> Storage Participation in </w:t>
      </w:r>
      <w:r>
        <w:rPr>
          <w:i/>
          <w:szCs w:val="26"/>
        </w:rPr>
        <w:t>Markets</w:t>
      </w:r>
      <w:r w:rsidRPr="00DB0DAC">
        <w:rPr>
          <w:i/>
          <w:szCs w:val="26"/>
        </w:rPr>
        <w:t xml:space="preserve"> Operated by </w:t>
      </w:r>
      <w:r>
        <w:rPr>
          <w:i/>
          <w:szCs w:val="26"/>
        </w:rPr>
        <w:t>Regional</w:t>
      </w:r>
      <w:r w:rsidRPr="00DB0DAC">
        <w:rPr>
          <w:i/>
          <w:szCs w:val="26"/>
        </w:rPr>
        <w:t xml:space="preserve"> Transmission </w:t>
      </w:r>
      <w:r>
        <w:rPr>
          <w:i/>
          <w:szCs w:val="26"/>
        </w:rPr>
        <w:t>Organizations</w:t>
      </w:r>
      <w:r w:rsidRPr="00DB0DAC">
        <w:rPr>
          <w:i/>
          <w:szCs w:val="26"/>
        </w:rPr>
        <w:t xml:space="preserve"> </w:t>
      </w:r>
      <w:r>
        <w:rPr>
          <w:i/>
          <w:szCs w:val="26"/>
        </w:rPr>
        <w:t>&amp;</w:t>
      </w:r>
      <w:r w:rsidRPr="00DB0DAC">
        <w:rPr>
          <w:i/>
          <w:szCs w:val="26"/>
        </w:rPr>
        <w:t xml:space="preserve"> </w:t>
      </w:r>
      <w:r>
        <w:rPr>
          <w:i/>
          <w:szCs w:val="26"/>
        </w:rPr>
        <w:t>Independent</w:t>
      </w:r>
      <w:r w:rsidRPr="00DB0DAC">
        <w:rPr>
          <w:i/>
          <w:szCs w:val="26"/>
        </w:rPr>
        <w:t xml:space="preserve"> </w:t>
      </w:r>
      <w:r>
        <w:rPr>
          <w:i/>
          <w:szCs w:val="26"/>
        </w:rPr>
        <w:t>System</w:t>
      </w:r>
      <w:r w:rsidRPr="00DB0DAC">
        <w:rPr>
          <w:i/>
          <w:szCs w:val="26"/>
        </w:rPr>
        <w:t xml:space="preserve"> Operators</w:t>
      </w:r>
      <w:r w:rsidRPr="00DB0DAC">
        <w:rPr>
          <w:szCs w:val="26"/>
        </w:rPr>
        <w:t xml:space="preserve">, Notice of Proposed Rulemaking, </w:t>
      </w:r>
      <w:r w:rsidRPr="0057472E">
        <w:rPr>
          <w:szCs w:val="26"/>
        </w:rPr>
        <w:t>81 FR 86522</w:t>
      </w:r>
      <w:r>
        <w:rPr>
          <w:szCs w:val="26"/>
        </w:rPr>
        <w:t xml:space="preserve">, </w:t>
      </w:r>
      <w:r w:rsidRPr="00102604">
        <w:rPr>
          <w:szCs w:val="26"/>
        </w:rPr>
        <w:t>157 FERC ¶</w:t>
      </w:r>
      <w:r>
        <w:rPr>
          <w:szCs w:val="26"/>
        </w:rPr>
        <w:t> </w:t>
      </w:r>
      <w:r w:rsidRPr="00102604">
        <w:rPr>
          <w:szCs w:val="26"/>
        </w:rPr>
        <w:t>61,121</w:t>
      </w:r>
      <w:r>
        <w:rPr>
          <w:szCs w:val="26"/>
        </w:rPr>
        <w:t xml:space="preserve"> </w:t>
      </w:r>
      <w:r w:rsidRPr="00DB0DAC">
        <w:rPr>
          <w:szCs w:val="26"/>
        </w:rPr>
        <w:t>(2016)</w:t>
      </w:r>
      <w:r>
        <w:rPr>
          <w:szCs w:val="26"/>
        </w:rPr>
        <w:t xml:space="preserve"> (NOPR)</w:t>
      </w:r>
      <w:r w:rsidRPr="00DB0DAC">
        <w:rPr>
          <w:szCs w:val="26"/>
        </w:rPr>
        <w:t>.</w:t>
      </w:r>
      <w:r>
        <w:rPr>
          <w:szCs w:val="26"/>
        </w:rPr>
        <w:t xml:space="preserve">  </w:t>
      </w:r>
      <w:r w:rsidRPr="00AC7698">
        <w:rPr>
          <w:szCs w:val="26"/>
        </w:rPr>
        <w:t>We fi</w:t>
      </w:r>
      <w:r>
        <w:rPr>
          <w:szCs w:val="26"/>
        </w:rPr>
        <w:t xml:space="preserve">nd that using “RTO/ISO markets” </w:t>
      </w:r>
      <w:r w:rsidRPr="00AC7698">
        <w:rPr>
          <w:szCs w:val="26"/>
        </w:rPr>
        <w:t xml:space="preserve">is sufficient to describe the markets at issue in this </w:t>
      </w:r>
      <w:r w:rsidRPr="008232DA">
        <w:rPr>
          <w:szCs w:val="26"/>
        </w:rPr>
        <w:t>final rule</w:t>
      </w:r>
      <w:r>
        <w:rPr>
          <w:szCs w:val="26"/>
        </w:rPr>
        <w:t xml:space="preserve"> and therefore will no longer </w:t>
      </w:r>
      <w:r w:rsidRPr="00AC7698">
        <w:rPr>
          <w:szCs w:val="26"/>
        </w:rPr>
        <w:t>use “organized wholesale electric markets” here or incl</w:t>
      </w:r>
      <w:r>
        <w:rPr>
          <w:szCs w:val="26"/>
        </w:rPr>
        <w:t xml:space="preserve">ude that term in the regulatory </w:t>
      </w:r>
      <w:r w:rsidRPr="00AC7698">
        <w:rPr>
          <w:szCs w:val="26"/>
        </w:rPr>
        <w:t>text.</w:t>
      </w:r>
    </w:p>
    <w:p w:rsidRPr="00B55566" w:rsidR="00FB7F86" w:rsidP="00767729" w:rsidRDefault="00FB7F86" w14:paraId="020252A3" w14:textId="77777777">
      <w:pPr>
        <w:pStyle w:val="FootnoteText"/>
        <w:spacing w:after="120"/>
        <w:contextualSpacing/>
        <w:rPr>
          <w:szCs w:val="26"/>
        </w:rPr>
      </w:pPr>
    </w:p>
  </w:footnote>
  <w:footnote w:id="4">
    <w:p w:rsidRPr="002C720B" w:rsidR="00FB7F86" w:rsidP="00767729" w:rsidRDefault="00FB7F86" w14:paraId="2E28DA6F" w14:textId="01C395C4">
      <w:pPr>
        <w:pStyle w:val="FootnoteText"/>
        <w:rPr>
          <w:szCs w:val="26"/>
        </w:rPr>
      </w:pPr>
      <w:r w:rsidRPr="00B55566">
        <w:rPr>
          <w:rStyle w:val="FootnoteReference"/>
          <w:szCs w:val="26"/>
        </w:rPr>
        <w:footnoteRef/>
      </w:r>
      <w:r w:rsidRPr="00B55566">
        <w:rPr>
          <w:szCs w:val="26"/>
        </w:rPr>
        <w:t xml:space="preserve"> 16 U.S.C. 824e</w:t>
      </w:r>
      <w:r w:rsidRPr="005A31C5">
        <w:rPr>
          <w:szCs w:val="26"/>
        </w:rPr>
        <w:t>.</w:t>
      </w:r>
    </w:p>
  </w:footnote>
  <w:footnote w:id="5">
    <w:p w:rsidR="00FB7F86" w:rsidP="00767729" w:rsidRDefault="00FB7F86" w14:paraId="70509609" w14:textId="1388DC96">
      <w:pPr>
        <w:pStyle w:val="FootnoteText"/>
      </w:pPr>
      <w:r w:rsidRPr="00F67B54">
        <w:rPr>
          <w:rStyle w:val="FootnoteReference"/>
        </w:rPr>
        <w:footnoteRef/>
      </w:r>
      <w:r w:rsidRPr="00F67B54">
        <w:t xml:space="preserve"> </w:t>
      </w:r>
      <w:r w:rsidRPr="00F67B54">
        <w:rPr>
          <w:szCs w:val="26"/>
        </w:rPr>
        <w:t xml:space="preserve">18 CFR </w:t>
      </w:r>
      <w:r w:rsidRPr="00231EE1">
        <w:rPr>
          <w:szCs w:val="26"/>
        </w:rPr>
        <w:t>35.28</w:t>
      </w:r>
      <w:r w:rsidRPr="00F67B54">
        <w:rPr>
          <w:szCs w:val="26"/>
        </w:rPr>
        <w:t xml:space="preserve"> (20</w:t>
      </w:r>
      <w:r>
        <w:rPr>
          <w:szCs w:val="26"/>
        </w:rPr>
        <w:t>20</w:t>
      </w:r>
      <w:r w:rsidRPr="00F67B54">
        <w:rPr>
          <w:szCs w:val="26"/>
        </w:rPr>
        <w:t>).</w:t>
      </w:r>
    </w:p>
  </w:footnote>
  <w:footnote w:id="6">
    <w:p w:rsidRPr="0036398D" w:rsidR="00FB7F86" w:rsidP="00767729" w:rsidRDefault="00FB7F86" w14:paraId="5E98D393" w14:textId="780DBF2A">
      <w:pPr>
        <w:pStyle w:val="FootnoteText"/>
        <w:rPr>
          <w:szCs w:val="26"/>
        </w:rPr>
      </w:pPr>
      <w:r w:rsidRPr="004917DD">
        <w:rPr>
          <w:rStyle w:val="FootnoteReference"/>
          <w:szCs w:val="26"/>
        </w:rPr>
        <w:footnoteRef/>
      </w:r>
      <w:r w:rsidRPr="004917DD">
        <w:rPr>
          <w:szCs w:val="26"/>
        </w:rPr>
        <w:t xml:space="preserve"> </w:t>
      </w:r>
      <w:r w:rsidRPr="0036398D">
        <w:rPr>
          <w:i/>
          <w:szCs w:val="26"/>
        </w:rPr>
        <w:t>See</w:t>
      </w:r>
      <w:r w:rsidRPr="00DE70CD">
        <w:rPr>
          <w:szCs w:val="26"/>
        </w:rPr>
        <w:t xml:space="preserve"> </w:t>
      </w:r>
      <w:r w:rsidRPr="004917DD">
        <w:rPr>
          <w:szCs w:val="26"/>
        </w:rPr>
        <w:t xml:space="preserve">NOPR, </w:t>
      </w:r>
      <w:r w:rsidRPr="00102604">
        <w:rPr>
          <w:szCs w:val="26"/>
        </w:rPr>
        <w:t>157 FERC ¶</w:t>
      </w:r>
      <w:r>
        <w:rPr>
          <w:szCs w:val="26"/>
        </w:rPr>
        <w:t> </w:t>
      </w:r>
      <w:r w:rsidRPr="00102604">
        <w:rPr>
          <w:szCs w:val="26"/>
        </w:rPr>
        <w:t>61,121</w:t>
      </w:r>
      <w:r w:rsidRPr="004917DD">
        <w:rPr>
          <w:szCs w:val="26"/>
        </w:rPr>
        <w:t xml:space="preserve"> at P</w:t>
      </w:r>
      <w:r>
        <w:rPr>
          <w:szCs w:val="26"/>
        </w:rPr>
        <w:t> </w:t>
      </w:r>
      <w:r w:rsidRPr="004917DD">
        <w:rPr>
          <w:szCs w:val="26"/>
        </w:rPr>
        <w:t>2.</w:t>
      </w:r>
    </w:p>
  </w:footnote>
  <w:footnote w:id="7">
    <w:p w:rsidRPr="002C720B" w:rsidR="00FB7F86" w:rsidP="00767729" w:rsidRDefault="00FB7F86" w14:paraId="27F9956E" w14:textId="1DFD4980">
      <w:pPr>
        <w:pStyle w:val="FootnoteText"/>
        <w:rPr>
          <w:szCs w:val="26"/>
        </w:rPr>
      </w:pPr>
      <w:r w:rsidRPr="0036398D">
        <w:rPr>
          <w:rStyle w:val="FootnoteReference"/>
          <w:szCs w:val="26"/>
        </w:rPr>
        <w:footnoteRef/>
      </w:r>
      <w:r w:rsidRPr="0036398D">
        <w:rPr>
          <w:szCs w:val="26"/>
        </w:rPr>
        <w:t xml:space="preserve"> </w:t>
      </w:r>
      <w:r w:rsidRPr="0036398D">
        <w:rPr>
          <w:i/>
          <w:szCs w:val="26"/>
        </w:rPr>
        <w:t>See</w:t>
      </w:r>
      <w:r w:rsidRPr="00DE70CD">
        <w:rPr>
          <w:szCs w:val="26"/>
        </w:rPr>
        <w:t xml:space="preserve"> </w:t>
      </w:r>
      <w:r>
        <w:rPr>
          <w:i/>
          <w:iCs/>
          <w:szCs w:val="26"/>
        </w:rPr>
        <w:t>id.</w:t>
      </w:r>
      <w:r w:rsidRPr="0036398D">
        <w:rPr>
          <w:szCs w:val="26"/>
        </w:rPr>
        <w:t xml:space="preserve"> PP</w:t>
      </w:r>
      <w:r>
        <w:rPr>
          <w:szCs w:val="26"/>
        </w:rPr>
        <w:t> </w:t>
      </w:r>
      <w:r w:rsidRPr="0036398D">
        <w:rPr>
          <w:szCs w:val="26"/>
        </w:rPr>
        <w:t>13, 105.</w:t>
      </w:r>
    </w:p>
  </w:footnote>
  <w:footnote w:id="8">
    <w:p w:rsidRPr="002C720B" w:rsidR="00FB7F86" w:rsidP="00FB7F86" w:rsidRDefault="00FB7F86" w14:paraId="2CE66D6F" w14:textId="50E352EB">
      <w:pPr>
        <w:pStyle w:val="FootnoteText"/>
        <w:widowControl/>
        <w:rPr>
          <w:szCs w:val="26"/>
        </w:rPr>
      </w:pPr>
      <w:r w:rsidRPr="004917DD">
        <w:rPr>
          <w:rStyle w:val="FootnoteReference"/>
          <w:szCs w:val="26"/>
        </w:rPr>
        <w:footnoteRef/>
      </w:r>
      <w:r w:rsidRPr="004917DD">
        <w:rPr>
          <w:szCs w:val="26"/>
        </w:rPr>
        <w:t xml:space="preserve"> In addition to tariff provisions that apply to all market participants, the RTOs/ISOs create tariff provisions for specific types of resources when those resources have unique physical and operational characteristics or other attributes that warrant distinctive treatment from other market participants. </w:t>
      </w:r>
      <w:r>
        <w:rPr>
          <w:szCs w:val="26"/>
        </w:rPr>
        <w:t xml:space="preserve"> </w:t>
      </w:r>
      <w:r w:rsidRPr="004917DD">
        <w:rPr>
          <w:szCs w:val="26"/>
        </w:rPr>
        <w:t>The</w:t>
      </w:r>
      <w:r>
        <w:rPr>
          <w:szCs w:val="26"/>
        </w:rPr>
        <w:t xml:space="preserve"> </w:t>
      </w:r>
      <w:r w:rsidRPr="004917DD">
        <w:rPr>
          <w:szCs w:val="26"/>
        </w:rPr>
        <w:t xml:space="preserve">tariff provisions that are created for a particular type of resource are what we refer to in this </w:t>
      </w:r>
      <w:r w:rsidRPr="008232DA">
        <w:rPr>
          <w:szCs w:val="26"/>
        </w:rPr>
        <w:t>final rule</w:t>
      </w:r>
      <w:r w:rsidRPr="004917DD">
        <w:rPr>
          <w:szCs w:val="26"/>
        </w:rPr>
        <w:t xml:space="preserve"> as a participation model.</w:t>
      </w:r>
    </w:p>
  </w:footnote>
  <w:footnote w:id="9">
    <w:p w:rsidR="00FB7F86" w:rsidP="00767729" w:rsidRDefault="00FB7F86" w14:paraId="1F011850" w14:textId="78C790F8">
      <w:pPr>
        <w:pStyle w:val="FootnoteText"/>
        <w:spacing w:after="240"/>
        <w:contextualSpacing/>
        <w:rPr>
          <w:szCs w:val="26"/>
        </w:rPr>
      </w:pPr>
      <w:r w:rsidRPr="00407052">
        <w:rPr>
          <w:rStyle w:val="FootnoteReference"/>
        </w:rPr>
        <w:footnoteRef/>
      </w:r>
      <w:r w:rsidRPr="00407052">
        <w:rPr>
          <w:szCs w:val="26"/>
        </w:rPr>
        <w:t xml:space="preserve"> </w:t>
      </w:r>
      <w:r w:rsidRPr="004917DD">
        <w:rPr>
          <w:szCs w:val="26"/>
        </w:rPr>
        <w:t xml:space="preserve">NOPR, </w:t>
      </w:r>
      <w:r w:rsidRPr="00102604">
        <w:rPr>
          <w:szCs w:val="26"/>
        </w:rPr>
        <w:t>157 FERC ¶</w:t>
      </w:r>
      <w:r>
        <w:rPr>
          <w:szCs w:val="26"/>
        </w:rPr>
        <w:t> </w:t>
      </w:r>
      <w:r w:rsidRPr="00102604">
        <w:rPr>
          <w:szCs w:val="26"/>
        </w:rPr>
        <w:t>61,121</w:t>
      </w:r>
      <w:r w:rsidRPr="004917DD">
        <w:rPr>
          <w:szCs w:val="26"/>
        </w:rPr>
        <w:t xml:space="preserve"> </w:t>
      </w:r>
      <w:r>
        <w:rPr>
          <w:szCs w:val="26"/>
        </w:rPr>
        <w:t>at</w:t>
      </w:r>
      <w:r w:rsidRPr="00B55566">
        <w:rPr>
          <w:szCs w:val="26"/>
        </w:rPr>
        <w:t xml:space="preserve"> P</w:t>
      </w:r>
      <w:r>
        <w:rPr>
          <w:szCs w:val="26"/>
        </w:rPr>
        <w:t> </w:t>
      </w:r>
      <w:r w:rsidRPr="00B55566">
        <w:rPr>
          <w:szCs w:val="26"/>
        </w:rPr>
        <w:t>106.</w:t>
      </w:r>
      <w:r>
        <w:rPr>
          <w:szCs w:val="26"/>
        </w:rPr>
        <w:t xml:space="preserve">  </w:t>
      </w:r>
      <w:r w:rsidRPr="0004497D">
        <w:rPr>
          <w:szCs w:val="26"/>
        </w:rPr>
        <w:t>Demand response means a reduction in the consumption of electric energy by customers from their expected consumption in response to an increase in the price of electric energy or to incentive payments designed to induce lower consumption of electric energy</w:t>
      </w:r>
      <w:r>
        <w:rPr>
          <w:szCs w:val="26"/>
        </w:rPr>
        <w:t>.  18 CFR</w:t>
      </w:r>
      <w:r w:rsidRPr="005831B2">
        <w:rPr>
          <w:szCs w:val="26"/>
        </w:rPr>
        <w:t xml:space="preserve"> 35.28(b)(4</w:t>
      </w:r>
      <w:r w:rsidRPr="009C3E28">
        <w:rPr>
          <w:szCs w:val="26"/>
        </w:rPr>
        <w:t>)</w:t>
      </w:r>
      <w:r>
        <w:rPr>
          <w:szCs w:val="26"/>
        </w:rPr>
        <w:t>.</w:t>
      </w:r>
    </w:p>
    <w:p w:rsidRPr="00407052" w:rsidR="00FB7F86" w:rsidP="00767729" w:rsidRDefault="00FB7F86" w14:paraId="080E7880" w14:textId="77777777">
      <w:pPr>
        <w:pStyle w:val="FootnoteText"/>
        <w:spacing w:after="240"/>
        <w:contextualSpacing/>
        <w:rPr>
          <w:szCs w:val="26"/>
        </w:rPr>
      </w:pPr>
    </w:p>
  </w:footnote>
  <w:footnote w:id="10">
    <w:p w:rsidRPr="00822745" w:rsidR="00FB7F86" w:rsidP="00822745" w:rsidRDefault="00FB7F86" w14:paraId="673B7373" w14:textId="776236D4">
      <w:pPr>
        <w:pStyle w:val="FootnoteText"/>
      </w:pPr>
      <w:r>
        <w:rPr>
          <w:rStyle w:val="FootnoteReference"/>
        </w:rPr>
        <w:footnoteRef/>
      </w:r>
      <w:r>
        <w:t xml:space="preserve"> In Order No. 841, the Commission </w:t>
      </w:r>
      <w:r w:rsidRPr="00F967F5">
        <w:t>clarif</w:t>
      </w:r>
      <w:r>
        <w:t>ied</w:t>
      </w:r>
      <w:r w:rsidRPr="00F967F5">
        <w:t xml:space="preserve"> that “technically capable” of providing a service means meet</w:t>
      </w:r>
      <w:r>
        <w:t>ing</w:t>
      </w:r>
      <w:r w:rsidRPr="00F967F5">
        <w:t xml:space="preserve"> all of the technical, operational, and/or performance requirements that are necessary to reliably provide that service.</w:t>
      </w:r>
      <w:r>
        <w:t xml:space="preserve">  </w:t>
      </w:r>
      <w:r>
        <w:rPr>
          <w:i/>
          <w:iCs/>
          <w:szCs w:val="26"/>
        </w:rPr>
        <w:t>Electric</w:t>
      </w:r>
      <w:r w:rsidRPr="00D74E55">
        <w:rPr>
          <w:i/>
          <w:iCs/>
          <w:szCs w:val="26"/>
        </w:rPr>
        <w:t xml:space="preserve"> Storage Participation in </w:t>
      </w:r>
      <w:r>
        <w:rPr>
          <w:i/>
          <w:iCs/>
          <w:szCs w:val="26"/>
        </w:rPr>
        <w:t>Markets</w:t>
      </w:r>
      <w:r w:rsidRPr="00D74E55">
        <w:rPr>
          <w:i/>
          <w:iCs/>
          <w:szCs w:val="26"/>
        </w:rPr>
        <w:t xml:space="preserve"> Operated by </w:t>
      </w:r>
      <w:r>
        <w:rPr>
          <w:i/>
          <w:iCs/>
          <w:szCs w:val="26"/>
        </w:rPr>
        <w:t>Regional</w:t>
      </w:r>
      <w:r w:rsidRPr="00D74E55">
        <w:rPr>
          <w:i/>
          <w:iCs/>
          <w:szCs w:val="26"/>
        </w:rPr>
        <w:t xml:space="preserve"> Transmission </w:t>
      </w:r>
      <w:r>
        <w:rPr>
          <w:i/>
          <w:iCs/>
          <w:szCs w:val="26"/>
        </w:rPr>
        <w:t>Organizations</w:t>
      </w:r>
      <w:r w:rsidRPr="00D74E55">
        <w:rPr>
          <w:i/>
          <w:iCs/>
          <w:szCs w:val="26"/>
        </w:rPr>
        <w:t xml:space="preserve"> </w:t>
      </w:r>
      <w:r>
        <w:rPr>
          <w:i/>
          <w:iCs/>
          <w:szCs w:val="26"/>
        </w:rPr>
        <w:t>&amp;</w:t>
      </w:r>
      <w:r w:rsidRPr="00D74E55">
        <w:rPr>
          <w:i/>
          <w:iCs/>
          <w:szCs w:val="26"/>
        </w:rPr>
        <w:t xml:space="preserve"> </w:t>
      </w:r>
      <w:r>
        <w:rPr>
          <w:i/>
          <w:iCs/>
          <w:szCs w:val="26"/>
        </w:rPr>
        <w:t>Independent</w:t>
      </w:r>
      <w:r w:rsidRPr="00D74E55">
        <w:rPr>
          <w:i/>
          <w:iCs/>
          <w:szCs w:val="26"/>
        </w:rPr>
        <w:t xml:space="preserve"> </w:t>
      </w:r>
      <w:r>
        <w:rPr>
          <w:i/>
          <w:iCs/>
          <w:szCs w:val="26"/>
        </w:rPr>
        <w:t>System</w:t>
      </w:r>
      <w:r w:rsidRPr="00D74E55">
        <w:rPr>
          <w:i/>
          <w:iCs/>
          <w:szCs w:val="26"/>
        </w:rPr>
        <w:t xml:space="preserve"> Operators</w:t>
      </w:r>
      <w:r w:rsidRPr="00D74E55">
        <w:rPr>
          <w:szCs w:val="26"/>
        </w:rPr>
        <w:t xml:space="preserve">, Order No. </w:t>
      </w:r>
      <w:r>
        <w:t xml:space="preserve">841, </w:t>
      </w:r>
      <w:r w:rsidRPr="00294DB2">
        <w:t>83 FR 9580</w:t>
      </w:r>
      <w:r>
        <w:t xml:space="preserve">, </w:t>
      </w:r>
      <w:r w:rsidRPr="0013030F">
        <w:t>162 FERC ¶</w:t>
      </w:r>
      <w:r>
        <w:t> </w:t>
      </w:r>
      <w:r w:rsidRPr="0013030F">
        <w:t>61,127</w:t>
      </w:r>
      <w:r>
        <w:rPr>
          <w:szCs w:val="26"/>
        </w:rPr>
        <w:t>,</w:t>
      </w:r>
      <w:r>
        <w:t xml:space="preserve"> at P 78 (2018), </w:t>
      </w:r>
      <w:r w:rsidRPr="00822745">
        <w:rPr>
          <w:i/>
        </w:rPr>
        <w:t>order on reh’g</w:t>
      </w:r>
      <w:r w:rsidRPr="00822745">
        <w:t xml:space="preserve">, Order No. 841-A, </w:t>
      </w:r>
      <w:r>
        <w:t xml:space="preserve">84 FR 23902, </w:t>
      </w:r>
      <w:r w:rsidRPr="00822745">
        <w:t xml:space="preserve">167 FERC ¶ 61,154 (2019), </w:t>
      </w:r>
      <w:r w:rsidRPr="00822745">
        <w:rPr>
          <w:i/>
          <w:iCs/>
        </w:rPr>
        <w:t>aff’d sub nom. Nat’l Ass’n of Regulatory Util. Comm’rs v. FERC</w:t>
      </w:r>
      <w:r w:rsidRPr="00822745">
        <w:t xml:space="preserve">, </w:t>
      </w:r>
      <w:r>
        <w:t>964 F.3d 1177</w:t>
      </w:r>
      <w:r w:rsidRPr="00822745">
        <w:t xml:space="preserve"> (D.C. Cir. 2020).  </w:t>
      </w:r>
    </w:p>
    <w:p w:rsidR="00FB7F86" w:rsidRDefault="00FB7F86" w14:paraId="7C897357" w14:textId="5857989A">
      <w:pPr>
        <w:pStyle w:val="FootnoteText"/>
      </w:pPr>
      <w:r>
        <w:t>.</w:t>
      </w:r>
    </w:p>
  </w:footnote>
  <w:footnote w:id="11">
    <w:p w:rsidRPr="0036398D" w:rsidR="00FB7F86" w:rsidP="00767729" w:rsidRDefault="00FB7F86" w14:paraId="3DDE9DF0" w14:textId="44577AFA">
      <w:pPr>
        <w:pStyle w:val="FootnoteText"/>
        <w:rPr>
          <w:szCs w:val="26"/>
        </w:rPr>
      </w:pPr>
      <w:r w:rsidRPr="0036398D">
        <w:rPr>
          <w:rStyle w:val="FootnoteReference"/>
          <w:szCs w:val="26"/>
        </w:rPr>
        <w:footnoteRef/>
      </w:r>
      <w:r w:rsidRPr="0036398D">
        <w:rPr>
          <w:szCs w:val="26"/>
        </w:rPr>
        <w:t xml:space="preserve"> </w:t>
      </w:r>
      <w:r>
        <w:rPr>
          <w:iCs/>
          <w:szCs w:val="26"/>
        </w:rPr>
        <w:t xml:space="preserve">NOPR, </w:t>
      </w:r>
      <w:r w:rsidRPr="00102604">
        <w:rPr>
          <w:iCs/>
          <w:szCs w:val="26"/>
        </w:rPr>
        <w:t>157 FERC ¶</w:t>
      </w:r>
      <w:r>
        <w:rPr>
          <w:iCs/>
          <w:szCs w:val="26"/>
        </w:rPr>
        <w:t> </w:t>
      </w:r>
      <w:r w:rsidRPr="00102604">
        <w:rPr>
          <w:iCs/>
          <w:szCs w:val="26"/>
        </w:rPr>
        <w:t>61,121</w:t>
      </w:r>
      <w:r>
        <w:rPr>
          <w:iCs/>
          <w:szCs w:val="26"/>
        </w:rPr>
        <w:t xml:space="preserve"> at</w:t>
      </w:r>
      <w:r w:rsidRPr="0036398D">
        <w:rPr>
          <w:szCs w:val="26"/>
        </w:rPr>
        <w:t xml:space="preserve"> P</w:t>
      </w:r>
      <w:r>
        <w:rPr>
          <w:szCs w:val="26"/>
        </w:rPr>
        <w:t> </w:t>
      </w:r>
      <w:r w:rsidRPr="0036398D">
        <w:rPr>
          <w:szCs w:val="26"/>
        </w:rPr>
        <w:t>129.</w:t>
      </w:r>
    </w:p>
  </w:footnote>
  <w:footnote w:id="12">
    <w:p w:rsidRPr="002C720B" w:rsidR="00FB7F86" w:rsidP="00767729" w:rsidRDefault="00FB7F86" w14:paraId="205DD17D" w14:textId="570CFB4F">
      <w:pPr>
        <w:pStyle w:val="FootnoteText"/>
        <w:rPr>
          <w:szCs w:val="26"/>
        </w:rPr>
      </w:pPr>
      <w:r w:rsidRPr="0036398D">
        <w:rPr>
          <w:rStyle w:val="FootnoteReference"/>
          <w:szCs w:val="26"/>
        </w:rPr>
        <w:footnoteRef/>
      </w:r>
      <w:r w:rsidRPr="0036398D">
        <w:rPr>
          <w:szCs w:val="26"/>
        </w:rPr>
        <w:t xml:space="preserve"> </w:t>
      </w:r>
      <w:r>
        <w:rPr>
          <w:i/>
          <w:szCs w:val="26"/>
        </w:rPr>
        <w:t>Id.</w:t>
      </w:r>
      <w:bookmarkStart w:name="_Hlk35243531" w:id="3"/>
      <w:r w:rsidRPr="00DE70CD">
        <w:rPr>
          <w:szCs w:val="26"/>
        </w:rPr>
        <w:t xml:space="preserve"> </w:t>
      </w:r>
      <w:r w:rsidRPr="0036398D">
        <w:rPr>
          <w:szCs w:val="26"/>
        </w:rPr>
        <w:t>P</w:t>
      </w:r>
      <w:r>
        <w:rPr>
          <w:szCs w:val="26"/>
        </w:rPr>
        <w:t> </w:t>
      </w:r>
      <w:r w:rsidRPr="0036398D">
        <w:rPr>
          <w:szCs w:val="26"/>
        </w:rPr>
        <w:t>130</w:t>
      </w:r>
      <w:bookmarkEnd w:id="3"/>
      <w:r w:rsidRPr="0036398D">
        <w:rPr>
          <w:szCs w:val="26"/>
        </w:rPr>
        <w:t>.</w:t>
      </w:r>
    </w:p>
  </w:footnote>
  <w:footnote w:id="13">
    <w:p w:rsidR="00FB7F86" w:rsidP="00767729" w:rsidRDefault="00FB7F86" w14:paraId="20292BDB" w14:textId="1C0DB348">
      <w:pPr>
        <w:pStyle w:val="FootnoteText"/>
        <w:spacing w:after="240"/>
        <w:contextualSpacing/>
        <w:rPr>
          <w:szCs w:val="26"/>
        </w:rPr>
      </w:pPr>
      <w:r w:rsidRPr="00407052">
        <w:rPr>
          <w:rStyle w:val="FootnoteReference"/>
        </w:rPr>
        <w:footnoteRef/>
      </w:r>
      <w:r w:rsidRPr="00407052">
        <w:rPr>
          <w:szCs w:val="26"/>
        </w:rPr>
        <w:t xml:space="preserve"> </w:t>
      </w:r>
      <w:r w:rsidRPr="00B55566">
        <w:rPr>
          <w:i/>
          <w:szCs w:val="26"/>
        </w:rPr>
        <w:t>See</w:t>
      </w:r>
      <w:r w:rsidRPr="00B55566">
        <w:rPr>
          <w:szCs w:val="26"/>
        </w:rPr>
        <w:t xml:space="preserve"> </w:t>
      </w:r>
      <w:r>
        <w:rPr>
          <w:i/>
          <w:szCs w:val="26"/>
        </w:rPr>
        <w:t>id.</w:t>
      </w:r>
      <w:r w:rsidRPr="00B55566">
        <w:rPr>
          <w:szCs w:val="26"/>
        </w:rPr>
        <w:t xml:space="preserve"> PP</w:t>
      </w:r>
      <w:r>
        <w:rPr>
          <w:szCs w:val="26"/>
        </w:rPr>
        <w:t> </w:t>
      </w:r>
      <w:r w:rsidRPr="00B55566">
        <w:rPr>
          <w:szCs w:val="26"/>
        </w:rPr>
        <w:t>105, 125.</w:t>
      </w:r>
    </w:p>
    <w:p w:rsidRPr="00407052" w:rsidR="00FB7F86" w:rsidP="00767729" w:rsidRDefault="00FB7F86" w14:paraId="5A213E9F" w14:textId="77777777">
      <w:pPr>
        <w:pStyle w:val="FootnoteText"/>
        <w:spacing w:after="240"/>
        <w:contextualSpacing/>
        <w:rPr>
          <w:szCs w:val="26"/>
        </w:rPr>
      </w:pPr>
    </w:p>
  </w:footnote>
  <w:footnote w:id="14">
    <w:p w:rsidRPr="0036398D" w:rsidR="00FB7F86" w:rsidP="00767729" w:rsidRDefault="00FB7F86" w14:paraId="486C3759" w14:textId="20119C54">
      <w:pPr>
        <w:pStyle w:val="FootnoteText"/>
        <w:rPr>
          <w:szCs w:val="26"/>
        </w:rPr>
      </w:pPr>
      <w:r w:rsidRPr="00C22F36">
        <w:rPr>
          <w:rStyle w:val="FootnoteReference"/>
          <w:szCs w:val="26"/>
        </w:rPr>
        <w:footnoteRef/>
      </w:r>
      <w:r w:rsidRPr="00C22F36">
        <w:rPr>
          <w:szCs w:val="26"/>
        </w:rPr>
        <w:t xml:space="preserve"> </w:t>
      </w:r>
      <w:r>
        <w:rPr>
          <w:i/>
          <w:szCs w:val="26"/>
        </w:rPr>
        <w:t>Id.</w:t>
      </w:r>
      <w:r w:rsidRPr="00C22F36">
        <w:rPr>
          <w:szCs w:val="26"/>
        </w:rPr>
        <w:t xml:space="preserve"> P</w:t>
      </w:r>
      <w:r>
        <w:rPr>
          <w:szCs w:val="26"/>
        </w:rPr>
        <w:t> </w:t>
      </w:r>
      <w:r w:rsidRPr="00C22F36">
        <w:rPr>
          <w:szCs w:val="26"/>
        </w:rPr>
        <w:t>126.</w:t>
      </w:r>
    </w:p>
  </w:footnote>
  <w:footnote w:id="15">
    <w:p w:rsidRPr="00D74E55" w:rsidR="00FB7F86" w:rsidP="00B671A4" w:rsidRDefault="00FB7F86" w14:paraId="63F6623A" w14:textId="65E40807">
      <w:pPr>
        <w:pStyle w:val="FootnoteText"/>
        <w:rPr>
          <w:szCs w:val="26"/>
        </w:rPr>
      </w:pPr>
      <w:r w:rsidRPr="00D74E55">
        <w:rPr>
          <w:rStyle w:val="FootnoteReference"/>
          <w:szCs w:val="26"/>
        </w:rPr>
        <w:footnoteRef/>
      </w:r>
      <w:r w:rsidRPr="00D74E55">
        <w:rPr>
          <w:szCs w:val="26"/>
        </w:rPr>
        <w:t xml:space="preserve"> Order No. 841, </w:t>
      </w:r>
      <w:r w:rsidRPr="0013030F">
        <w:t>162 FERC ¶</w:t>
      </w:r>
      <w:r>
        <w:t> </w:t>
      </w:r>
      <w:r w:rsidRPr="0013030F">
        <w:t>61,127</w:t>
      </w:r>
      <w:r w:rsidRPr="00D74E55">
        <w:rPr>
          <w:szCs w:val="26"/>
        </w:rPr>
        <w:t>.</w:t>
      </w:r>
    </w:p>
  </w:footnote>
  <w:footnote w:id="16">
    <w:p w:rsidR="00FB7F86" w:rsidP="00B671A4" w:rsidRDefault="00FB7F86" w14:paraId="53872EF5" w14:textId="6982E3A2">
      <w:pPr>
        <w:pStyle w:val="FootnoteText"/>
      </w:pPr>
      <w:r w:rsidRPr="00D74E55">
        <w:rPr>
          <w:rStyle w:val="FootnoteReference"/>
          <w:szCs w:val="26"/>
        </w:rPr>
        <w:footnoteRef/>
      </w:r>
      <w:r w:rsidRPr="00D74E55">
        <w:rPr>
          <w:szCs w:val="26"/>
        </w:rPr>
        <w:t xml:space="preserve"> </w:t>
      </w:r>
      <w:r w:rsidRPr="00D74E55">
        <w:rPr>
          <w:i/>
          <w:szCs w:val="26"/>
        </w:rPr>
        <w:t>See, e.g.</w:t>
      </w:r>
      <w:r w:rsidRPr="00D74E55">
        <w:rPr>
          <w:szCs w:val="26"/>
        </w:rPr>
        <w:t xml:space="preserve">, CAISO Response </w:t>
      </w:r>
      <w:r w:rsidRPr="00E754BA">
        <w:rPr>
          <w:szCs w:val="26"/>
        </w:rPr>
        <w:t xml:space="preserve">(AD16-20) </w:t>
      </w:r>
      <w:r w:rsidRPr="00D74E55">
        <w:rPr>
          <w:szCs w:val="26"/>
        </w:rPr>
        <w:t xml:space="preserve">at 2-3; ISO-NE Response </w:t>
      </w:r>
      <w:r w:rsidRPr="00E754BA">
        <w:rPr>
          <w:szCs w:val="26"/>
        </w:rPr>
        <w:t xml:space="preserve">(AD16-20) </w:t>
      </w:r>
      <w:r w:rsidRPr="00D74E55">
        <w:rPr>
          <w:szCs w:val="26"/>
        </w:rPr>
        <w:t xml:space="preserve">at 6-7, 26-27; PJM Response </w:t>
      </w:r>
      <w:r w:rsidRPr="00E754BA">
        <w:rPr>
          <w:szCs w:val="26"/>
        </w:rPr>
        <w:t xml:space="preserve">(AD16-20) </w:t>
      </w:r>
      <w:r w:rsidRPr="00D74E55">
        <w:rPr>
          <w:szCs w:val="26"/>
        </w:rPr>
        <w:t xml:space="preserve">at 20-21; Advanced Energy Economy Comments </w:t>
      </w:r>
      <w:r w:rsidRPr="00E754BA">
        <w:rPr>
          <w:szCs w:val="26"/>
        </w:rPr>
        <w:t xml:space="preserve">(AD16-20) </w:t>
      </w:r>
      <w:r w:rsidRPr="00D74E55">
        <w:rPr>
          <w:szCs w:val="26"/>
        </w:rPr>
        <w:t xml:space="preserve">on RTO/ISO Responses </w:t>
      </w:r>
      <w:r w:rsidRPr="00E754BA">
        <w:rPr>
          <w:szCs w:val="26"/>
        </w:rPr>
        <w:t xml:space="preserve">(AD16-20) </w:t>
      </w:r>
      <w:r w:rsidRPr="00D74E55">
        <w:rPr>
          <w:szCs w:val="26"/>
        </w:rPr>
        <w:t xml:space="preserve">at 16-18; RES Americas Comments </w:t>
      </w:r>
      <w:r w:rsidRPr="00E754BA">
        <w:rPr>
          <w:szCs w:val="26"/>
        </w:rPr>
        <w:t xml:space="preserve">(AD16-20) </w:t>
      </w:r>
      <w:r w:rsidRPr="00D74E55">
        <w:rPr>
          <w:szCs w:val="26"/>
        </w:rPr>
        <w:t xml:space="preserve">on RTO/ISO Responses </w:t>
      </w:r>
      <w:r w:rsidRPr="00E754BA">
        <w:rPr>
          <w:szCs w:val="26"/>
        </w:rPr>
        <w:t xml:space="preserve">(AD16-20) </w:t>
      </w:r>
      <w:r w:rsidRPr="00D74E55">
        <w:rPr>
          <w:szCs w:val="26"/>
        </w:rPr>
        <w:t>at 4-5.</w:t>
      </w:r>
    </w:p>
  </w:footnote>
  <w:footnote w:id="17">
    <w:p w:rsidR="00FB7F86" w:rsidRDefault="00FB7F86" w14:paraId="7C3AE167" w14:textId="0520E7AB">
      <w:pPr>
        <w:pStyle w:val="FootnoteText"/>
      </w:pPr>
      <w:r w:rsidRPr="00CC2DE3">
        <w:rPr>
          <w:rStyle w:val="FootnoteReference"/>
        </w:rPr>
        <w:footnoteRef/>
      </w:r>
      <w:r w:rsidRPr="00CC2DE3">
        <w:t xml:space="preserve"> NOPR, 157 FERC ¶ 61,121 at PP 103, 124. </w:t>
      </w:r>
    </w:p>
  </w:footnote>
  <w:footnote w:id="18">
    <w:p w:rsidRPr="00177CA8" w:rsidR="00FB7F86" w:rsidP="00B671A4" w:rsidRDefault="00FB7F86" w14:paraId="04215B01" w14:textId="77777777">
      <w:pPr>
        <w:pStyle w:val="FootnoteText"/>
        <w:spacing w:after="0"/>
        <w:rPr>
          <w:szCs w:val="26"/>
        </w:rPr>
      </w:pPr>
      <w:r w:rsidRPr="00177CA8">
        <w:rPr>
          <w:rStyle w:val="FootnoteReference"/>
          <w:szCs w:val="26"/>
        </w:rPr>
        <w:footnoteRef/>
      </w:r>
      <w:r w:rsidRPr="00177CA8">
        <w:rPr>
          <w:szCs w:val="26"/>
        </w:rPr>
        <w:t xml:space="preserve"> </w:t>
      </w:r>
      <w:r w:rsidRPr="00D63C15">
        <w:rPr>
          <w:i/>
          <w:szCs w:val="26"/>
        </w:rPr>
        <w:t>See</w:t>
      </w:r>
      <w:r w:rsidRPr="00177CA8">
        <w:rPr>
          <w:szCs w:val="26"/>
        </w:rPr>
        <w:t xml:space="preserve"> Appendix A for a list of entities that submitted comments and the shortened</w:t>
      </w:r>
    </w:p>
    <w:p w:rsidR="00FB7F86" w:rsidP="00B671A4" w:rsidRDefault="00FB7F86" w14:paraId="0EACDB5B" w14:textId="675DAC56">
      <w:pPr>
        <w:pStyle w:val="FootnoteText"/>
        <w:spacing w:after="0"/>
        <w:ind w:firstLine="0"/>
        <w:rPr>
          <w:szCs w:val="26"/>
        </w:rPr>
      </w:pPr>
      <w:r w:rsidRPr="00177CA8">
        <w:rPr>
          <w:szCs w:val="26"/>
        </w:rPr>
        <w:t xml:space="preserve">names used throughout this </w:t>
      </w:r>
      <w:r>
        <w:rPr>
          <w:szCs w:val="26"/>
        </w:rPr>
        <w:t>f</w:t>
      </w:r>
      <w:r w:rsidRPr="00177CA8">
        <w:rPr>
          <w:szCs w:val="26"/>
        </w:rPr>
        <w:t xml:space="preserve">inal </w:t>
      </w:r>
      <w:r>
        <w:rPr>
          <w:szCs w:val="26"/>
        </w:rPr>
        <w:t>r</w:t>
      </w:r>
      <w:r w:rsidRPr="00177CA8">
        <w:rPr>
          <w:szCs w:val="26"/>
        </w:rPr>
        <w:t>ule to describe those entities.</w:t>
      </w:r>
    </w:p>
    <w:p w:rsidRPr="00177CA8" w:rsidR="00FB7F86" w:rsidP="00B671A4" w:rsidRDefault="00FB7F86" w14:paraId="1867E90F" w14:textId="77777777">
      <w:pPr>
        <w:pStyle w:val="FootnoteText"/>
        <w:spacing w:after="0"/>
        <w:ind w:firstLine="0"/>
        <w:rPr>
          <w:szCs w:val="26"/>
        </w:rPr>
      </w:pPr>
    </w:p>
  </w:footnote>
  <w:footnote w:id="19">
    <w:p w:rsidRPr="00177CA8" w:rsidR="00FB7F86" w:rsidP="00B671A4" w:rsidRDefault="00FB7F86" w14:paraId="6564A45C" w14:textId="12C6D250">
      <w:pPr>
        <w:pStyle w:val="FootnoteText"/>
        <w:rPr>
          <w:szCs w:val="26"/>
        </w:rPr>
      </w:pPr>
      <w:r w:rsidRPr="00177CA8">
        <w:rPr>
          <w:rStyle w:val="FootnoteReference"/>
          <w:szCs w:val="26"/>
        </w:rPr>
        <w:footnoteRef/>
      </w:r>
      <w:r>
        <w:rPr>
          <w:szCs w:val="26"/>
        </w:rPr>
        <w:t xml:space="preserve"> </w:t>
      </w:r>
      <w:r w:rsidRPr="00177CA8">
        <w:rPr>
          <w:szCs w:val="26"/>
        </w:rPr>
        <w:t xml:space="preserve">Order No. 841, </w:t>
      </w:r>
      <w:r w:rsidRPr="0013030F">
        <w:t>162 FERC ¶</w:t>
      </w:r>
      <w:r>
        <w:t> </w:t>
      </w:r>
      <w:r w:rsidRPr="0013030F">
        <w:t>61,127</w:t>
      </w:r>
      <w:r>
        <w:rPr>
          <w:szCs w:val="26"/>
        </w:rPr>
        <w:t xml:space="preserve"> at P 5.  The</w:t>
      </w:r>
      <w:r w:rsidRPr="00177CA8">
        <w:rPr>
          <w:szCs w:val="26"/>
        </w:rPr>
        <w:t xml:space="preserve"> Commission incorporated by reference all comments filed in response to the NOPR in Docket No. RM16-23-000 into Docket No. RM18-9-000 and directed any further comments regarding the proposed </w:t>
      </w:r>
      <w:r>
        <w:rPr>
          <w:szCs w:val="26"/>
        </w:rPr>
        <w:t>distributed energy resource</w:t>
      </w:r>
      <w:r w:rsidRPr="00177CA8">
        <w:rPr>
          <w:szCs w:val="26"/>
        </w:rPr>
        <w:t xml:space="preserve"> </w:t>
      </w:r>
      <w:r w:rsidRPr="007C5EE4">
        <w:rPr>
          <w:szCs w:val="26"/>
        </w:rPr>
        <w:t xml:space="preserve">aggregation reforms </w:t>
      </w:r>
      <w:r w:rsidRPr="00CE5E17">
        <w:rPr>
          <w:szCs w:val="26"/>
        </w:rPr>
        <w:t>should be filed henceforth in Docket No. RM18-9-000</w:t>
      </w:r>
      <w:r>
        <w:rPr>
          <w:szCs w:val="26"/>
        </w:rPr>
        <w:t xml:space="preserve">.  </w:t>
      </w:r>
    </w:p>
  </w:footnote>
  <w:footnote w:id="20">
    <w:p w:rsidRPr="00177CA8" w:rsidR="00FB7F86" w:rsidP="00B671A4" w:rsidRDefault="00FB7F86" w14:paraId="61025B4D" w14:textId="5A5F6DF5">
      <w:pPr>
        <w:pStyle w:val="FootnoteText"/>
        <w:rPr>
          <w:szCs w:val="26"/>
        </w:rPr>
      </w:pPr>
      <w:r w:rsidRPr="00177CA8">
        <w:rPr>
          <w:b/>
          <w:szCs w:val="26"/>
          <w:vertAlign w:val="superscript"/>
        </w:rPr>
        <w:footnoteRef/>
      </w:r>
      <w:r w:rsidRPr="00177CA8">
        <w:rPr>
          <w:szCs w:val="26"/>
        </w:rPr>
        <w:t xml:space="preserve"> </w:t>
      </w:r>
      <w:r w:rsidRPr="00177CA8">
        <w:rPr>
          <w:i/>
          <w:szCs w:val="26"/>
        </w:rPr>
        <w:t>See</w:t>
      </w:r>
      <w:r w:rsidRPr="00DE70CD">
        <w:rPr>
          <w:szCs w:val="26"/>
        </w:rPr>
        <w:t xml:space="preserve"> </w:t>
      </w:r>
      <w:r w:rsidRPr="00177CA8">
        <w:rPr>
          <w:szCs w:val="26"/>
        </w:rPr>
        <w:t>Supplemental Notice of Technical Conference, Docket Nos. RM18-9-000 and AD18-10-000 (Mar</w:t>
      </w:r>
      <w:r>
        <w:rPr>
          <w:szCs w:val="26"/>
        </w:rPr>
        <w:t>.</w:t>
      </w:r>
      <w:r w:rsidRPr="00177CA8">
        <w:rPr>
          <w:szCs w:val="26"/>
        </w:rPr>
        <w:t xml:space="preserve"> 29, 2018),</w:t>
      </w:r>
      <w:r>
        <w:rPr>
          <w:szCs w:val="26"/>
        </w:rPr>
        <w:t xml:space="preserve"> </w:t>
      </w:r>
      <w:hyperlink w:history="1" r:id="rId1">
        <w:r w:rsidRPr="00490D57">
          <w:rPr>
            <w:rStyle w:val="Hyperlink"/>
            <w:szCs w:val="26"/>
          </w:rPr>
          <w:t>https://elibrary.ferc.gov/idmws/common/opennat.asp</w:t>
        </w:r>
        <w:r w:rsidRPr="00490D57">
          <w:rPr>
            <w:rStyle w:val="Hyperlink"/>
            <w:szCs w:val="26"/>
          </w:rPr>
          <w:br/>
        </w:r>
        <w:r w:rsidRPr="00490D57">
          <w:rPr>
            <w:rStyle w:val="Hyperlink"/>
            <w:szCs w:val="26"/>
          </w:rPr>
          <w:t>?fileID=14856384</w:t>
        </w:r>
      </w:hyperlink>
      <w:r w:rsidRPr="00177CA8">
        <w:rPr>
          <w:szCs w:val="26"/>
        </w:rPr>
        <w:t>.</w:t>
      </w:r>
    </w:p>
  </w:footnote>
  <w:footnote w:id="21">
    <w:p w:rsidRPr="007D0D59" w:rsidR="00FB7F86" w:rsidP="00B671A4" w:rsidRDefault="00FB7F86" w14:paraId="327578CF" w14:textId="11F69374">
      <w:pPr>
        <w:pStyle w:val="FootnoteText"/>
        <w:rPr>
          <w:lang w:val="pt-BR"/>
        </w:rPr>
      </w:pPr>
      <w:r w:rsidRPr="00177CA8">
        <w:rPr>
          <w:b/>
          <w:szCs w:val="26"/>
          <w:vertAlign w:val="superscript"/>
        </w:rPr>
        <w:footnoteRef/>
      </w:r>
      <w:r w:rsidRPr="00177CA8">
        <w:rPr>
          <w:szCs w:val="26"/>
        </w:rPr>
        <w:t xml:space="preserve"> </w:t>
      </w:r>
      <w:r w:rsidRPr="00177CA8">
        <w:rPr>
          <w:i/>
          <w:szCs w:val="26"/>
        </w:rPr>
        <w:t>See</w:t>
      </w:r>
      <w:r w:rsidRPr="00DE70CD">
        <w:rPr>
          <w:szCs w:val="26"/>
        </w:rPr>
        <w:t xml:space="preserve"> </w:t>
      </w:r>
      <w:r w:rsidRPr="00177CA8">
        <w:rPr>
          <w:szCs w:val="26"/>
        </w:rPr>
        <w:t xml:space="preserve">Notice Inviting Post-Technical Conference Comments, Docket </w:t>
      </w:r>
      <w:r>
        <w:rPr>
          <w:szCs w:val="26"/>
        </w:rPr>
        <w:t xml:space="preserve">No. </w:t>
      </w:r>
      <w:r w:rsidRPr="007D0D59">
        <w:rPr>
          <w:szCs w:val="26"/>
          <w:lang w:val="pt-BR"/>
        </w:rPr>
        <w:t xml:space="preserve">RM18-9-000 (Apr. 27, 2018), </w:t>
      </w:r>
      <w:hyperlink w:history="1" r:id="rId2">
        <w:r w:rsidRPr="007D0D59">
          <w:rPr>
            <w:rStyle w:val="Hyperlink"/>
            <w:szCs w:val="26"/>
            <w:lang w:val="pt-BR"/>
          </w:rPr>
          <w:t>https://elibrary.ferc.gov/idmws/common/OpenNat.asp?fileID=14</w:t>
        </w:r>
        <w:r w:rsidRPr="007D0D59">
          <w:rPr>
            <w:rStyle w:val="Hyperlink"/>
            <w:szCs w:val="26"/>
            <w:lang w:val="pt-BR"/>
          </w:rPr>
          <w:br/>
        </w:r>
        <w:r w:rsidRPr="007D0D59">
          <w:rPr>
            <w:rStyle w:val="Hyperlink"/>
            <w:szCs w:val="26"/>
            <w:lang w:val="pt-BR"/>
          </w:rPr>
          <w:t>882250</w:t>
        </w:r>
      </w:hyperlink>
      <w:r w:rsidRPr="007D0D59">
        <w:rPr>
          <w:szCs w:val="26"/>
          <w:lang w:val="pt-BR"/>
        </w:rPr>
        <w:t>.</w:t>
      </w:r>
    </w:p>
  </w:footnote>
  <w:footnote w:id="22">
    <w:p w:rsidRPr="00B74075" w:rsidR="00FB7F86" w:rsidP="005977D6" w:rsidRDefault="00FB7F86" w14:paraId="5188A2B7" w14:textId="2C9BCAE5">
      <w:pPr>
        <w:pStyle w:val="FootnoteText"/>
        <w:rPr>
          <w:szCs w:val="26"/>
        </w:rPr>
      </w:pPr>
      <w:r w:rsidRPr="00B74075">
        <w:rPr>
          <w:rStyle w:val="FootnoteReference"/>
          <w:szCs w:val="26"/>
        </w:rPr>
        <w:footnoteRef/>
      </w:r>
      <w:r w:rsidRPr="00B74075">
        <w:rPr>
          <w:i/>
          <w:szCs w:val="26"/>
        </w:rPr>
        <w:t xml:space="preserve"> See</w:t>
      </w:r>
      <w:r w:rsidRPr="00B74075">
        <w:rPr>
          <w:szCs w:val="26"/>
        </w:rPr>
        <w:t xml:space="preserve"> </w:t>
      </w:r>
      <w:r>
        <w:rPr>
          <w:i/>
          <w:szCs w:val="26"/>
        </w:rPr>
        <w:t>Cal.</w:t>
      </w:r>
      <w:r w:rsidRPr="005562F9">
        <w:rPr>
          <w:i/>
          <w:szCs w:val="26"/>
        </w:rPr>
        <w:t xml:space="preserve"> Indep. Sys. Operator Corp.</w:t>
      </w:r>
      <w:r w:rsidRPr="00B74075">
        <w:rPr>
          <w:szCs w:val="26"/>
        </w:rPr>
        <w:t>, 155 FERC ¶</w:t>
      </w:r>
      <w:r>
        <w:rPr>
          <w:szCs w:val="26"/>
        </w:rPr>
        <w:t> </w:t>
      </w:r>
      <w:r w:rsidRPr="00B74075">
        <w:rPr>
          <w:szCs w:val="26"/>
        </w:rPr>
        <w:t>61,229</w:t>
      </w:r>
      <w:r>
        <w:rPr>
          <w:szCs w:val="26"/>
        </w:rPr>
        <w:t xml:space="preserve"> (2016); </w:t>
      </w:r>
      <w:r>
        <w:rPr>
          <w:i/>
          <w:iCs/>
          <w:szCs w:val="26"/>
        </w:rPr>
        <w:t>N.Y.</w:t>
      </w:r>
      <w:r w:rsidRPr="00AC20F1">
        <w:rPr>
          <w:i/>
          <w:iCs/>
          <w:szCs w:val="26"/>
        </w:rPr>
        <w:t xml:space="preserve"> </w:t>
      </w:r>
      <w:r>
        <w:rPr>
          <w:i/>
          <w:iCs/>
          <w:szCs w:val="26"/>
        </w:rPr>
        <w:t>Indep.</w:t>
      </w:r>
      <w:r w:rsidRPr="00AC20F1">
        <w:rPr>
          <w:i/>
          <w:iCs/>
          <w:szCs w:val="26"/>
        </w:rPr>
        <w:t xml:space="preserve"> </w:t>
      </w:r>
      <w:r>
        <w:rPr>
          <w:i/>
          <w:iCs/>
          <w:szCs w:val="26"/>
        </w:rPr>
        <w:t>Sys.</w:t>
      </w:r>
      <w:r w:rsidRPr="00AC20F1">
        <w:rPr>
          <w:i/>
          <w:iCs/>
          <w:szCs w:val="26"/>
        </w:rPr>
        <w:t xml:space="preserve"> Operator, Inc.</w:t>
      </w:r>
      <w:r>
        <w:rPr>
          <w:szCs w:val="26"/>
        </w:rPr>
        <w:t xml:space="preserve">, </w:t>
      </w:r>
      <w:r w:rsidRPr="001353C4">
        <w:rPr>
          <w:szCs w:val="26"/>
        </w:rPr>
        <w:t>170 FERC ¶</w:t>
      </w:r>
      <w:r>
        <w:rPr>
          <w:szCs w:val="26"/>
        </w:rPr>
        <w:t> </w:t>
      </w:r>
      <w:r w:rsidRPr="001353C4">
        <w:rPr>
          <w:szCs w:val="26"/>
        </w:rPr>
        <w:t>61,033</w:t>
      </w:r>
      <w:r>
        <w:rPr>
          <w:szCs w:val="26"/>
        </w:rPr>
        <w:t xml:space="preserve"> (2020) (NYISO Aggregation Order).</w:t>
      </w:r>
    </w:p>
  </w:footnote>
  <w:footnote w:id="23">
    <w:p w:rsidR="00FB7F86" w:rsidP="005977D6" w:rsidRDefault="00FB7F86" w14:paraId="01D730CF" w14:textId="62CB7B7C">
      <w:pPr>
        <w:pStyle w:val="FootnoteText"/>
      </w:pPr>
      <w:r w:rsidRPr="007A2468">
        <w:rPr>
          <w:rStyle w:val="FootnoteReference"/>
        </w:rPr>
        <w:footnoteRef/>
      </w:r>
      <w:r w:rsidRPr="007A2468">
        <w:t xml:space="preserve"> </w:t>
      </w:r>
      <w:r w:rsidRPr="007A2468">
        <w:rPr>
          <w:i/>
          <w:iCs/>
        </w:rPr>
        <w:t>E.g.</w:t>
      </w:r>
      <w:r w:rsidRPr="007A2468">
        <w:t>,</w:t>
      </w:r>
      <w:r w:rsidRPr="00DE70CD">
        <w:t xml:space="preserve"> </w:t>
      </w:r>
      <w:r w:rsidRPr="007A2468">
        <w:t>CAISO Data Request Response (2019 RM18-9) at 6 (citing CAISO Tariff</w:t>
      </w:r>
      <w:r>
        <w:t>, Section 4.17</w:t>
      </w:r>
      <w:r w:rsidRPr="007A2468">
        <w:t>); ISO-NE Data Request Response (2019 RM18-9) at 17-18 (stating that distributed energy resources may participate in wholesale markets as demand resources or Settlement Only Resource</w:t>
      </w:r>
      <w:r>
        <w:t>s</w:t>
      </w:r>
      <w:r w:rsidRPr="007A2468">
        <w:t xml:space="preserve">).  </w:t>
      </w:r>
    </w:p>
  </w:footnote>
  <w:footnote w:id="24">
    <w:p w:rsidR="00FB7F86" w:rsidP="00B671A4" w:rsidRDefault="00FB7F86" w14:paraId="5FA85CE3" w14:textId="653F0038">
      <w:pPr>
        <w:pStyle w:val="FootnoteText"/>
      </w:pPr>
      <w:r>
        <w:rPr>
          <w:rStyle w:val="FootnoteReference"/>
        </w:rPr>
        <w:footnoteRef/>
      </w:r>
      <w:r>
        <w:t xml:space="preserve"> </w:t>
      </w:r>
      <w:r w:rsidRPr="0084566A">
        <w:t>NOPR</w:t>
      </w:r>
      <w:r>
        <w:t xml:space="preserve">, </w:t>
      </w:r>
      <w:r w:rsidRPr="00370A91">
        <w:t xml:space="preserve">157 FERC </w:t>
      </w:r>
      <w:r>
        <w:t>¶ </w:t>
      </w:r>
      <w:r w:rsidRPr="00370A91">
        <w:t>61,121</w:t>
      </w:r>
      <w:r w:rsidRPr="0084566A">
        <w:t xml:space="preserve"> at P</w:t>
      </w:r>
      <w:r>
        <w:t> </w:t>
      </w:r>
      <w:r w:rsidRPr="0084566A">
        <w:t xml:space="preserve">9 (citing </w:t>
      </w:r>
      <w:r w:rsidRPr="0084566A">
        <w:rPr>
          <w:i/>
        </w:rPr>
        <w:t xml:space="preserve">Integration of Variable Energy </w:t>
      </w:r>
      <w:r>
        <w:rPr>
          <w:i/>
        </w:rPr>
        <w:t>Resources</w:t>
      </w:r>
      <w:r w:rsidRPr="0084566A">
        <w:t xml:space="preserve">, Order No. 764, </w:t>
      </w:r>
      <w:r w:rsidRPr="001731E2">
        <w:t>139 FERC ¶ 61,246</w:t>
      </w:r>
      <w:r w:rsidRPr="00785A81">
        <w:t xml:space="preserve">, </w:t>
      </w:r>
      <w:r w:rsidRPr="00785A81">
        <w:rPr>
          <w:i/>
        </w:rPr>
        <w:t>order on reh’g</w:t>
      </w:r>
      <w:r>
        <w:rPr>
          <w:i/>
        </w:rPr>
        <w:t xml:space="preserve"> and clarification</w:t>
      </w:r>
      <w:r w:rsidRPr="00785A81">
        <w:t xml:space="preserve">, </w:t>
      </w:r>
      <w:r>
        <w:t xml:space="preserve">    </w:t>
      </w:r>
      <w:r w:rsidRPr="00785A81">
        <w:t>Order No. 764-A, 141 FERC ¶</w:t>
      </w:r>
      <w:r>
        <w:t> </w:t>
      </w:r>
      <w:r w:rsidRPr="00785A81">
        <w:t>61,232</w:t>
      </w:r>
      <w:r w:rsidRPr="0084566A">
        <w:t xml:space="preserve"> (2012), </w:t>
      </w:r>
      <w:r w:rsidRPr="0084566A">
        <w:rPr>
          <w:i/>
        </w:rPr>
        <w:t xml:space="preserve">order on </w:t>
      </w:r>
      <w:r>
        <w:rPr>
          <w:i/>
        </w:rPr>
        <w:t xml:space="preserve">clarification and </w:t>
      </w:r>
      <w:r w:rsidRPr="0084566A">
        <w:rPr>
          <w:i/>
        </w:rPr>
        <w:t>reh’g</w:t>
      </w:r>
      <w:r w:rsidRPr="0084566A">
        <w:t>, Order No. 764-B, 144 FERC ¶</w:t>
      </w:r>
      <w:r>
        <w:t> </w:t>
      </w:r>
      <w:r w:rsidRPr="0084566A">
        <w:t xml:space="preserve">61,222 (2013); </w:t>
      </w:r>
      <w:r w:rsidRPr="0084566A">
        <w:rPr>
          <w:i/>
        </w:rPr>
        <w:t xml:space="preserve">Wholesale Competition in Regions with Organized </w:t>
      </w:r>
      <w:r>
        <w:rPr>
          <w:i/>
        </w:rPr>
        <w:t>Electric Markets</w:t>
      </w:r>
      <w:r w:rsidRPr="0084566A">
        <w:t xml:space="preserve">, Order No. 719, </w:t>
      </w:r>
      <w:r w:rsidRPr="00B1643E">
        <w:t>73 FR 64100 (Oct. 28, 2008)</w:t>
      </w:r>
      <w:r>
        <w:t xml:space="preserve">, </w:t>
      </w:r>
      <w:r w:rsidRPr="007E5E1F">
        <w:t xml:space="preserve">125 </w:t>
      </w:r>
      <w:r w:rsidRPr="0084566A">
        <w:t xml:space="preserve">FERC </w:t>
      </w:r>
      <w:r w:rsidRPr="007E5E1F">
        <w:t>¶</w:t>
      </w:r>
      <w:r>
        <w:t> </w:t>
      </w:r>
      <w:r w:rsidRPr="007E5E1F">
        <w:t>61,071</w:t>
      </w:r>
      <w:r w:rsidRPr="0084566A">
        <w:t xml:space="preserve"> (2008), </w:t>
      </w:r>
      <w:r w:rsidRPr="0084566A">
        <w:rPr>
          <w:i/>
        </w:rPr>
        <w:t>order on reh’g</w:t>
      </w:r>
      <w:r w:rsidRPr="0084566A">
        <w:t xml:space="preserve">, Order No. 719-A, </w:t>
      </w:r>
      <w:r w:rsidRPr="00102997">
        <w:t xml:space="preserve">74 FR 37776 (Jul. 29, 2009), </w:t>
      </w:r>
      <w:r w:rsidRPr="007E5E1F">
        <w:t xml:space="preserve">128 </w:t>
      </w:r>
      <w:r w:rsidRPr="0084566A">
        <w:t xml:space="preserve">FERC </w:t>
      </w:r>
      <w:r w:rsidRPr="007E5E1F">
        <w:t>¶</w:t>
      </w:r>
      <w:r>
        <w:t> </w:t>
      </w:r>
      <w:r w:rsidRPr="007E5E1F">
        <w:t>61,059</w:t>
      </w:r>
      <w:r w:rsidRPr="0084566A">
        <w:t xml:space="preserve"> (2009), </w:t>
      </w:r>
      <w:r w:rsidRPr="0084566A">
        <w:rPr>
          <w:i/>
        </w:rPr>
        <w:t>order on reh’g</w:t>
      </w:r>
      <w:r w:rsidRPr="0084566A">
        <w:t>, Order No. 719-B, 129 FERC ¶</w:t>
      </w:r>
      <w:r>
        <w:t> </w:t>
      </w:r>
      <w:r w:rsidRPr="0084566A">
        <w:t>61,252 (2009</w:t>
      </w:r>
      <w:r>
        <w:t>))</w:t>
      </w:r>
      <w:r w:rsidRPr="0084566A">
        <w:t>.</w:t>
      </w:r>
    </w:p>
  </w:footnote>
  <w:footnote w:id="25">
    <w:p w:rsidR="00FB7F86" w:rsidRDefault="00FB7F86" w14:paraId="5F5D16FA" w14:textId="63495CD2">
      <w:pPr>
        <w:pStyle w:val="FootnoteText"/>
      </w:pPr>
      <w:r>
        <w:rPr>
          <w:rStyle w:val="FootnoteReference"/>
        </w:rPr>
        <w:footnoteRef/>
      </w:r>
      <w:r>
        <w:t xml:space="preserve"> </w:t>
      </w:r>
      <w:r>
        <w:rPr>
          <w:i/>
          <w:iCs/>
        </w:rPr>
        <w:t>Id.</w:t>
      </w:r>
      <w:r>
        <w:t xml:space="preserve"> P 13.</w:t>
      </w:r>
    </w:p>
  </w:footnote>
  <w:footnote w:id="26">
    <w:p w:rsidRPr="007B5EF1" w:rsidR="00FB7F86" w:rsidP="00B671A4" w:rsidRDefault="00FB7F86" w14:paraId="59005970" w14:textId="0981CBE3">
      <w:pPr>
        <w:pStyle w:val="FootnoteText"/>
      </w:pPr>
      <w:r>
        <w:rPr>
          <w:rStyle w:val="FootnoteReference"/>
        </w:rPr>
        <w:footnoteRef/>
      </w:r>
      <w:r>
        <w:t xml:space="preserve"> </w:t>
      </w:r>
      <w:r>
        <w:rPr>
          <w:i/>
        </w:rPr>
        <w:t>See</w:t>
      </w:r>
      <w:r w:rsidRPr="00DE70CD">
        <w:t xml:space="preserve"> </w:t>
      </w:r>
      <w:r>
        <w:rPr>
          <w:i/>
          <w:iCs/>
        </w:rPr>
        <w:t>id.</w:t>
      </w:r>
    </w:p>
  </w:footnote>
  <w:footnote w:id="27">
    <w:p w:rsidRPr="00422142" w:rsidR="00FB7F86" w:rsidP="00B671A4" w:rsidRDefault="00FB7F86" w14:paraId="7D7409E1" w14:textId="00E08995">
      <w:pPr>
        <w:pStyle w:val="FootnoteText"/>
      </w:pPr>
      <w:r>
        <w:rPr>
          <w:rStyle w:val="FootnoteReference"/>
        </w:rPr>
        <w:footnoteRef/>
      </w:r>
      <w:r>
        <w:t xml:space="preserve"> </w:t>
      </w:r>
      <w:r>
        <w:rPr>
          <w:i/>
        </w:rPr>
        <w:t>See</w:t>
      </w:r>
      <w:r w:rsidRPr="00DE70CD">
        <w:t xml:space="preserve"> </w:t>
      </w:r>
      <w:r>
        <w:rPr>
          <w:i/>
          <w:iCs/>
        </w:rPr>
        <w:t>id.</w:t>
      </w:r>
      <w:r>
        <w:t xml:space="preserve"> P 14.</w:t>
      </w:r>
    </w:p>
  </w:footnote>
  <w:footnote w:id="28">
    <w:p w:rsidRPr="00242FA5" w:rsidR="00FB7F86" w:rsidP="00B671A4" w:rsidRDefault="00FB7F86" w14:paraId="67AC0807" w14:textId="3C69E8CF">
      <w:pPr>
        <w:pStyle w:val="FootnoteText"/>
      </w:pPr>
      <w:r w:rsidRPr="00242FA5">
        <w:rPr>
          <w:rStyle w:val="FootnoteReference"/>
        </w:rPr>
        <w:footnoteRef/>
      </w:r>
      <w:r w:rsidRPr="00242FA5">
        <w:t xml:space="preserve"> </w:t>
      </w:r>
      <w:r w:rsidRPr="00242FA5">
        <w:rPr>
          <w:i/>
        </w:rPr>
        <w:t>See, e.g.</w:t>
      </w:r>
      <w:r w:rsidRPr="00370240">
        <w:t>,</w:t>
      </w:r>
      <w:r w:rsidRPr="00242FA5">
        <w:t xml:space="preserve"> Advanced Energy Economy </w:t>
      </w:r>
      <w:r>
        <w:t xml:space="preserve">Comments </w:t>
      </w:r>
      <w:bookmarkStart w:name="_Hlk30679008" w:id="8"/>
      <w:r>
        <w:t>(RM16-23)</w:t>
      </w:r>
      <w:bookmarkEnd w:id="8"/>
      <w:r>
        <w:t xml:space="preserve"> at</w:t>
      </w:r>
      <w:r w:rsidRPr="00242FA5">
        <w:t xml:space="preserve"> 31-32; Connecticut Department of Energy </w:t>
      </w:r>
      <w:r>
        <w:t xml:space="preserve">Comments (RM16-23) </w:t>
      </w:r>
      <w:r w:rsidRPr="00242FA5">
        <w:t xml:space="preserve">at 4; IPKeys/Motorola </w:t>
      </w:r>
      <w:r>
        <w:t>Comments (RM16-23) at</w:t>
      </w:r>
      <w:r w:rsidRPr="00242FA5">
        <w:t xml:space="preserve"> 4; Leadership Group </w:t>
      </w:r>
      <w:r>
        <w:t>Comments (RM16-23) at</w:t>
      </w:r>
      <w:r w:rsidRPr="00242FA5">
        <w:t xml:space="preserve"> 2; </w:t>
      </w:r>
      <w:r w:rsidRPr="00F46F42">
        <w:t>MISO Comments (RM16-23) at 2</w:t>
      </w:r>
      <w:r>
        <w:t xml:space="preserve">; </w:t>
      </w:r>
      <w:r w:rsidRPr="00F46F42">
        <w:t>Ohio Commission Comments (RM16-23) at 2-3</w:t>
      </w:r>
      <w:r w:rsidRPr="00242FA5">
        <w:t>.</w:t>
      </w:r>
    </w:p>
  </w:footnote>
  <w:footnote w:id="29">
    <w:p w:rsidRPr="00242FA5" w:rsidR="00FB7F86" w:rsidP="00B671A4" w:rsidRDefault="00FB7F86" w14:paraId="4DBCE828" w14:textId="069D2605">
      <w:pPr>
        <w:pStyle w:val="FootnoteText"/>
        <w:rPr>
          <w:szCs w:val="26"/>
        </w:rPr>
      </w:pPr>
      <w:r w:rsidRPr="00242FA5">
        <w:rPr>
          <w:rStyle w:val="FootnoteReference"/>
        </w:rPr>
        <w:footnoteRef/>
      </w:r>
      <w:r w:rsidRPr="00242FA5">
        <w:rPr>
          <w:szCs w:val="26"/>
        </w:rPr>
        <w:t xml:space="preserve"> AWEA </w:t>
      </w:r>
      <w:r>
        <w:rPr>
          <w:szCs w:val="26"/>
        </w:rPr>
        <w:t>Comments (RM16-23) at</w:t>
      </w:r>
      <w:r w:rsidRPr="00242FA5">
        <w:rPr>
          <w:szCs w:val="26"/>
        </w:rPr>
        <w:t xml:space="preserve"> 1-2; City of New York </w:t>
      </w:r>
      <w:r>
        <w:rPr>
          <w:szCs w:val="26"/>
        </w:rPr>
        <w:t>Comments (RM16-23) at</w:t>
      </w:r>
      <w:r w:rsidRPr="00242FA5">
        <w:rPr>
          <w:szCs w:val="26"/>
        </w:rPr>
        <w:t xml:space="preserve"> 3, 5, 7; Maryland and New Jersey Commissions </w:t>
      </w:r>
      <w:r>
        <w:rPr>
          <w:szCs w:val="26"/>
        </w:rPr>
        <w:t>Comments (RM16-23) at</w:t>
      </w:r>
      <w:r w:rsidRPr="00242FA5">
        <w:rPr>
          <w:szCs w:val="26"/>
        </w:rPr>
        <w:t xml:space="preserve"> 2; Ohio Commission </w:t>
      </w:r>
      <w:r>
        <w:rPr>
          <w:szCs w:val="26"/>
        </w:rPr>
        <w:t>Comments (RM16-23) at</w:t>
      </w:r>
      <w:r w:rsidRPr="00242FA5">
        <w:rPr>
          <w:szCs w:val="26"/>
        </w:rPr>
        <w:t xml:space="preserve"> 2; Public Interest Organizations </w:t>
      </w:r>
      <w:r>
        <w:rPr>
          <w:szCs w:val="26"/>
        </w:rPr>
        <w:t>Comments (RM16-23) at</w:t>
      </w:r>
      <w:r w:rsidRPr="00242FA5">
        <w:rPr>
          <w:szCs w:val="26"/>
        </w:rPr>
        <w:t xml:space="preserve"> 5-6.</w:t>
      </w:r>
    </w:p>
  </w:footnote>
  <w:footnote w:id="30">
    <w:p w:rsidRPr="00242FA5" w:rsidR="00FB7F86" w:rsidP="00B671A4" w:rsidRDefault="00FB7F86" w14:paraId="63232AC9" w14:textId="37953818">
      <w:pPr>
        <w:pStyle w:val="FootnoteText"/>
        <w:rPr>
          <w:szCs w:val="26"/>
        </w:rPr>
      </w:pPr>
      <w:r w:rsidRPr="00242FA5">
        <w:rPr>
          <w:rStyle w:val="FootnoteReference"/>
        </w:rPr>
        <w:footnoteRef/>
      </w:r>
      <w:r w:rsidRPr="00242FA5">
        <w:rPr>
          <w:szCs w:val="26"/>
        </w:rPr>
        <w:t xml:space="preserve"> </w:t>
      </w:r>
      <w:r w:rsidRPr="00A50DBE">
        <w:rPr>
          <w:szCs w:val="26"/>
        </w:rPr>
        <w:t xml:space="preserve">AWEA </w:t>
      </w:r>
      <w:r>
        <w:rPr>
          <w:szCs w:val="26"/>
        </w:rPr>
        <w:t>Comments (RM16-23) at</w:t>
      </w:r>
      <w:r w:rsidRPr="00A50DBE">
        <w:rPr>
          <w:szCs w:val="26"/>
        </w:rPr>
        <w:t xml:space="preserve"> 2</w:t>
      </w:r>
      <w:r>
        <w:rPr>
          <w:szCs w:val="26"/>
        </w:rPr>
        <w:t>.</w:t>
      </w:r>
    </w:p>
  </w:footnote>
  <w:footnote w:id="31">
    <w:p w:rsidRPr="00A50DBE" w:rsidR="00FB7F86" w:rsidP="00B671A4" w:rsidRDefault="00FB7F86" w14:paraId="572D3C35" w14:textId="27F39F99">
      <w:pPr>
        <w:pStyle w:val="FootnoteText"/>
        <w:rPr>
          <w:szCs w:val="26"/>
        </w:rPr>
      </w:pPr>
      <w:r w:rsidRPr="00242FA5">
        <w:rPr>
          <w:rStyle w:val="FootnoteReference"/>
        </w:rPr>
        <w:footnoteRef/>
      </w:r>
      <w:r w:rsidRPr="00242FA5">
        <w:rPr>
          <w:szCs w:val="26"/>
        </w:rPr>
        <w:t xml:space="preserve"> </w:t>
      </w:r>
      <w:r>
        <w:rPr>
          <w:i/>
          <w:iCs/>
          <w:szCs w:val="26"/>
        </w:rPr>
        <w:t>Id.</w:t>
      </w:r>
    </w:p>
  </w:footnote>
  <w:footnote w:id="32">
    <w:p w:rsidRPr="00A50DBE" w:rsidR="00FB7F86" w:rsidP="00B671A4" w:rsidRDefault="00FB7F86" w14:paraId="23E3A1A4" w14:textId="562DFDB4">
      <w:pPr>
        <w:pStyle w:val="FootnoteText"/>
        <w:rPr>
          <w:szCs w:val="26"/>
        </w:rPr>
      </w:pPr>
      <w:r w:rsidRPr="00A50DBE">
        <w:rPr>
          <w:rStyle w:val="FootnoteReference"/>
          <w:szCs w:val="26"/>
        </w:rPr>
        <w:footnoteRef/>
      </w:r>
      <w:r w:rsidRPr="00A50DBE">
        <w:rPr>
          <w:szCs w:val="26"/>
        </w:rPr>
        <w:t xml:space="preserve"> California Energy Storage Alliance </w:t>
      </w:r>
      <w:r>
        <w:rPr>
          <w:szCs w:val="26"/>
        </w:rPr>
        <w:t>Comments (RM16-23) at</w:t>
      </w:r>
      <w:r w:rsidRPr="00A50DBE">
        <w:rPr>
          <w:szCs w:val="26"/>
        </w:rPr>
        <w:t xml:space="preserve"> 4</w:t>
      </w:r>
      <w:r>
        <w:rPr>
          <w:szCs w:val="26"/>
        </w:rPr>
        <w:t xml:space="preserve">; </w:t>
      </w:r>
      <w:r w:rsidRPr="00A50DBE">
        <w:rPr>
          <w:color w:val="000000"/>
          <w:szCs w:val="26"/>
        </w:rPr>
        <w:t xml:space="preserve">Microgrid Resources Coalition </w:t>
      </w:r>
      <w:r>
        <w:rPr>
          <w:color w:val="000000"/>
          <w:szCs w:val="26"/>
        </w:rPr>
        <w:t>Comments (RM16-23) at</w:t>
      </w:r>
      <w:r w:rsidRPr="00A50DBE">
        <w:rPr>
          <w:color w:val="000000"/>
          <w:szCs w:val="26"/>
        </w:rPr>
        <w:t xml:space="preserve"> 10;</w:t>
      </w:r>
      <w:r>
        <w:rPr>
          <w:color w:val="000000"/>
          <w:szCs w:val="26"/>
        </w:rPr>
        <w:t xml:space="preserve"> </w:t>
      </w:r>
      <w:r w:rsidRPr="00A50DBE">
        <w:rPr>
          <w:bCs/>
          <w:szCs w:val="26"/>
        </w:rPr>
        <w:t xml:space="preserve">Union of Concerned Scientists </w:t>
      </w:r>
      <w:r>
        <w:rPr>
          <w:bCs/>
          <w:szCs w:val="26"/>
        </w:rPr>
        <w:t>Comments (RM16-23) at</w:t>
      </w:r>
      <w:r w:rsidRPr="00A50DBE">
        <w:rPr>
          <w:bCs/>
          <w:szCs w:val="26"/>
        </w:rPr>
        <w:t xml:space="preserve"> 9, 15, 17 (noting th</w:t>
      </w:r>
      <w:r>
        <w:rPr>
          <w:bCs/>
          <w:szCs w:val="26"/>
        </w:rPr>
        <w:t>e</w:t>
      </w:r>
      <w:r w:rsidRPr="00A50DBE">
        <w:rPr>
          <w:bCs/>
          <w:szCs w:val="26"/>
        </w:rPr>
        <w:t xml:space="preserve"> lack of participation models for potential market service providers like domestic electric water heaters </w:t>
      </w:r>
      <w:r>
        <w:rPr>
          <w:bCs/>
          <w:szCs w:val="26"/>
        </w:rPr>
        <w:t xml:space="preserve">and </w:t>
      </w:r>
      <w:r w:rsidRPr="00A50DBE">
        <w:rPr>
          <w:bCs/>
          <w:szCs w:val="26"/>
        </w:rPr>
        <w:t>distributed solar resources)</w:t>
      </w:r>
      <w:r w:rsidRPr="00A50DBE">
        <w:rPr>
          <w:szCs w:val="26"/>
        </w:rPr>
        <w:t>.</w:t>
      </w:r>
    </w:p>
  </w:footnote>
  <w:footnote w:id="33">
    <w:p w:rsidR="00FB7F86" w:rsidP="00B671A4" w:rsidRDefault="00FB7F86" w14:paraId="6EBCE59F" w14:textId="3D5A5BC3">
      <w:pPr>
        <w:pStyle w:val="FootnoteText"/>
      </w:pPr>
      <w:r>
        <w:rPr>
          <w:rStyle w:val="FootnoteReference"/>
        </w:rPr>
        <w:footnoteRef/>
      </w:r>
      <w:r>
        <w:t xml:space="preserve"> </w:t>
      </w:r>
      <w:r>
        <w:rPr>
          <w:i/>
          <w:iCs/>
        </w:rPr>
        <w:t>See, e.g.</w:t>
      </w:r>
      <w:r>
        <w:t>,</w:t>
      </w:r>
      <w:r>
        <w:rPr>
          <w:i/>
        </w:rPr>
        <w:t xml:space="preserve"> </w:t>
      </w:r>
      <w:r w:rsidRPr="00A50DBE">
        <w:rPr>
          <w:szCs w:val="26"/>
        </w:rPr>
        <w:t xml:space="preserve">Advanced Energy Management </w:t>
      </w:r>
      <w:r>
        <w:rPr>
          <w:szCs w:val="26"/>
        </w:rPr>
        <w:t>Comments (2018 RM18-9)</w:t>
      </w:r>
      <w:r w:rsidRPr="00A50DBE">
        <w:rPr>
          <w:szCs w:val="26"/>
        </w:rPr>
        <w:t xml:space="preserve"> at 3; Direct Energy </w:t>
      </w:r>
      <w:r>
        <w:rPr>
          <w:szCs w:val="26"/>
        </w:rPr>
        <w:t>Comments (2018 RM18-9)</w:t>
      </w:r>
      <w:r w:rsidRPr="00A50DBE">
        <w:rPr>
          <w:szCs w:val="26"/>
        </w:rPr>
        <w:t xml:space="preserve"> at 5</w:t>
      </w:r>
      <w:r>
        <w:rPr>
          <w:szCs w:val="26"/>
        </w:rPr>
        <w:t>, 11-13</w:t>
      </w:r>
      <w:r w:rsidRPr="00A50DBE">
        <w:rPr>
          <w:szCs w:val="26"/>
        </w:rPr>
        <w:t xml:space="preserve">; Energy Storage Association </w:t>
      </w:r>
      <w:r>
        <w:rPr>
          <w:szCs w:val="26"/>
        </w:rPr>
        <w:t>Comments (2018 RM18-9)</w:t>
      </w:r>
      <w:r w:rsidRPr="00A50DBE">
        <w:rPr>
          <w:szCs w:val="26"/>
        </w:rPr>
        <w:t xml:space="preserve"> at 2; Microsoft </w:t>
      </w:r>
      <w:r>
        <w:rPr>
          <w:szCs w:val="26"/>
        </w:rPr>
        <w:t>Comments (2018 RM18-9)</w:t>
      </w:r>
      <w:r w:rsidRPr="00A50DBE">
        <w:rPr>
          <w:szCs w:val="26"/>
        </w:rPr>
        <w:t xml:space="preserve"> at 16</w:t>
      </w:r>
      <w:r>
        <w:rPr>
          <w:szCs w:val="26"/>
        </w:rPr>
        <w:t>-17</w:t>
      </w:r>
      <w:r w:rsidRPr="00A50DBE">
        <w:rPr>
          <w:szCs w:val="26"/>
        </w:rPr>
        <w:t xml:space="preserve">; NRG </w:t>
      </w:r>
      <w:r>
        <w:rPr>
          <w:szCs w:val="26"/>
        </w:rPr>
        <w:t>Comments (2018 RM18-9)</w:t>
      </w:r>
      <w:r w:rsidRPr="00A50DBE">
        <w:rPr>
          <w:szCs w:val="26"/>
        </w:rPr>
        <w:t xml:space="preserve"> at </w:t>
      </w:r>
      <w:r>
        <w:rPr>
          <w:szCs w:val="26"/>
        </w:rPr>
        <w:t>5-6</w:t>
      </w:r>
      <w:r w:rsidRPr="00A50DBE">
        <w:rPr>
          <w:szCs w:val="26"/>
        </w:rPr>
        <w:t>.</w:t>
      </w:r>
    </w:p>
  </w:footnote>
  <w:footnote w:id="34">
    <w:p w:rsidRPr="00A50DBE" w:rsidR="00FB7F86" w:rsidP="00B671A4" w:rsidRDefault="00FB7F86" w14:paraId="5FC1E4D1" w14:textId="71563972">
      <w:pPr>
        <w:pStyle w:val="FootnoteText"/>
        <w:rPr>
          <w:szCs w:val="26"/>
        </w:rPr>
      </w:pPr>
      <w:r w:rsidRPr="00A50DBE">
        <w:rPr>
          <w:rStyle w:val="FootnoteReference"/>
          <w:szCs w:val="26"/>
        </w:rPr>
        <w:footnoteRef/>
      </w:r>
      <w:r w:rsidRPr="00A50DBE">
        <w:rPr>
          <w:szCs w:val="26"/>
        </w:rPr>
        <w:t xml:space="preserve"> Advanced Energy Economy </w:t>
      </w:r>
      <w:r>
        <w:rPr>
          <w:szCs w:val="26"/>
        </w:rPr>
        <w:t>Comments (2018 RM18-9)</w:t>
      </w:r>
      <w:r w:rsidRPr="00A50DBE">
        <w:rPr>
          <w:szCs w:val="26"/>
        </w:rPr>
        <w:t xml:space="preserve"> at 5; Advanced Energy Management </w:t>
      </w:r>
      <w:r>
        <w:rPr>
          <w:szCs w:val="26"/>
        </w:rPr>
        <w:t>Comments (2018 RM18-9)</w:t>
      </w:r>
      <w:r w:rsidRPr="00A50DBE">
        <w:rPr>
          <w:szCs w:val="26"/>
        </w:rPr>
        <w:t xml:space="preserve"> at 3; Microsoft </w:t>
      </w:r>
      <w:r>
        <w:rPr>
          <w:szCs w:val="26"/>
        </w:rPr>
        <w:t>Comments (2018 RM18-9)</w:t>
      </w:r>
      <w:r w:rsidRPr="00A50DBE">
        <w:rPr>
          <w:szCs w:val="26"/>
        </w:rPr>
        <w:t xml:space="preserve"> at 15-16; NRG </w:t>
      </w:r>
      <w:r>
        <w:rPr>
          <w:szCs w:val="26"/>
        </w:rPr>
        <w:t>Comments (2018 RM18-9)</w:t>
      </w:r>
      <w:r w:rsidRPr="00A50DBE">
        <w:rPr>
          <w:szCs w:val="26"/>
        </w:rPr>
        <w:t xml:space="preserve"> at 3.</w:t>
      </w:r>
    </w:p>
  </w:footnote>
  <w:footnote w:id="35">
    <w:p w:rsidRPr="00A50DBE" w:rsidR="00FB7F86" w:rsidP="00B671A4" w:rsidRDefault="00FB7F86" w14:paraId="2C742109" w14:textId="77777777">
      <w:pPr>
        <w:pStyle w:val="FootnoteText"/>
        <w:rPr>
          <w:szCs w:val="26"/>
        </w:rPr>
      </w:pPr>
      <w:r w:rsidRPr="00A50DBE">
        <w:rPr>
          <w:rStyle w:val="FootnoteReference"/>
          <w:szCs w:val="26"/>
        </w:rPr>
        <w:footnoteRef/>
      </w:r>
      <w:r w:rsidRPr="00A50DBE">
        <w:rPr>
          <w:szCs w:val="26"/>
        </w:rPr>
        <w:t xml:space="preserve"> Fresh Energy/Sierra Club/Union of Concerned Scientists </w:t>
      </w:r>
      <w:r>
        <w:rPr>
          <w:szCs w:val="26"/>
        </w:rPr>
        <w:t>Comments (RM16-23) at</w:t>
      </w:r>
      <w:r w:rsidRPr="00A50DBE">
        <w:rPr>
          <w:szCs w:val="26"/>
        </w:rPr>
        <w:t xml:space="preserve"> 1; Public Interest Organizations </w:t>
      </w:r>
      <w:r>
        <w:rPr>
          <w:szCs w:val="26"/>
        </w:rPr>
        <w:t>Comments (RM16-23) at</w:t>
      </w:r>
      <w:r w:rsidRPr="00A50DBE">
        <w:rPr>
          <w:szCs w:val="26"/>
        </w:rPr>
        <w:t xml:space="preserve"> 5-6</w:t>
      </w:r>
      <w:r w:rsidRPr="00A50DBE">
        <w:rPr>
          <w:bCs/>
          <w:szCs w:val="26"/>
        </w:rPr>
        <w:t>.</w:t>
      </w:r>
    </w:p>
  </w:footnote>
  <w:footnote w:id="36">
    <w:p w:rsidRPr="00A50DBE" w:rsidR="00FB7F86" w:rsidP="00B671A4" w:rsidRDefault="00FB7F86" w14:paraId="7E241A73" w14:textId="77777777">
      <w:pPr>
        <w:pStyle w:val="FootnoteText"/>
        <w:rPr>
          <w:szCs w:val="26"/>
        </w:rPr>
      </w:pPr>
      <w:r w:rsidRPr="00A50DBE">
        <w:rPr>
          <w:rStyle w:val="FootnoteReference"/>
          <w:szCs w:val="26"/>
        </w:rPr>
        <w:footnoteRef/>
      </w:r>
      <w:r w:rsidRPr="00A50DBE">
        <w:rPr>
          <w:szCs w:val="26"/>
        </w:rPr>
        <w:t xml:space="preserve"> PJM Market Monitor </w:t>
      </w:r>
      <w:r>
        <w:rPr>
          <w:szCs w:val="26"/>
        </w:rPr>
        <w:t>Comments (RM16-23) at</w:t>
      </w:r>
      <w:r w:rsidRPr="00A50DBE">
        <w:rPr>
          <w:szCs w:val="26"/>
        </w:rPr>
        <w:t xml:space="preserve"> 10-11; New York Utility Intervention Unit </w:t>
      </w:r>
      <w:r>
        <w:rPr>
          <w:szCs w:val="26"/>
        </w:rPr>
        <w:t>Comments (RM16-23) at</w:t>
      </w:r>
      <w:r w:rsidRPr="00A50DBE">
        <w:rPr>
          <w:szCs w:val="26"/>
        </w:rPr>
        <w:t xml:space="preserve"> 3.</w:t>
      </w:r>
    </w:p>
  </w:footnote>
  <w:footnote w:id="37">
    <w:p w:rsidR="00FB7F86" w:rsidP="00B32504" w:rsidRDefault="00FB7F86" w14:paraId="21BC3FFE" w14:textId="77777777">
      <w:pPr>
        <w:pStyle w:val="FootnoteText"/>
      </w:pPr>
      <w:r>
        <w:rPr>
          <w:rStyle w:val="FootnoteReference"/>
        </w:rPr>
        <w:footnoteRef/>
      </w:r>
      <w:r>
        <w:t xml:space="preserve"> </w:t>
      </w:r>
      <w:r w:rsidRPr="005E150A">
        <w:t xml:space="preserve">Public Interest Organizations Comments (RM16-23) at </w:t>
      </w:r>
      <w:r>
        <w:t>19</w:t>
      </w:r>
      <w:r w:rsidRPr="005E150A">
        <w:t>.</w:t>
      </w:r>
    </w:p>
  </w:footnote>
  <w:footnote w:id="38">
    <w:p w:rsidR="00FB7F86" w:rsidP="00B32504" w:rsidRDefault="00FB7F86" w14:paraId="4DEFBCDA" w14:textId="77777777">
      <w:pPr>
        <w:pStyle w:val="FootnoteText"/>
      </w:pPr>
      <w:r>
        <w:rPr>
          <w:rStyle w:val="FootnoteReference"/>
        </w:rPr>
        <w:footnoteRef/>
      </w:r>
      <w:r>
        <w:t xml:space="preserve"> Stem Comments (RM16-23) at 12, 16.</w:t>
      </w:r>
    </w:p>
  </w:footnote>
  <w:footnote w:id="39">
    <w:p w:rsidRPr="00A50DBE" w:rsidR="00FB7F86" w:rsidP="00B32504" w:rsidRDefault="00FB7F86" w14:paraId="317E3F5F" w14:textId="50EBA600">
      <w:pPr>
        <w:pStyle w:val="FootnoteText"/>
        <w:rPr>
          <w:szCs w:val="26"/>
        </w:rPr>
      </w:pPr>
      <w:r w:rsidRPr="00A50DBE">
        <w:rPr>
          <w:rStyle w:val="FootnoteReference"/>
        </w:rPr>
        <w:footnoteRef/>
      </w:r>
      <w:r w:rsidRPr="00A50DBE">
        <w:rPr>
          <w:szCs w:val="26"/>
        </w:rPr>
        <w:t xml:space="preserve"> Advanced Energy Economy </w:t>
      </w:r>
      <w:r>
        <w:rPr>
          <w:szCs w:val="26"/>
        </w:rPr>
        <w:t xml:space="preserve">states that the </w:t>
      </w:r>
      <w:r w:rsidRPr="00A50DBE">
        <w:rPr>
          <w:color w:val="000000"/>
          <w:szCs w:val="26"/>
        </w:rPr>
        <w:t xml:space="preserve">benefits </w:t>
      </w:r>
      <w:r>
        <w:rPr>
          <w:color w:val="000000"/>
          <w:szCs w:val="26"/>
        </w:rPr>
        <w:t>include the ability</w:t>
      </w:r>
      <w:r w:rsidRPr="00A50DBE">
        <w:rPr>
          <w:color w:val="000000"/>
          <w:szCs w:val="26"/>
        </w:rPr>
        <w:t xml:space="preserve"> to provide a quick response to system emergencies</w:t>
      </w:r>
      <w:r>
        <w:rPr>
          <w:color w:val="000000"/>
          <w:szCs w:val="26"/>
        </w:rPr>
        <w:t>,</w:t>
      </w:r>
      <w:r w:rsidRPr="00A50DBE">
        <w:rPr>
          <w:color w:val="000000"/>
          <w:szCs w:val="26"/>
        </w:rPr>
        <w:t xml:space="preserve"> which gives other resources time to ramp up or procure fuel, the ability of demand response to prevent blackouts during times of peak demand, and the ability to be dispatched granularly to provide support to specific parts of the grid.  Advanced Energy Economy </w:t>
      </w:r>
      <w:r>
        <w:rPr>
          <w:color w:val="000000"/>
          <w:szCs w:val="26"/>
        </w:rPr>
        <w:t>Comments (RM16-23) at</w:t>
      </w:r>
      <w:r w:rsidRPr="00A50DBE">
        <w:rPr>
          <w:color w:val="000000"/>
          <w:szCs w:val="26"/>
        </w:rPr>
        <w:t xml:space="preserve"> 42-43.</w:t>
      </w:r>
    </w:p>
  </w:footnote>
  <w:footnote w:id="40">
    <w:p w:rsidRPr="00A50DBE" w:rsidR="00FB7F86" w:rsidP="00B32504" w:rsidRDefault="00FB7F86" w14:paraId="5351E92B" w14:textId="08F8AFFA">
      <w:pPr>
        <w:pStyle w:val="FootnoteText"/>
        <w:rPr>
          <w:szCs w:val="26"/>
        </w:rPr>
      </w:pPr>
      <w:r w:rsidRPr="00A50DBE">
        <w:rPr>
          <w:rStyle w:val="FootnoteReference"/>
        </w:rPr>
        <w:footnoteRef/>
      </w:r>
      <w:r w:rsidRPr="00A50DBE">
        <w:rPr>
          <w:szCs w:val="26"/>
        </w:rPr>
        <w:t xml:space="preserve"> </w:t>
      </w:r>
      <w:r>
        <w:rPr>
          <w:i/>
          <w:iCs/>
          <w:szCs w:val="26"/>
        </w:rPr>
        <w:t>Id.</w:t>
      </w:r>
      <w:r w:rsidRPr="00A50DBE">
        <w:rPr>
          <w:color w:val="000000"/>
          <w:szCs w:val="26"/>
        </w:rPr>
        <w:t xml:space="preserve"> (arguing </w:t>
      </w:r>
      <w:r w:rsidRPr="00A50DBE">
        <w:rPr>
          <w:rFonts w:eastAsia="Times New Roman"/>
          <w:color w:val="000000"/>
          <w:szCs w:val="26"/>
        </w:rPr>
        <w:t xml:space="preserve">that PJM’s capacity performance construct and ISO-NE’s pay-for-performance construct both </w:t>
      </w:r>
      <w:r w:rsidRPr="00A50DBE">
        <w:rPr>
          <w:color w:val="000000"/>
          <w:szCs w:val="26"/>
        </w:rPr>
        <w:t>effectively require</w:t>
      </w:r>
      <w:r w:rsidRPr="00A50DBE">
        <w:rPr>
          <w:rFonts w:eastAsia="Times New Roman"/>
          <w:color w:val="000000"/>
          <w:szCs w:val="26"/>
        </w:rPr>
        <w:t xml:space="preserve"> indefinite run times to avoid performance penalties that can amount to more than a year’s worth of capacity revenue</w:t>
      </w:r>
      <w:r w:rsidRPr="00A50DBE">
        <w:rPr>
          <w:color w:val="000000"/>
          <w:szCs w:val="26"/>
        </w:rPr>
        <w:t>).</w:t>
      </w:r>
    </w:p>
  </w:footnote>
  <w:footnote w:id="41">
    <w:p w:rsidRPr="00A50DBE" w:rsidR="00FB7F86" w:rsidP="00B671A4" w:rsidRDefault="00FB7F86" w14:paraId="4A17B938" w14:textId="77777777">
      <w:pPr>
        <w:pStyle w:val="FootnoteText"/>
        <w:rPr>
          <w:szCs w:val="26"/>
        </w:rPr>
      </w:pPr>
      <w:r w:rsidRPr="00A50DBE">
        <w:rPr>
          <w:rStyle w:val="FootnoteReference"/>
          <w:szCs w:val="26"/>
        </w:rPr>
        <w:footnoteRef/>
      </w:r>
      <w:r w:rsidRPr="00A50DBE">
        <w:rPr>
          <w:szCs w:val="26"/>
        </w:rPr>
        <w:t xml:space="preserve"> Advanced Energy Economy </w:t>
      </w:r>
      <w:r>
        <w:rPr>
          <w:szCs w:val="26"/>
        </w:rPr>
        <w:t>Comments (2018 RM18-9)</w:t>
      </w:r>
      <w:r w:rsidRPr="00A50DBE">
        <w:rPr>
          <w:szCs w:val="26"/>
        </w:rPr>
        <w:t xml:space="preserve"> at 5.</w:t>
      </w:r>
    </w:p>
  </w:footnote>
  <w:footnote w:id="42">
    <w:p w:rsidRPr="00A50DBE" w:rsidR="00FB7F86" w:rsidP="00B671A4" w:rsidRDefault="00FB7F86" w14:paraId="0B297489" w14:textId="1D1ABCA8">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Pr>
          <w:i/>
          <w:szCs w:val="26"/>
        </w:rPr>
        <w:t xml:space="preserve"> </w:t>
      </w:r>
      <w:r w:rsidRPr="00A50DBE">
        <w:rPr>
          <w:szCs w:val="26"/>
        </w:rPr>
        <w:t xml:space="preserve">Advanced Energy Buyers </w:t>
      </w:r>
      <w:r>
        <w:rPr>
          <w:szCs w:val="26"/>
        </w:rPr>
        <w:t>Comments (2018 RM18-9)</w:t>
      </w:r>
      <w:r w:rsidRPr="00A50DBE">
        <w:rPr>
          <w:szCs w:val="26"/>
        </w:rPr>
        <w:t xml:space="preserve"> at 3; CAISO </w:t>
      </w:r>
      <w:r>
        <w:rPr>
          <w:szCs w:val="26"/>
        </w:rPr>
        <w:t>Comments (2018 RM18-9)</w:t>
      </w:r>
      <w:r w:rsidRPr="00A50DBE">
        <w:rPr>
          <w:szCs w:val="26"/>
        </w:rPr>
        <w:t xml:space="preserve"> at 1; Direct Energy </w:t>
      </w:r>
      <w:r>
        <w:rPr>
          <w:szCs w:val="26"/>
        </w:rPr>
        <w:t>Comments (2018 RM18-9)</w:t>
      </w:r>
      <w:r w:rsidRPr="00A50DBE">
        <w:rPr>
          <w:szCs w:val="26"/>
        </w:rPr>
        <w:t xml:space="preserve"> at 11-13; NRG </w:t>
      </w:r>
      <w:r>
        <w:rPr>
          <w:szCs w:val="26"/>
        </w:rPr>
        <w:t>Comments (2018 RM18-9)</w:t>
      </w:r>
      <w:r w:rsidRPr="00A50DBE">
        <w:rPr>
          <w:szCs w:val="26"/>
        </w:rPr>
        <w:t xml:space="preserve"> at </w:t>
      </w:r>
      <w:r>
        <w:rPr>
          <w:szCs w:val="26"/>
        </w:rPr>
        <w:t>5-6</w:t>
      </w:r>
      <w:r w:rsidRPr="00A50DBE">
        <w:rPr>
          <w:szCs w:val="26"/>
        </w:rPr>
        <w:t xml:space="preserve">; Tesla </w:t>
      </w:r>
      <w:r>
        <w:rPr>
          <w:szCs w:val="26"/>
        </w:rPr>
        <w:t>Comments (2018 RM18-9)</w:t>
      </w:r>
      <w:r w:rsidRPr="00A50DBE">
        <w:rPr>
          <w:szCs w:val="26"/>
        </w:rPr>
        <w:t xml:space="preserve"> at 3.</w:t>
      </w:r>
    </w:p>
  </w:footnote>
  <w:footnote w:id="43">
    <w:p w:rsidRPr="00A50DBE" w:rsidR="00FB7F86" w:rsidP="00B671A4" w:rsidRDefault="00FB7F86" w14:paraId="5068616B" w14:textId="25C43BCB">
      <w:pPr>
        <w:pStyle w:val="FootnoteText"/>
        <w:rPr>
          <w:szCs w:val="26"/>
        </w:rPr>
      </w:pPr>
      <w:r w:rsidRPr="00A50DBE">
        <w:rPr>
          <w:rStyle w:val="FootnoteReference"/>
          <w:szCs w:val="26"/>
        </w:rPr>
        <w:footnoteRef/>
      </w:r>
      <w:r w:rsidRPr="00A50DBE">
        <w:rPr>
          <w:szCs w:val="26"/>
        </w:rPr>
        <w:t xml:space="preserve"> Advanced Energy Buyers </w:t>
      </w:r>
      <w:r>
        <w:rPr>
          <w:szCs w:val="26"/>
        </w:rPr>
        <w:t>Comments (2018 RM18-9)</w:t>
      </w:r>
      <w:r w:rsidRPr="00A50DBE">
        <w:rPr>
          <w:szCs w:val="26"/>
        </w:rPr>
        <w:t xml:space="preserve"> at 5.</w:t>
      </w:r>
    </w:p>
  </w:footnote>
  <w:footnote w:id="44">
    <w:p w:rsidRPr="00A50DBE" w:rsidR="00FB7F86" w:rsidP="00B671A4" w:rsidRDefault="00FB7F86" w14:paraId="4F6E21CF" w14:textId="4277F3DD">
      <w:pPr>
        <w:pStyle w:val="FootnoteText"/>
        <w:rPr>
          <w:szCs w:val="26"/>
        </w:rPr>
      </w:pPr>
      <w:r w:rsidRPr="00A50DBE">
        <w:rPr>
          <w:rStyle w:val="FootnoteReference"/>
          <w:szCs w:val="26"/>
        </w:rPr>
        <w:footnoteRef/>
      </w:r>
      <w:r w:rsidRPr="00A50DBE">
        <w:rPr>
          <w:szCs w:val="26"/>
        </w:rPr>
        <w:t xml:space="preserve"> NYISO Indicated Transmission </w:t>
      </w:r>
      <w:r>
        <w:rPr>
          <w:szCs w:val="26"/>
        </w:rPr>
        <w:t xml:space="preserve">Owners Comments </w:t>
      </w:r>
      <w:r w:rsidRPr="00A50DBE">
        <w:rPr>
          <w:szCs w:val="26"/>
        </w:rPr>
        <w:t>(</w:t>
      </w:r>
      <w:r>
        <w:rPr>
          <w:szCs w:val="26"/>
        </w:rPr>
        <w:t xml:space="preserve">2018 </w:t>
      </w:r>
      <w:r w:rsidRPr="00A50DBE">
        <w:rPr>
          <w:szCs w:val="26"/>
        </w:rPr>
        <w:t>RM18-9) at 4.</w:t>
      </w:r>
    </w:p>
  </w:footnote>
  <w:footnote w:id="45">
    <w:p w:rsidRPr="00A50DBE" w:rsidR="00FB7F86" w:rsidP="00B671A4" w:rsidRDefault="00FB7F86" w14:paraId="4CEBE2D4" w14:textId="46CB3C08">
      <w:pPr>
        <w:pStyle w:val="FootnoteText"/>
        <w:rPr>
          <w:szCs w:val="26"/>
        </w:rPr>
      </w:pPr>
      <w:r w:rsidRPr="00A50DBE">
        <w:rPr>
          <w:rStyle w:val="FootnoteReference"/>
          <w:szCs w:val="26"/>
        </w:rPr>
        <w:footnoteRef/>
      </w:r>
      <w:r w:rsidRPr="00A50DBE">
        <w:rPr>
          <w:szCs w:val="26"/>
        </w:rPr>
        <w:t xml:space="preserve"> </w:t>
      </w:r>
      <w:r>
        <w:rPr>
          <w:i/>
          <w:iCs/>
          <w:szCs w:val="26"/>
        </w:rPr>
        <w:t>Id.</w:t>
      </w:r>
      <w:r>
        <w:rPr>
          <w:szCs w:val="26"/>
        </w:rPr>
        <w:t xml:space="preserve">; </w:t>
      </w:r>
      <w:r w:rsidRPr="00A50DBE">
        <w:rPr>
          <w:szCs w:val="26"/>
        </w:rPr>
        <w:t xml:space="preserve">Microsoft </w:t>
      </w:r>
      <w:r>
        <w:rPr>
          <w:szCs w:val="26"/>
        </w:rPr>
        <w:t>Comments (2018 RM18-9)</w:t>
      </w:r>
      <w:r w:rsidRPr="00A50DBE">
        <w:rPr>
          <w:szCs w:val="26"/>
        </w:rPr>
        <w:t xml:space="preserve"> at 13. </w:t>
      </w:r>
    </w:p>
  </w:footnote>
  <w:footnote w:id="46">
    <w:p w:rsidR="00FB7F86" w:rsidRDefault="00FB7F86" w14:paraId="4C34D838" w14:textId="7DCADA8A">
      <w:pPr>
        <w:pStyle w:val="FootnoteText"/>
      </w:pPr>
      <w:r>
        <w:rPr>
          <w:rStyle w:val="FootnoteReference"/>
        </w:rPr>
        <w:footnoteRef/>
      </w:r>
      <w:r>
        <w:t xml:space="preserve"> September 22, 2017 Letter to Chairman Neil Chatterjee from United States Senators Sheldon Whitehouse, Cory A. Booker, Edward J. Markey, Ron Wyden, Elizabeth Warren and Bernard Sanders (filed Sept. 25, 2017) (September 22 Letter); </w:t>
      </w:r>
      <w:r>
        <w:rPr>
          <w:i/>
          <w:iCs/>
        </w:rPr>
        <w:t xml:space="preserve">see also </w:t>
      </w:r>
      <w:r>
        <w:t>May 23, 2018 Letter to Chairman Kevin McIntyre from United States Senators Sheldon Whitehouse, Edward J. Markey, Martin Heinrich, Jeanne Shaheen, Richard Blumenthal, Margaret Wood Hassan, Angus S. King, Jr., Dianne Feinstein, Bernard Sanders, Catherine Cortez Masto, Jack Reed, Ron Wyden, Jeff Merkley, Kamala D. Harris, Cory A. Booker, and Brian Schatz (filed May 23, 2018) (discussing 2016 estimates from the Energy Information Administration that distributed energy resources accounted for about two percent of the installed generation capacity in the United States).  In response to the September 22 Letter, Chairman Chatterjee stated that the Commission has a role in fostering resource neutral, non-discriminatory policies with respect to the wholesale markets, including removing barriers to the participation of distributed energy resources in the wholesale markets.  Chairman’s Response to September 22 Letter (filed Oct. 5, 2017).</w:t>
      </w:r>
    </w:p>
  </w:footnote>
  <w:footnote w:id="47">
    <w:p w:rsidR="00FB7F86" w:rsidRDefault="00FB7F86" w14:paraId="2F9F8CD2" w14:textId="6C77869C">
      <w:pPr>
        <w:pStyle w:val="FootnoteText"/>
      </w:pPr>
      <w:r>
        <w:rPr>
          <w:rStyle w:val="FootnoteReference"/>
        </w:rPr>
        <w:footnoteRef/>
      </w:r>
      <w:r>
        <w:t xml:space="preserve"> February 11, 2019 Letter to Chairman Neil Chatterjee from United States Congress members Peter Welch, Mike Levin, Mike Quigley, Paul D. Tonko, Daniel W. Lipinski, Jerry McNerney, James R. Langevin, Kathy Castor, Raul M. Grijalva, Mark Pocan, Donald S. Beyer Jr., Matt Cartwright, Nanette Diaz Barragán, Sean Casten, Jamie Raskin, James P. McGovern, and Mike Doyle (filed Feb. 11, 2019); February 11, 2019 Letter to Chairman Neil Chatterjee from United States Senators Sheldon Whitehouse, Edward J. Markey, Cory A. Booker, Catherine Cortez Masto, Martin Heinrich, Brian Schatz, Ron Wyden, Jeffrey A. Merkley, Kamala D. Harris, Richard Blumenthal, Jack Reed, Angus S. King, Jr., Tina Smith, Jacky Rosen, Margaret Wood Hassan, Jeanne Shaheen, Dianne Feinstein, and Bernard Sanders (filed Feb. 21, 2019). </w:t>
      </w:r>
    </w:p>
  </w:footnote>
  <w:footnote w:id="48">
    <w:p w:rsidRPr="00A50DBE" w:rsidR="00FB7F86" w:rsidP="00B671A4" w:rsidRDefault="00FB7F86" w14:paraId="7374CFD4" w14:textId="334EE1E4">
      <w:pPr>
        <w:pStyle w:val="FootnoteText"/>
        <w:rPr>
          <w:szCs w:val="26"/>
        </w:rPr>
      </w:pPr>
      <w:r w:rsidRPr="00A50DBE">
        <w:rPr>
          <w:rStyle w:val="FootnoteReference"/>
          <w:szCs w:val="26"/>
        </w:rPr>
        <w:footnoteRef/>
      </w:r>
      <w:r w:rsidRPr="00A50DBE">
        <w:rPr>
          <w:szCs w:val="26"/>
        </w:rPr>
        <w:t xml:space="preserve"> </w:t>
      </w:r>
      <w:r w:rsidRPr="00A50DBE">
        <w:rPr>
          <w:rFonts w:eastAsia="Cambria"/>
          <w:szCs w:val="26"/>
        </w:rPr>
        <w:t xml:space="preserve">Mensah </w:t>
      </w:r>
      <w:r>
        <w:rPr>
          <w:rFonts w:eastAsia="Cambria"/>
          <w:szCs w:val="26"/>
        </w:rPr>
        <w:t>Comments (RM16-23) at</w:t>
      </w:r>
      <w:r w:rsidRPr="00A50DBE">
        <w:rPr>
          <w:rFonts w:eastAsia="Cambria"/>
          <w:szCs w:val="26"/>
        </w:rPr>
        <w:t xml:space="preserve"> 3</w:t>
      </w:r>
      <w:r w:rsidRPr="00A50DBE">
        <w:rPr>
          <w:szCs w:val="26"/>
        </w:rPr>
        <w:t xml:space="preserve">.  </w:t>
      </w:r>
    </w:p>
  </w:footnote>
  <w:footnote w:id="49">
    <w:p w:rsidR="00FB7F86" w:rsidP="00B671A4" w:rsidRDefault="00FB7F86" w14:paraId="3D960173" w14:textId="45EF9A7A">
      <w:pPr>
        <w:pStyle w:val="FootnoteText"/>
      </w:pPr>
      <w:r>
        <w:rPr>
          <w:rStyle w:val="FootnoteReference"/>
        </w:rPr>
        <w:footnoteRef/>
      </w:r>
      <w:r>
        <w:t xml:space="preserve"> Tesla Comments (2018 RM18-9) at 7.</w:t>
      </w:r>
    </w:p>
  </w:footnote>
  <w:footnote w:id="50">
    <w:p w:rsidRPr="00A50DBE" w:rsidR="00FB7F86" w:rsidP="00B671A4" w:rsidRDefault="00FB7F86" w14:paraId="704003D1" w14:textId="2438AB5E">
      <w:pPr>
        <w:pStyle w:val="FootnoteText"/>
        <w:rPr>
          <w:szCs w:val="26"/>
        </w:rPr>
      </w:pPr>
      <w:r w:rsidRPr="00A50DBE">
        <w:rPr>
          <w:rStyle w:val="FootnoteReference"/>
        </w:rPr>
        <w:footnoteRef/>
      </w:r>
      <w:r w:rsidRPr="00A50DBE">
        <w:rPr>
          <w:szCs w:val="26"/>
        </w:rPr>
        <w:t xml:space="preserve"> </w:t>
      </w:r>
      <w:r>
        <w:rPr>
          <w:i/>
          <w:iCs/>
        </w:rPr>
        <w:t>Id.</w:t>
      </w:r>
      <w:r w:rsidRPr="00A50DBE">
        <w:rPr>
          <w:szCs w:val="26"/>
        </w:rPr>
        <w:t xml:space="preserve"> at 1, 7.</w:t>
      </w:r>
    </w:p>
  </w:footnote>
  <w:footnote w:id="51">
    <w:p w:rsidRPr="00A50DBE" w:rsidR="00FB7F86" w:rsidP="00B671A4" w:rsidRDefault="00FB7F86" w14:paraId="7F9A6DB5" w14:textId="2D12F3F1">
      <w:pPr>
        <w:pStyle w:val="FootnoteText"/>
        <w:rPr>
          <w:szCs w:val="26"/>
        </w:rPr>
      </w:pPr>
      <w:r w:rsidRPr="00A50DBE">
        <w:rPr>
          <w:rStyle w:val="FootnoteReference"/>
          <w:szCs w:val="26"/>
        </w:rPr>
        <w:footnoteRef/>
      </w:r>
      <w:r w:rsidRPr="00A50DBE">
        <w:rPr>
          <w:szCs w:val="26"/>
        </w:rPr>
        <w:t xml:space="preserve"> Advanced Energy Buyers </w:t>
      </w:r>
      <w:r>
        <w:rPr>
          <w:szCs w:val="26"/>
        </w:rPr>
        <w:t>Comments (2018 RM18-9)</w:t>
      </w:r>
      <w:r w:rsidRPr="00A50DBE">
        <w:rPr>
          <w:szCs w:val="26"/>
        </w:rPr>
        <w:t xml:space="preserve"> at 2; Advanced Energy Economy </w:t>
      </w:r>
      <w:r>
        <w:rPr>
          <w:szCs w:val="26"/>
        </w:rPr>
        <w:t>Comments (2018 RM18-9)</w:t>
      </w:r>
      <w:r w:rsidRPr="00A50DBE">
        <w:rPr>
          <w:szCs w:val="26"/>
        </w:rPr>
        <w:t xml:space="preserve"> at 5.</w:t>
      </w:r>
    </w:p>
  </w:footnote>
  <w:footnote w:id="52">
    <w:p w:rsidRPr="00A50DBE" w:rsidR="00FB7F86" w:rsidP="00B671A4" w:rsidRDefault="00FB7F86" w14:paraId="626FB236" w14:textId="4B252045">
      <w:pPr>
        <w:pStyle w:val="FootnoteText"/>
        <w:rPr>
          <w:szCs w:val="26"/>
        </w:rPr>
      </w:pPr>
      <w:r w:rsidRPr="00A50DBE">
        <w:rPr>
          <w:rStyle w:val="FootnoteReference"/>
          <w:szCs w:val="26"/>
        </w:rPr>
        <w:footnoteRef/>
      </w:r>
      <w:r w:rsidRPr="00A50DBE">
        <w:rPr>
          <w:szCs w:val="26"/>
        </w:rPr>
        <w:t xml:space="preserve"> Advanced Energy Buyers </w:t>
      </w:r>
      <w:r>
        <w:rPr>
          <w:szCs w:val="26"/>
        </w:rPr>
        <w:t>Comments (2018 RM18-9)</w:t>
      </w:r>
      <w:r w:rsidRPr="00A50DBE">
        <w:rPr>
          <w:szCs w:val="26"/>
        </w:rPr>
        <w:t xml:space="preserve"> at 5.</w:t>
      </w:r>
    </w:p>
  </w:footnote>
  <w:footnote w:id="53">
    <w:p w:rsidRPr="00A50DBE" w:rsidR="00FB7F86" w:rsidP="00B671A4" w:rsidRDefault="00FB7F86" w14:paraId="1E264BF3" w14:textId="77777777">
      <w:pPr>
        <w:pStyle w:val="FootnoteText"/>
        <w:rPr>
          <w:szCs w:val="26"/>
        </w:rPr>
      </w:pPr>
      <w:r w:rsidRPr="00A50DBE">
        <w:rPr>
          <w:rStyle w:val="FootnoteReference"/>
          <w:szCs w:val="26"/>
        </w:rPr>
        <w:footnoteRef/>
      </w:r>
      <w:r w:rsidRPr="00A50DBE">
        <w:rPr>
          <w:szCs w:val="26"/>
        </w:rPr>
        <w:t xml:space="preserve"> Microsoft </w:t>
      </w:r>
      <w:r>
        <w:rPr>
          <w:szCs w:val="26"/>
        </w:rPr>
        <w:t>Comments (2018 RM18-9)</w:t>
      </w:r>
      <w:r w:rsidRPr="00A50DBE">
        <w:rPr>
          <w:szCs w:val="26"/>
        </w:rPr>
        <w:t xml:space="preserve"> at 13.</w:t>
      </w:r>
    </w:p>
  </w:footnote>
  <w:footnote w:id="54">
    <w:p w:rsidRPr="00F11D3D" w:rsidR="00FB7F86" w:rsidP="00094E4F" w:rsidRDefault="00FB7F86" w14:paraId="28575A45" w14:textId="77777777">
      <w:pPr>
        <w:pStyle w:val="FootnoteText"/>
        <w:rPr>
          <w:szCs w:val="26"/>
        </w:rPr>
      </w:pPr>
      <w:r w:rsidRPr="00F11D3D">
        <w:rPr>
          <w:rStyle w:val="FootnoteReference"/>
          <w:szCs w:val="26"/>
        </w:rPr>
        <w:footnoteRef/>
      </w:r>
      <w:r w:rsidRPr="00F11D3D">
        <w:rPr>
          <w:szCs w:val="26"/>
        </w:rPr>
        <w:t xml:space="preserve"> EEI </w:t>
      </w:r>
      <w:r>
        <w:rPr>
          <w:szCs w:val="26"/>
        </w:rPr>
        <w:t>Comments (2018 RM18-9)</w:t>
      </w:r>
      <w:r w:rsidRPr="00F11D3D">
        <w:rPr>
          <w:szCs w:val="26"/>
        </w:rPr>
        <w:t xml:space="preserve"> at 3.</w:t>
      </w:r>
    </w:p>
  </w:footnote>
  <w:footnote w:id="55">
    <w:p w:rsidR="00FB7F86" w:rsidRDefault="00FB7F86" w14:paraId="18B8D018" w14:textId="77813144">
      <w:pPr>
        <w:pStyle w:val="FootnoteText"/>
      </w:pPr>
      <w:r>
        <w:rPr>
          <w:rStyle w:val="FootnoteReference"/>
        </w:rPr>
        <w:footnoteRef/>
      </w:r>
      <w:r>
        <w:t xml:space="preserve"> APPA Comments (2018 RM18-9) at 10.</w:t>
      </w:r>
    </w:p>
  </w:footnote>
  <w:footnote w:id="56">
    <w:p w:rsidRPr="00A50DBE" w:rsidR="00FB7F86" w:rsidP="00B671A4" w:rsidRDefault="00FB7F86" w14:paraId="194D3840" w14:textId="6E974647">
      <w:pPr>
        <w:pStyle w:val="FootnoteText"/>
      </w:pPr>
      <w:r w:rsidRPr="00A50DBE">
        <w:rPr>
          <w:rStyle w:val="FootnoteReference"/>
          <w:szCs w:val="26"/>
        </w:rPr>
        <w:footnoteRef/>
      </w:r>
      <w:r w:rsidRPr="00A50DBE">
        <w:t xml:space="preserve"> </w:t>
      </w:r>
      <w:r w:rsidRPr="00A50DBE">
        <w:rPr>
          <w:i/>
        </w:rPr>
        <w:t>See</w:t>
      </w:r>
      <w:r w:rsidRPr="00A50DBE">
        <w:t xml:space="preserve"> NOPR</w:t>
      </w:r>
      <w:r>
        <w:t xml:space="preserve">, </w:t>
      </w:r>
      <w:r w:rsidRPr="00370A91">
        <w:t xml:space="preserve">157 FERC </w:t>
      </w:r>
      <w:r>
        <w:t>¶ </w:t>
      </w:r>
      <w:r w:rsidRPr="00370A91">
        <w:t>61,121</w:t>
      </w:r>
      <w:r w:rsidRPr="00A50DBE">
        <w:t xml:space="preserve"> at P</w:t>
      </w:r>
      <w:r>
        <w:t> </w:t>
      </w:r>
      <w:r w:rsidRPr="00A50DBE">
        <w:t>124.</w:t>
      </w:r>
    </w:p>
  </w:footnote>
  <w:footnote w:id="57">
    <w:p w:rsidRPr="00A50DBE" w:rsidR="00FB7F86" w:rsidP="00B671A4" w:rsidRDefault="00FB7F86" w14:paraId="66842A2D" w14:textId="640B1731">
      <w:pPr>
        <w:pStyle w:val="FootnoteText"/>
      </w:pPr>
      <w:r w:rsidRPr="00A50DBE">
        <w:rPr>
          <w:rStyle w:val="FootnoteReference"/>
          <w:szCs w:val="26"/>
        </w:rPr>
        <w:footnoteRef/>
      </w:r>
      <w:r w:rsidRPr="00A50DBE">
        <w:t xml:space="preserve"> </w:t>
      </w:r>
      <w:r w:rsidRPr="00A50DBE">
        <w:rPr>
          <w:i/>
        </w:rPr>
        <w:t>See</w:t>
      </w:r>
      <w:r w:rsidRPr="00A50DBE">
        <w:t xml:space="preserve"> </w:t>
      </w:r>
      <w:r>
        <w:rPr>
          <w:i/>
          <w:iCs/>
        </w:rPr>
        <w:t>id.</w:t>
      </w:r>
      <w:r w:rsidRPr="00A50DBE">
        <w:t xml:space="preserve"> P</w:t>
      </w:r>
      <w:r>
        <w:t> </w:t>
      </w:r>
      <w:r w:rsidRPr="00A50DBE">
        <w:t>125.</w:t>
      </w:r>
    </w:p>
  </w:footnote>
  <w:footnote w:id="58">
    <w:p w:rsidRPr="006254F2" w:rsidR="00FB7F86" w:rsidP="00FB7F86" w:rsidRDefault="00FB7F86" w14:paraId="73D38C00" w14:textId="3D19FAEC">
      <w:pPr>
        <w:pStyle w:val="FootnoteText"/>
        <w:widowControl/>
      </w:pPr>
      <w:r>
        <w:rPr>
          <w:rStyle w:val="FootnoteReference"/>
        </w:rPr>
        <w:footnoteRef/>
      </w:r>
      <w:r>
        <w:t xml:space="preserve"> </w:t>
      </w:r>
      <w:r>
        <w:rPr>
          <w:i/>
          <w:iCs/>
        </w:rPr>
        <w:t>See infra</w:t>
      </w:r>
      <w:r w:rsidRPr="00DE70CD">
        <w:t xml:space="preserve"> </w:t>
      </w:r>
      <w:r>
        <w:t xml:space="preserve">Section IV.C.4 </w:t>
      </w:r>
      <w:r w:rsidRPr="00471518">
        <w:t>(Minimum and Maximum Size</w:t>
      </w:r>
      <w:r>
        <w:t xml:space="preserve"> of Aggregation</w:t>
      </w:r>
      <w:r w:rsidRPr="00471518">
        <w:t>) (agreeing with commenters that a minimum size requirement not to exceed 100 kW will help improve competition in the RTO/ISO markets and avoid confusion about appropriate minimum size requirements for distributed energy resource aggregations under existing or new participation models); Section IV.C.6 (Single Resource Aggregation) (explaining that a consistent minimum size requirement will minimize barriers in the event that</w:t>
      </w:r>
      <w:r w:rsidRPr="009A3740">
        <w:t xml:space="preserve"> an individual distributed energy resource ceases to participate in a multi-resource aggregation and subsequently seeks to participate in RTO/ISO markets as a single qualifying distributed energy resource aggregation</w:t>
      </w:r>
      <w:r>
        <w:t>).</w:t>
      </w:r>
    </w:p>
  </w:footnote>
  <w:footnote w:id="59">
    <w:p w:rsidR="00FB7F86" w:rsidP="00FB7F86" w:rsidRDefault="00FB7F86" w14:paraId="6D2171EE" w14:textId="0452B277">
      <w:pPr>
        <w:pStyle w:val="FootnoteText"/>
        <w:widowControl/>
      </w:pPr>
      <w:r>
        <w:rPr>
          <w:rStyle w:val="FootnoteReference"/>
        </w:rPr>
        <w:footnoteRef/>
      </w:r>
      <w:r>
        <w:t xml:space="preserve"> For example, </w:t>
      </w:r>
      <w:r w:rsidRPr="00C946BD">
        <w:t>w</w:t>
      </w:r>
      <w:r w:rsidRPr="00ED37E7">
        <w:t>hen participating through demand response programs</w:t>
      </w:r>
      <w:r>
        <w:t xml:space="preserve">, distributed energy resources generally can only operate to reduce customer demand at the meter, and any injection/generation cannot exceed customer demand.  Consequently, these resources are prevented from injecting additional electricity into the grid to make sales of electricity in RTO/ISO markets. </w:t>
      </w:r>
    </w:p>
  </w:footnote>
  <w:footnote w:id="60">
    <w:p w:rsidRPr="001477B6" w:rsidR="00FB7F86" w:rsidP="00B671A4" w:rsidRDefault="00FB7F86" w14:paraId="2E9ADF8F" w14:textId="12DE5FF9">
      <w:pPr>
        <w:pStyle w:val="FootnoteText"/>
      </w:pPr>
      <w:r w:rsidRPr="00A50DBE">
        <w:rPr>
          <w:rStyle w:val="FootnoteReference"/>
          <w:szCs w:val="26"/>
        </w:rPr>
        <w:footnoteRef/>
      </w:r>
      <w:r w:rsidRPr="00A50DBE">
        <w:t xml:space="preserve"> </w:t>
      </w:r>
      <w:r w:rsidRPr="00A50DBE">
        <w:rPr>
          <w:i/>
        </w:rPr>
        <w:t>See</w:t>
      </w:r>
      <w:r w:rsidRPr="00A50DBE">
        <w:t xml:space="preserve"> </w:t>
      </w:r>
      <w:r>
        <w:rPr>
          <w:i/>
          <w:iCs/>
        </w:rPr>
        <w:t>infra</w:t>
      </w:r>
      <w:r w:rsidRPr="00DE70CD">
        <w:t xml:space="preserve"> </w:t>
      </w:r>
      <w:r>
        <w:t xml:space="preserve">Section </w:t>
      </w:r>
      <w:r w:rsidRPr="001477B6">
        <w:t>IV.C.1 (Participation Model); Section IV.C.2 (Types of Technologies); Section IV.C.3 (Double Counting of Services); Section IV.H.2 (Role of Distribution Utilities); Section IV.J (Market Participation Agreements).</w:t>
      </w:r>
    </w:p>
  </w:footnote>
  <w:footnote w:id="61">
    <w:p w:rsidRPr="00A50DBE" w:rsidR="00FB7F86" w:rsidP="00BE161C" w:rsidRDefault="00FB7F86" w14:paraId="034B9144" w14:textId="261F8DAE">
      <w:pPr>
        <w:pStyle w:val="FootnoteText"/>
      </w:pPr>
      <w:r w:rsidRPr="001477B6">
        <w:rPr>
          <w:rStyle w:val="FootnoteReference"/>
          <w:szCs w:val="26"/>
        </w:rPr>
        <w:footnoteRef/>
      </w:r>
      <w:r w:rsidRPr="001477B6">
        <w:t xml:space="preserve"> </w:t>
      </w:r>
      <w:r w:rsidRPr="001477B6">
        <w:rPr>
          <w:i/>
        </w:rPr>
        <w:t>See</w:t>
      </w:r>
      <w:r w:rsidRPr="001477B6">
        <w:t xml:space="preserve"> </w:t>
      </w:r>
      <w:r w:rsidRPr="001477B6">
        <w:rPr>
          <w:i/>
          <w:iCs/>
        </w:rPr>
        <w:t>infra</w:t>
      </w:r>
      <w:r w:rsidRPr="001477B6">
        <w:t xml:space="preserve"> Section IV.C.4 (Minimum and Maximum Size of Aggregation); Section IV.D (Locational Requirements).</w:t>
      </w:r>
    </w:p>
  </w:footnote>
  <w:footnote w:id="62">
    <w:p w:rsidR="00FB7F86" w:rsidP="00FB7F86" w:rsidRDefault="00FB7F86" w14:paraId="51E8813D" w14:textId="04832BA8">
      <w:pPr>
        <w:pStyle w:val="FootnoteText"/>
        <w:widowControl/>
      </w:pPr>
      <w:r>
        <w:rPr>
          <w:rStyle w:val="FootnoteReference"/>
        </w:rPr>
        <w:footnoteRef/>
      </w:r>
      <w:r>
        <w:t xml:space="preserve"> </w:t>
      </w:r>
      <w:r w:rsidRPr="005C2D74">
        <w:t>I</w:t>
      </w:r>
      <w:r>
        <w:t>n</w:t>
      </w:r>
      <w:r w:rsidRPr="005C2D74">
        <w:t xml:space="preserve"> addition, we adopt the proposal to add </w:t>
      </w:r>
      <w:r>
        <w:t xml:space="preserve">sections </w:t>
      </w:r>
      <w:r w:rsidRPr="005C2D74">
        <w:t xml:space="preserve">35.28(b)(10) and (11) </w:t>
      </w:r>
      <w:r>
        <w:t xml:space="preserve">to the Commission’s regulations </w:t>
      </w:r>
      <w:r w:rsidRPr="005C2D74">
        <w:t xml:space="preserve">incorporating </w:t>
      </w:r>
      <w:r>
        <w:t xml:space="preserve">the </w:t>
      </w:r>
      <w:r w:rsidRPr="005C2D74">
        <w:t>definitions</w:t>
      </w:r>
      <w:r>
        <w:t xml:space="preserve"> for distributed energy resource and distributed energy resource aggregator.</w:t>
      </w:r>
    </w:p>
  </w:footnote>
  <w:footnote w:id="63">
    <w:p w:rsidR="00FB7F86" w:rsidP="006B591B" w:rsidRDefault="00FB7F86" w14:paraId="2FA2B835" w14:textId="1DEB3412">
      <w:pPr>
        <w:pStyle w:val="FootnoteText"/>
      </w:pPr>
      <w:r>
        <w:rPr>
          <w:rStyle w:val="FootnoteReference"/>
        </w:rPr>
        <w:footnoteRef/>
      </w:r>
      <w:r>
        <w:t xml:space="preserve"> NOPR, </w:t>
      </w:r>
      <w:r w:rsidRPr="00370A91">
        <w:t xml:space="preserve">157 FERC </w:t>
      </w:r>
      <w:r>
        <w:t>¶ </w:t>
      </w:r>
      <w:r w:rsidRPr="00370A91">
        <w:t>61,121</w:t>
      </w:r>
      <w:r>
        <w:t xml:space="preserve"> at P 1.</w:t>
      </w:r>
    </w:p>
  </w:footnote>
  <w:footnote w:id="64">
    <w:p w:rsidRPr="00D377EB" w:rsidR="00FB7F86" w:rsidP="007220C6" w:rsidRDefault="00FB7F86" w14:paraId="320F43ED" w14:textId="349BE57D">
      <w:pPr>
        <w:pStyle w:val="FootnoteText"/>
      </w:pPr>
      <w:r w:rsidRPr="00D377EB">
        <w:rPr>
          <w:b/>
          <w:vertAlign w:val="superscript"/>
        </w:rPr>
        <w:footnoteRef/>
      </w:r>
      <w:r w:rsidRPr="00D377EB">
        <w:t xml:space="preserve"> </w:t>
      </w:r>
      <w:r>
        <w:rPr>
          <w:i/>
        </w:rPr>
        <w:t>See, e</w:t>
      </w:r>
      <w:r w:rsidRPr="00D377EB">
        <w:rPr>
          <w:i/>
        </w:rPr>
        <w:t>.g.</w:t>
      </w:r>
      <w:r w:rsidRPr="00D377EB">
        <w:t xml:space="preserve">, Sunrun </w:t>
      </w:r>
      <w:r>
        <w:t>Comments (2018 RM18-9)</w:t>
      </w:r>
      <w:r w:rsidRPr="00D377EB">
        <w:t xml:space="preserve"> at 3-4 (citing 16 U.S.C. 824(b)(1))</w:t>
      </w:r>
      <w:r>
        <w:t xml:space="preserve">; </w:t>
      </w:r>
      <w:r w:rsidRPr="00D377EB">
        <w:t>Connecticut State Entities Comments (RM16-23) at 7</w:t>
      </w:r>
      <w:r>
        <w:t xml:space="preserve">; </w:t>
      </w:r>
      <w:r w:rsidRPr="00D377EB">
        <w:t xml:space="preserve">Stem </w:t>
      </w:r>
      <w:r>
        <w:t>Comments (2018 RM18-9)</w:t>
      </w:r>
      <w:r w:rsidRPr="00D377EB">
        <w:t xml:space="preserve"> at 3.</w:t>
      </w:r>
    </w:p>
  </w:footnote>
  <w:footnote w:id="65">
    <w:p w:rsidRPr="00D377EB" w:rsidR="00FB7F86" w:rsidP="006B591B" w:rsidRDefault="00FB7F86" w14:paraId="1081A8A4" w14:textId="77777777">
      <w:pPr>
        <w:pStyle w:val="FootnoteText"/>
      </w:pPr>
      <w:r w:rsidRPr="00D377EB">
        <w:rPr>
          <w:b/>
          <w:vertAlign w:val="superscript"/>
        </w:rPr>
        <w:footnoteRef/>
      </w:r>
      <w:r w:rsidRPr="00D377EB">
        <w:t xml:space="preserve"> </w:t>
      </w:r>
      <w:r w:rsidRPr="00D377EB">
        <w:rPr>
          <w:i/>
        </w:rPr>
        <w:t>See</w:t>
      </w:r>
      <w:r>
        <w:rPr>
          <w:i/>
        </w:rPr>
        <w:t>, e.g.</w:t>
      </w:r>
      <w:r>
        <w:rPr>
          <w:iCs/>
        </w:rPr>
        <w:t>,</w:t>
      </w:r>
      <w:r w:rsidRPr="00D377EB">
        <w:t xml:space="preserve"> APPA/NRECA Comments (RM16-23) at 18</w:t>
      </w:r>
      <w:r>
        <w:t xml:space="preserve">-20; </w:t>
      </w:r>
      <w:r w:rsidRPr="00D377EB">
        <w:t>MISO Transmission Owners Comments (RM16-23) at 17-18; NESCOE Comments (RM16-23) at 16</w:t>
      </w:r>
      <w:r>
        <w:t xml:space="preserve">; </w:t>
      </w:r>
      <w:r w:rsidRPr="00D377EB">
        <w:t>TAPS Comments (RM16-23) at 4-5</w:t>
      </w:r>
      <w:r>
        <w:t xml:space="preserve">; </w:t>
      </w:r>
      <w:r w:rsidRPr="00D377EB">
        <w:t>Xcel Energy Services Comments (RM16-23) at 6-9, 23-24.</w:t>
      </w:r>
      <w:r>
        <w:t xml:space="preserve"> </w:t>
      </w:r>
    </w:p>
  </w:footnote>
  <w:footnote w:id="66">
    <w:p w:rsidR="00FB7F86" w:rsidRDefault="00FB7F86" w14:paraId="54C7303F" w14:textId="3A0231FE">
      <w:pPr>
        <w:pStyle w:val="FootnoteText"/>
      </w:pPr>
      <w:r>
        <w:rPr>
          <w:rStyle w:val="FootnoteReference"/>
        </w:rPr>
        <w:footnoteRef/>
      </w:r>
      <w:r>
        <w:t xml:space="preserve"> </w:t>
      </w:r>
      <w:r w:rsidRPr="0068454A">
        <w:t>The term “relevant electric retail regulatory authority” means the entity that establishes the retail electric prices and any retail competition policies for customers, such as the city council for a municipal utility, the governing board of a cooperative utility, or the state public utility commission</w:t>
      </w:r>
      <w:r>
        <w:t xml:space="preserve">.  </w:t>
      </w:r>
      <w:r>
        <w:rPr>
          <w:i/>
          <w:iCs/>
        </w:rPr>
        <w:t>S</w:t>
      </w:r>
      <w:r w:rsidRPr="00F130B4">
        <w:rPr>
          <w:i/>
          <w:iCs/>
        </w:rPr>
        <w:t>ee</w:t>
      </w:r>
      <w:r>
        <w:t xml:space="preserve"> </w:t>
      </w:r>
      <w:r w:rsidRPr="00F130B4">
        <w:t>Order</w:t>
      </w:r>
      <w:r w:rsidRPr="00D377EB">
        <w:t xml:space="preserve"> No. 719, </w:t>
      </w:r>
      <w:r w:rsidRPr="007E5E1F">
        <w:t>125 FERC ¶</w:t>
      </w:r>
      <w:r>
        <w:t> </w:t>
      </w:r>
      <w:r w:rsidRPr="007E5E1F">
        <w:t>61,071</w:t>
      </w:r>
      <w:r w:rsidRPr="00D377EB">
        <w:t xml:space="preserve"> at P</w:t>
      </w:r>
      <w:r>
        <w:t> </w:t>
      </w:r>
      <w:r w:rsidRPr="00D377EB">
        <w:t>15</w:t>
      </w:r>
      <w:r>
        <w:t>8.</w:t>
      </w:r>
    </w:p>
  </w:footnote>
  <w:footnote w:id="67">
    <w:p w:rsidRPr="00D377EB" w:rsidR="00FB7F86" w:rsidP="006B591B" w:rsidRDefault="00FB7F86" w14:paraId="6A2EB899" w14:textId="77777777">
      <w:pPr>
        <w:pStyle w:val="FootnoteText"/>
      </w:pPr>
      <w:r w:rsidRPr="00D377EB">
        <w:rPr>
          <w:b/>
          <w:vertAlign w:val="superscript"/>
        </w:rPr>
        <w:footnoteRef/>
      </w:r>
      <w:r w:rsidRPr="00D377EB">
        <w:t xml:space="preserve"> Stem </w:t>
      </w:r>
      <w:r>
        <w:t>Comments (2018 RM18-9)</w:t>
      </w:r>
      <w:r w:rsidRPr="00D377EB">
        <w:t xml:space="preserve"> at 3.</w:t>
      </w:r>
    </w:p>
  </w:footnote>
  <w:footnote w:id="68">
    <w:p w:rsidRPr="00D377EB" w:rsidR="00FB7F86" w:rsidP="006B591B" w:rsidRDefault="00FB7F86" w14:paraId="1D6CBF58" w14:textId="77777777">
      <w:pPr>
        <w:pStyle w:val="FootnoteText"/>
      </w:pPr>
      <w:r w:rsidRPr="00D377EB">
        <w:rPr>
          <w:b/>
          <w:vertAlign w:val="superscript"/>
        </w:rPr>
        <w:footnoteRef/>
      </w:r>
      <w:r w:rsidRPr="00D377EB">
        <w:t xml:space="preserve"> Connecticut State Entities Comments (RM16-23) at 7.</w:t>
      </w:r>
    </w:p>
  </w:footnote>
  <w:footnote w:id="69">
    <w:p w:rsidRPr="00D377EB" w:rsidR="00FB7F86" w:rsidP="000D1756" w:rsidRDefault="00FB7F86" w14:paraId="00993F6D" w14:textId="41B4C135">
      <w:pPr>
        <w:pStyle w:val="FootnoteText"/>
      </w:pPr>
      <w:r w:rsidRPr="00D377EB">
        <w:rPr>
          <w:b/>
          <w:vertAlign w:val="superscript"/>
        </w:rPr>
        <w:footnoteRef/>
      </w:r>
      <w:r w:rsidRPr="00D377EB">
        <w:t xml:space="preserve"> Harvard Environmental Policy Initiative Comments </w:t>
      </w:r>
      <w:r>
        <w:t xml:space="preserve">(RM16-23) </w:t>
      </w:r>
      <w:r w:rsidRPr="00D377EB">
        <w:t xml:space="preserve">at 3 (citing </w:t>
      </w:r>
      <w:r>
        <w:rPr>
          <w:i/>
          <w:iCs/>
        </w:rPr>
        <w:t xml:space="preserve">FERC v. Electric Power Supply </w:t>
      </w:r>
      <w:r w:rsidRPr="009B0DA7">
        <w:rPr>
          <w:i/>
          <w:iCs/>
        </w:rPr>
        <w:t>Ass’n</w:t>
      </w:r>
      <w:r>
        <w:t xml:space="preserve">, </w:t>
      </w:r>
      <w:r w:rsidRPr="009B0DA7">
        <w:t>136</w:t>
      </w:r>
      <w:r w:rsidRPr="00D377EB">
        <w:t xml:space="preserve"> S. Ct. </w:t>
      </w:r>
      <w:r>
        <w:t>760,</w:t>
      </w:r>
      <w:r w:rsidRPr="00D377EB">
        <w:t xml:space="preserve"> 776</w:t>
      </w:r>
      <w:r>
        <w:t xml:space="preserve"> (2016) (</w:t>
      </w:r>
      <w:r>
        <w:rPr>
          <w:i/>
          <w:iCs/>
        </w:rPr>
        <w:t>EPSA</w:t>
      </w:r>
      <w:r>
        <w:t>)</w:t>
      </w:r>
      <w:r w:rsidRPr="00D377EB">
        <w:t>).</w:t>
      </w:r>
    </w:p>
  </w:footnote>
  <w:footnote w:id="70">
    <w:p w:rsidRPr="00D377EB" w:rsidR="00FB7F86" w:rsidP="000D1756" w:rsidRDefault="00FB7F86" w14:paraId="1222F54B" w14:textId="309B628E">
      <w:pPr>
        <w:pStyle w:val="FootnoteText"/>
      </w:pPr>
      <w:r w:rsidRPr="00D377EB">
        <w:rPr>
          <w:b/>
          <w:vertAlign w:val="superscript"/>
        </w:rPr>
        <w:footnoteRef/>
      </w:r>
      <w:r w:rsidRPr="00D377EB">
        <w:t xml:space="preserve"> </w:t>
      </w:r>
      <w:r>
        <w:rPr>
          <w:i/>
          <w:iCs/>
        </w:rPr>
        <w:t>Id.</w:t>
      </w:r>
      <w:r>
        <w:t xml:space="preserve"> </w:t>
      </w:r>
      <w:r w:rsidRPr="00D377EB">
        <w:t>at 4-5.</w:t>
      </w:r>
    </w:p>
  </w:footnote>
  <w:footnote w:id="71">
    <w:p w:rsidRPr="00D377EB" w:rsidR="00FB7F86" w:rsidP="000D1756" w:rsidRDefault="00FB7F86" w14:paraId="6228F6AB" w14:textId="058404A1">
      <w:pPr>
        <w:pStyle w:val="FootnoteText"/>
      </w:pPr>
      <w:r w:rsidRPr="00D377EB">
        <w:rPr>
          <w:b/>
          <w:vertAlign w:val="superscript"/>
        </w:rPr>
        <w:footnoteRef/>
      </w:r>
      <w:r w:rsidRPr="00D377EB">
        <w:t xml:space="preserve"> </w:t>
      </w:r>
      <w:r>
        <w:rPr>
          <w:i/>
          <w:iCs/>
        </w:rPr>
        <w:t>Id.</w:t>
      </w:r>
      <w:r>
        <w:t xml:space="preserve"> </w:t>
      </w:r>
      <w:r w:rsidRPr="00D377EB">
        <w:t xml:space="preserve">at </w:t>
      </w:r>
      <w:r>
        <w:t xml:space="preserve">9, </w:t>
      </w:r>
      <w:r w:rsidRPr="00D377EB">
        <w:t>12.</w:t>
      </w:r>
    </w:p>
  </w:footnote>
  <w:footnote w:id="72">
    <w:p w:rsidRPr="00D377EB" w:rsidR="00FB7F86" w:rsidP="006B591B" w:rsidRDefault="00FB7F86" w14:paraId="394D816B" w14:textId="58EF94D2">
      <w:pPr>
        <w:pStyle w:val="FootnoteText"/>
      </w:pPr>
      <w:r w:rsidRPr="00D377EB">
        <w:rPr>
          <w:b/>
          <w:vertAlign w:val="superscript"/>
        </w:rPr>
        <w:footnoteRef/>
      </w:r>
      <w:r w:rsidRPr="00D377EB">
        <w:t xml:space="preserve"> </w:t>
      </w:r>
      <w:r w:rsidRPr="00D377EB">
        <w:rPr>
          <w:i/>
        </w:rPr>
        <w:t>See</w:t>
      </w:r>
      <w:r w:rsidRPr="00D377EB">
        <w:t xml:space="preserve"> EEI Comments (RM16-23) at 25; </w:t>
      </w:r>
      <w:r>
        <w:t xml:space="preserve">Icetec Comments (2018 RM18-9) at 1-2; </w:t>
      </w:r>
      <w:r w:rsidRPr="00D377EB">
        <w:t>Maryland and New Jersey Commissions Comments (RM16-23) at 2-3; Massachusetts Commission Comments (RM16-23) at 10</w:t>
      </w:r>
      <w:r>
        <w:t xml:space="preserve">; </w:t>
      </w:r>
      <w:r w:rsidRPr="00D377EB">
        <w:t xml:space="preserve">Stem </w:t>
      </w:r>
      <w:r>
        <w:t>Comments (2018 RM18-9)</w:t>
      </w:r>
      <w:r w:rsidRPr="00D377EB">
        <w:t xml:space="preserve"> at 3.</w:t>
      </w:r>
    </w:p>
  </w:footnote>
  <w:footnote w:id="73">
    <w:p w:rsidRPr="00D377EB" w:rsidR="00FB7F86" w:rsidP="00986874" w:rsidRDefault="00FB7F86" w14:paraId="7DB9D111" w14:textId="77777777">
      <w:pPr>
        <w:pStyle w:val="FootnoteText"/>
      </w:pPr>
      <w:r w:rsidRPr="00D377EB">
        <w:rPr>
          <w:b/>
          <w:vertAlign w:val="superscript"/>
        </w:rPr>
        <w:footnoteRef/>
      </w:r>
      <w:r w:rsidRPr="00D377EB">
        <w:t xml:space="preserve"> APPA/NRECA Comments (RM16-23) at 18</w:t>
      </w:r>
      <w:r>
        <w:t>-20</w:t>
      </w:r>
      <w:r w:rsidRPr="00D377EB">
        <w:t>.</w:t>
      </w:r>
    </w:p>
  </w:footnote>
  <w:footnote w:id="74">
    <w:p w:rsidR="00FB7F86" w:rsidP="00EB7C0C" w:rsidRDefault="00FB7F86" w14:paraId="4582C9B6" w14:textId="77777777">
      <w:pPr>
        <w:pStyle w:val="FootnoteText"/>
      </w:pPr>
      <w:r>
        <w:rPr>
          <w:rStyle w:val="FootnoteReference"/>
        </w:rPr>
        <w:footnoteRef/>
      </w:r>
      <w:r>
        <w:t xml:space="preserve"> </w:t>
      </w:r>
      <w:r w:rsidRPr="00473252">
        <w:t>TAPS Comments</w:t>
      </w:r>
      <w:r>
        <w:t xml:space="preserve"> </w:t>
      </w:r>
      <w:r w:rsidRPr="00B52B38">
        <w:t>(RM16-23)</w:t>
      </w:r>
      <w:r w:rsidRPr="00473252">
        <w:t xml:space="preserve"> at 9.</w:t>
      </w:r>
    </w:p>
  </w:footnote>
  <w:footnote w:id="75">
    <w:p w:rsidR="00FB7F86" w:rsidP="00986874" w:rsidRDefault="00FB7F86" w14:paraId="15BAF8F8" w14:textId="77777777">
      <w:pPr>
        <w:pStyle w:val="FootnoteText"/>
      </w:pPr>
      <w:r>
        <w:rPr>
          <w:rStyle w:val="FootnoteReference"/>
        </w:rPr>
        <w:footnoteRef/>
      </w:r>
      <w:r>
        <w:t xml:space="preserve"> </w:t>
      </w:r>
      <w:r w:rsidRPr="00A567A4">
        <w:rPr>
          <w:lang w:bidi="en-US"/>
        </w:rPr>
        <w:t>FirstEnergy</w:t>
      </w:r>
      <w:r>
        <w:t xml:space="preserve"> Comments (2019 RM18-9) at 5 n.13.</w:t>
      </w:r>
    </w:p>
  </w:footnote>
  <w:footnote w:id="76">
    <w:p w:rsidR="00FB7F86" w:rsidP="00986874" w:rsidRDefault="00FB7F86" w14:paraId="40EDF771" w14:textId="77777777">
      <w:pPr>
        <w:pStyle w:val="FootnoteText"/>
      </w:pPr>
      <w:r>
        <w:rPr>
          <w:rStyle w:val="FootnoteReference"/>
        </w:rPr>
        <w:footnoteRef/>
      </w:r>
      <w:r>
        <w:t xml:space="preserve"> </w:t>
      </w:r>
      <w:r w:rsidRPr="00473252">
        <w:t>Maryland and New Jersey Commissions Comments</w:t>
      </w:r>
      <w:r>
        <w:t xml:space="preserve"> </w:t>
      </w:r>
      <w:r w:rsidRPr="00B52B38">
        <w:t>(RM16-23)</w:t>
      </w:r>
      <w:r w:rsidRPr="00473252">
        <w:t xml:space="preserve"> at 3.</w:t>
      </w:r>
    </w:p>
  </w:footnote>
  <w:footnote w:id="77">
    <w:p w:rsidR="00FB7F86" w:rsidP="00986874" w:rsidRDefault="00FB7F86" w14:paraId="043A907B" w14:textId="77777777">
      <w:pPr>
        <w:pStyle w:val="FootnoteText"/>
      </w:pPr>
      <w:r>
        <w:rPr>
          <w:rStyle w:val="FootnoteReference"/>
        </w:rPr>
        <w:footnoteRef/>
      </w:r>
      <w:r>
        <w:t xml:space="preserve"> </w:t>
      </w:r>
      <w:r w:rsidRPr="00D377EB">
        <w:t>MISO Transmission Owners Comments (RM16-23) at</w:t>
      </w:r>
      <w:r>
        <w:t xml:space="preserve"> 5-6.</w:t>
      </w:r>
    </w:p>
  </w:footnote>
  <w:footnote w:id="78">
    <w:p w:rsidRPr="00D377EB" w:rsidR="00FB7F86" w:rsidP="006B591B" w:rsidRDefault="00FB7F86" w14:paraId="6D6ABC43" w14:textId="77777777">
      <w:pPr>
        <w:pStyle w:val="FootnoteText"/>
      </w:pPr>
      <w:r w:rsidRPr="00D377EB">
        <w:rPr>
          <w:b/>
          <w:vertAlign w:val="superscript"/>
        </w:rPr>
        <w:footnoteRef/>
      </w:r>
      <w:r w:rsidRPr="00D377EB">
        <w:t xml:space="preserve"> Maryland and New Jersey Commissions Comments (RM16-23) at 2.</w:t>
      </w:r>
    </w:p>
  </w:footnote>
  <w:footnote w:id="79">
    <w:p w:rsidR="00FB7F86" w:rsidP="006B591B" w:rsidRDefault="00FB7F86" w14:paraId="32C540BD" w14:textId="4618976E">
      <w:pPr>
        <w:pStyle w:val="FootnoteText"/>
      </w:pPr>
      <w:r>
        <w:rPr>
          <w:rStyle w:val="FootnoteReference"/>
        </w:rPr>
        <w:footnoteRef/>
      </w:r>
      <w:r>
        <w:t xml:space="preserve"> Massachusetts Commission Comments (RM16-23) at 11.</w:t>
      </w:r>
    </w:p>
  </w:footnote>
  <w:footnote w:id="80">
    <w:p w:rsidRPr="00D377EB" w:rsidR="00FB7F86" w:rsidP="006B591B" w:rsidRDefault="00FB7F86" w14:paraId="545169CD" w14:textId="2EAB422E">
      <w:pPr>
        <w:pStyle w:val="FootnoteText"/>
      </w:pPr>
      <w:r w:rsidRPr="00D377EB">
        <w:rPr>
          <w:b/>
          <w:vertAlign w:val="superscript"/>
        </w:rPr>
        <w:footnoteRef/>
      </w:r>
      <w:r w:rsidRPr="00D377EB">
        <w:t xml:space="preserve"> EEI Comments (RM16-23) at 23-24 (citing 16 U.S.C. 824o(a)(1)).</w:t>
      </w:r>
      <w:r>
        <w:t xml:space="preserve">  </w:t>
      </w:r>
    </w:p>
  </w:footnote>
  <w:footnote w:id="81">
    <w:p w:rsidR="00FB7F86" w:rsidRDefault="00FB7F86" w14:paraId="61544F1E" w14:textId="3FF0908A">
      <w:pPr>
        <w:pStyle w:val="FootnoteText"/>
      </w:pPr>
      <w:r>
        <w:rPr>
          <w:rStyle w:val="FootnoteReference"/>
        </w:rPr>
        <w:footnoteRef/>
      </w:r>
      <w:r>
        <w:t xml:space="preserve"> </w:t>
      </w:r>
      <w:r w:rsidRPr="00D377EB">
        <w:t>Harvard Environmental Policy Initiative Comments (RM16-23) at 12.</w:t>
      </w:r>
    </w:p>
  </w:footnote>
  <w:footnote w:id="82">
    <w:p w:rsidRPr="00D377EB" w:rsidR="00FB7F86" w:rsidP="006B591B" w:rsidRDefault="00FB7F86" w14:paraId="5254C0D4" w14:textId="77777777">
      <w:pPr>
        <w:pStyle w:val="FootnoteText"/>
      </w:pPr>
      <w:r w:rsidRPr="00D377EB">
        <w:rPr>
          <w:b/>
          <w:vertAlign w:val="superscript"/>
        </w:rPr>
        <w:footnoteRef/>
      </w:r>
      <w:r w:rsidRPr="00D377EB">
        <w:t xml:space="preserve"> Icetec </w:t>
      </w:r>
      <w:r>
        <w:t>Comments (2018 RM18-9)</w:t>
      </w:r>
      <w:r w:rsidRPr="00D377EB">
        <w:t xml:space="preserve"> at 9.</w:t>
      </w:r>
    </w:p>
  </w:footnote>
  <w:footnote w:id="83">
    <w:p w:rsidRPr="00D377EB" w:rsidR="00FB7F86" w:rsidP="006B591B" w:rsidRDefault="00FB7F86" w14:paraId="18765950" w14:textId="7B16A25E">
      <w:pPr>
        <w:pStyle w:val="FootnoteText"/>
      </w:pPr>
      <w:r w:rsidRPr="00D377EB">
        <w:rPr>
          <w:b/>
          <w:vertAlign w:val="superscript"/>
        </w:rPr>
        <w:footnoteRef/>
      </w:r>
      <w:r w:rsidRPr="00D377EB">
        <w:t xml:space="preserve"> </w:t>
      </w:r>
      <w:r>
        <w:t>Harvard Environmental Policy Initiative</w:t>
      </w:r>
      <w:r w:rsidRPr="00D377EB">
        <w:t xml:space="preserve"> </w:t>
      </w:r>
      <w:r>
        <w:t>Comments (RM16-23)</w:t>
      </w:r>
      <w:r w:rsidRPr="00D377EB">
        <w:t xml:space="preserve"> at 13</w:t>
      </w:r>
      <w:r>
        <w:t xml:space="preserve"> (quoting 16 U.S.C. 824(b)(1))</w:t>
      </w:r>
      <w:r w:rsidRPr="00D377EB">
        <w:t>.</w:t>
      </w:r>
      <w:r>
        <w:t xml:space="preserve"> </w:t>
      </w:r>
    </w:p>
  </w:footnote>
  <w:footnote w:id="84">
    <w:p w:rsidRPr="007D0D59" w:rsidR="00FB7F86" w:rsidP="006B591B" w:rsidRDefault="00FB7F86" w14:paraId="0F4D12CE" w14:textId="2E5FF12D">
      <w:pPr>
        <w:pStyle w:val="FootnoteText"/>
        <w:rPr>
          <w:lang w:val="pt-BR"/>
        </w:rPr>
      </w:pPr>
      <w:r>
        <w:rPr>
          <w:rStyle w:val="FootnoteReference"/>
        </w:rPr>
        <w:footnoteRef/>
      </w:r>
      <w:r w:rsidRPr="007D0D59">
        <w:rPr>
          <w:lang w:val="pt-BR"/>
        </w:rPr>
        <w:t xml:space="preserve"> </w:t>
      </w:r>
      <w:r w:rsidRPr="007D0D59">
        <w:rPr>
          <w:szCs w:val="26"/>
          <w:lang w:val="pt-BR"/>
        </w:rPr>
        <w:t>16 U.S.C. 824.</w:t>
      </w:r>
    </w:p>
  </w:footnote>
  <w:footnote w:id="85">
    <w:p w:rsidRPr="007D0D59" w:rsidR="00FB7F86" w:rsidP="006B591B" w:rsidRDefault="00FB7F86" w14:paraId="1AD719EB" w14:textId="31B41D18">
      <w:pPr>
        <w:pStyle w:val="FootnoteText"/>
        <w:rPr>
          <w:lang w:val="pt-BR"/>
        </w:rPr>
      </w:pPr>
      <w:r>
        <w:rPr>
          <w:rStyle w:val="FootnoteReference"/>
        </w:rPr>
        <w:footnoteRef/>
      </w:r>
      <w:r w:rsidRPr="007D0D59">
        <w:rPr>
          <w:lang w:val="pt-BR"/>
        </w:rPr>
        <w:t xml:space="preserve"> </w:t>
      </w:r>
      <w:r w:rsidRPr="007D0D59">
        <w:rPr>
          <w:i/>
          <w:iCs/>
          <w:szCs w:val="26"/>
          <w:lang w:val="pt-BR"/>
        </w:rPr>
        <w:t>Id.</w:t>
      </w:r>
      <w:r w:rsidRPr="007D0D59">
        <w:rPr>
          <w:szCs w:val="26"/>
          <w:lang w:val="pt-BR"/>
        </w:rPr>
        <w:t xml:space="preserve"> </w:t>
      </w:r>
      <w:r w:rsidRPr="007D0D59">
        <w:rPr>
          <w:lang w:val="pt-BR"/>
        </w:rPr>
        <w:t>824(e).</w:t>
      </w:r>
    </w:p>
  </w:footnote>
  <w:footnote w:id="86">
    <w:p w:rsidRPr="007D0D59" w:rsidR="00FB7F86" w:rsidRDefault="00FB7F86" w14:paraId="74EDD365" w14:textId="65CD0213">
      <w:pPr>
        <w:pStyle w:val="FootnoteText"/>
        <w:rPr>
          <w:lang w:val="pt-BR"/>
        </w:rPr>
      </w:pPr>
      <w:r>
        <w:rPr>
          <w:rStyle w:val="FootnoteReference"/>
        </w:rPr>
        <w:footnoteRef/>
      </w:r>
      <w:r w:rsidRPr="007D0D59">
        <w:rPr>
          <w:lang w:val="pt-BR"/>
        </w:rPr>
        <w:t xml:space="preserve"> </w:t>
      </w:r>
      <w:r w:rsidRPr="007D0D59">
        <w:rPr>
          <w:i/>
          <w:iCs/>
          <w:szCs w:val="26"/>
          <w:lang w:val="pt-BR"/>
        </w:rPr>
        <w:t>Id.</w:t>
      </w:r>
      <w:r w:rsidRPr="007D0D59">
        <w:rPr>
          <w:szCs w:val="26"/>
          <w:lang w:val="pt-BR"/>
        </w:rPr>
        <w:t xml:space="preserve"> </w:t>
      </w:r>
      <w:r w:rsidRPr="007D0D59">
        <w:rPr>
          <w:lang w:val="pt-BR"/>
        </w:rPr>
        <w:t>824d.</w:t>
      </w:r>
    </w:p>
  </w:footnote>
  <w:footnote w:id="87">
    <w:p w:rsidRPr="007D0D59" w:rsidR="00FB7F86" w:rsidRDefault="00FB7F86" w14:paraId="1E628E79" w14:textId="04D58360">
      <w:pPr>
        <w:pStyle w:val="FootnoteText"/>
        <w:rPr>
          <w:lang w:val="pt-BR"/>
        </w:rPr>
      </w:pPr>
      <w:r>
        <w:rPr>
          <w:rStyle w:val="FootnoteReference"/>
        </w:rPr>
        <w:footnoteRef/>
      </w:r>
      <w:r w:rsidRPr="007D0D59">
        <w:rPr>
          <w:lang w:val="pt-BR"/>
        </w:rPr>
        <w:t xml:space="preserve"> </w:t>
      </w:r>
      <w:r w:rsidRPr="007D0D59">
        <w:rPr>
          <w:i/>
          <w:iCs/>
          <w:szCs w:val="26"/>
          <w:lang w:val="pt-BR"/>
        </w:rPr>
        <w:t>Id.</w:t>
      </w:r>
      <w:r w:rsidRPr="007D0D59">
        <w:rPr>
          <w:szCs w:val="26"/>
          <w:lang w:val="pt-BR"/>
        </w:rPr>
        <w:t xml:space="preserve"> </w:t>
      </w:r>
      <w:r w:rsidRPr="007D0D59">
        <w:rPr>
          <w:lang w:val="pt-BR"/>
        </w:rPr>
        <w:t>824e.</w:t>
      </w:r>
    </w:p>
  </w:footnote>
  <w:footnote w:id="88">
    <w:p w:rsidRPr="00513E89" w:rsidR="00FB7F86" w:rsidP="00CC5BFC" w:rsidRDefault="00FB7F86" w14:paraId="664A8A74" w14:textId="56B383F4">
      <w:pPr>
        <w:pStyle w:val="FootnoteText"/>
      </w:pPr>
      <w:r>
        <w:rPr>
          <w:rStyle w:val="FootnoteReference"/>
        </w:rPr>
        <w:footnoteRef/>
      </w:r>
      <w:r>
        <w:t xml:space="preserve"> </w:t>
      </w:r>
      <w:r>
        <w:rPr>
          <w:i/>
          <w:iCs/>
        </w:rPr>
        <w:t xml:space="preserve">See </w:t>
      </w:r>
      <w:r w:rsidRPr="0084380D">
        <w:rPr>
          <w:i/>
          <w:iCs/>
        </w:rPr>
        <w:t>Nat’l Ass’n of Regulatory Util. Comm’rs</w:t>
      </w:r>
      <w:r>
        <w:rPr>
          <w:i/>
          <w:iCs/>
        </w:rPr>
        <w:t xml:space="preserve"> v. </w:t>
      </w:r>
      <w:r w:rsidRPr="00196551">
        <w:rPr>
          <w:i/>
          <w:iCs/>
        </w:rPr>
        <w:t>FERC</w:t>
      </w:r>
      <w:r>
        <w:t>, 964 F.3d at 1186 (“</w:t>
      </w:r>
      <w:r w:rsidRPr="008E3047">
        <w:t xml:space="preserve">FERC bears the responsibility of regulating the wholesale market, which encompasses </w:t>
      </w:r>
      <w:r>
        <w:t>‘</w:t>
      </w:r>
      <w:r w:rsidRPr="008E3047">
        <w:t>both wholesale rates and the panoply of rules and practices affecting them.</w:t>
      </w:r>
      <w:r>
        <w:t xml:space="preserve">’”) (quoting </w:t>
      </w:r>
      <w:r>
        <w:rPr>
          <w:i/>
          <w:iCs/>
        </w:rPr>
        <w:t>EPSA</w:t>
      </w:r>
      <w:r>
        <w:t>, 136 S. Ct. at 773).</w:t>
      </w:r>
    </w:p>
  </w:footnote>
  <w:footnote w:id="89">
    <w:p w:rsidR="00FB7F86" w:rsidRDefault="00FB7F86" w14:paraId="1B93FD29" w14:textId="092AD997">
      <w:pPr>
        <w:pStyle w:val="FootnoteText"/>
      </w:pPr>
      <w:r>
        <w:rPr>
          <w:rStyle w:val="FootnoteReference"/>
        </w:rPr>
        <w:footnoteRef/>
      </w:r>
      <w:r>
        <w:t xml:space="preserve"> Order No. 841, </w:t>
      </w:r>
      <w:r w:rsidRPr="000C639F">
        <w:t>162 FERC ¶</w:t>
      </w:r>
      <w:r>
        <w:t> </w:t>
      </w:r>
      <w:r w:rsidRPr="000C639F">
        <w:t>61,127</w:t>
      </w:r>
      <w:r>
        <w:t xml:space="preserve"> at P 30.</w:t>
      </w:r>
    </w:p>
  </w:footnote>
  <w:footnote w:id="90">
    <w:p w:rsidR="00FB7F86" w:rsidP="00FB7F86" w:rsidRDefault="00FB7F86" w14:paraId="51CA7F7A" w14:textId="1271CFA8">
      <w:pPr>
        <w:pStyle w:val="FootnoteText"/>
        <w:widowControl/>
      </w:pPr>
      <w:r>
        <w:rPr>
          <w:rStyle w:val="FootnoteReference"/>
        </w:rPr>
        <w:footnoteRef/>
      </w:r>
      <w:r>
        <w:t xml:space="preserve"> </w:t>
      </w:r>
      <w:r w:rsidRPr="00CC082C">
        <w:rPr>
          <w:i/>
          <w:iCs/>
        </w:rPr>
        <w:t>See</w:t>
      </w:r>
      <w:r w:rsidRPr="00911E89">
        <w:t xml:space="preserve"> </w:t>
      </w:r>
      <w:r w:rsidRPr="00720DEB">
        <w:rPr>
          <w:i/>
        </w:rPr>
        <w:t>EnergyConnect, Inc.</w:t>
      </w:r>
      <w:r w:rsidRPr="00720DEB">
        <w:t>, 130 FERC ¶</w:t>
      </w:r>
      <w:r>
        <w:t> </w:t>
      </w:r>
      <w:r w:rsidRPr="00720DEB">
        <w:t>61,031, at P</w:t>
      </w:r>
      <w:r>
        <w:t xml:space="preserve"> 29 (2010).  </w:t>
      </w:r>
      <w:r w:rsidRPr="00654EC9">
        <w:t>We note that injections of electric energy to the grid do not necessarily trigger the Commission’s jurisdiction.</w:t>
      </w:r>
      <w:r>
        <w:t xml:space="preserve">  </w:t>
      </w:r>
      <w:r w:rsidRPr="00654EC9">
        <w:rPr>
          <w:i/>
        </w:rPr>
        <w:t>See</w:t>
      </w:r>
      <w:r w:rsidRPr="00654EC9">
        <w:t xml:space="preserve"> </w:t>
      </w:r>
      <w:r w:rsidRPr="00654EC9">
        <w:rPr>
          <w:i/>
        </w:rPr>
        <w:t>Sun Edison LLC</w:t>
      </w:r>
      <w:r w:rsidRPr="00654EC9">
        <w:t>, 129 FERC ¶</w:t>
      </w:r>
      <w:r>
        <w:t> </w:t>
      </w:r>
      <w:r w:rsidRPr="00654EC9">
        <w:t xml:space="preserve">61,146 (2009), </w:t>
      </w:r>
      <w:r w:rsidRPr="00654EC9">
        <w:rPr>
          <w:i/>
        </w:rPr>
        <w:t>reh’g granted on other grounds</w:t>
      </w:r>
      <w:r w:rsidRPr="00654EC9">
        <w:t>, 131 FERC ¶</w:t>
      </w:r>
      <w:r>
        <w:t> </w:t>
      </w:r>
      <w:r w:rsidRPr="00654EC9">
        <w:t xml:space="preserve">61,213 (2010) (the Commission’s jurisdiction would arise only when a facility operating under a state net metering program produces more power than it consumes over the relevant netting period); </w:t>
      </w:r>
      <w:r w:rsidRPr="00654EC9">
        <w:rPr>
          <w:i/>
        </w:rPr>
        <w:t>MidAmerican Energy Co.</w:t>
      </w:r>
      <w:r w:rsidRPr="00654EC9">
        <w:t>, 94 FERC ¶</w:t>
      </w:r>
      <w:r>
        <w:t> </w:t>
      </w:r>
      <w:r w:rsidRPr="00654EC9">
        <w:t>61,340 (2001).</w:t>
      </w:r>
    </w:p>
  </w:footnote>
  <w:footnote w:id="91">
    <w:p w:rsidRPr="00B83AFF" w:rsidR="00FB7F86" w:rsidRDefault="00FB7F86" w14:paraId="2F396222" w14:textId="413D8240">
      <w:pPr>
        <w:pStyle w:val="FootnoteText"/>
      </w:pPr>
      <w:r>
        <w:rPr>
          <w:rStyle w:val="FootnoteReference"/>
        </w:rPr>
        <w:footnoteRef/>
      </w:r>
      <w:r>
        <w:t xml:space="preserve"> </w:t>
      </w:r>
      <w:r>
        <w:rPr>
          <w:i/>
          <w:iCs/>
        </w:rPr>
        <w:t>See</w:t>
      </w:r>
      <w:r w:rsidRPr="00DE70CD">
        <w:t xml:space="preserve"> </w:t>
      </w:r>
      <w:r>
        <w:t xml:space="preserve">Order No. 841-A, </w:t>
      </w:r>
      <w:r w:rsidRPr="00D53564">
        <w:t>167 FERC ¶</w:t>
      </w:r>
      <w:r>
        <w:t> </w:t>
      </w:r>
      <w:r w:rsidRPr="00D53564">
        <w:t>61,154</w:t>
      </w:r>
      <w:r>
        <w:t xml:space="preserve"> at P 33 (citing </w:t>
      </w:r>
      <w:r w:rsidRPr="00587DC3">
        <w:rPr>
          <w:i/>
          <w:iCs/>
        </w:rPr>
        <w:t>EPSA</w:t>
      </w:r>
      <w:r w:rsidRPr="002A0E7E">
        <w:t>, 136 S. Ct. 760; 18 CFR 35.28(b)(4)</w:t>
      </w:r>
      <w:r>
        <w:t>).</w:t>
      </w:r>
    </w:p>
  </w:footnote>
  <w:footnote w:id="92">
    <w:p w:rsidR="00FB7F86" w:rsidRDefault="00FB7F86" w14:paraId="29D55DA7" w14:textId="61B10251">
      <w:pPr>
        <w:pStyle w:val="FootnoteText"/>
      </w:pPr>
      <w:r>
        <w:rPr>
          <w:rStyle w:val="FootnoteReference"/>
        </w:rPr>
        <w:footnoteRef/>
      </w:r>
      <w:r>
        <w:t xml:space="preserve"> </w:t>
      </w:r>
      <w:r w:rsidRPr="0005243B">
        <w:rPr>
          <w:i/>
          <w:iCs/>
        </w:rPr>
        <w:t>EPSA</w:t>
      </w:r>
      <w:r w:rsidRPr="000C639F">
        <w:t>, 136 S. Ct. at 774 (referring to the Commission’s jurisdiction under FPA sections 205 and 206 to regulate practices affecting jurisdictional rates).</w:t>
      </w:r>
    </w:p>
  </w:footnote>
  <w:footnote w:id="93">
    <w:p w:rsidR="00FB7F86" w:rsidRDefault="00FB7F86" w14:paraId="3F831016" w14:textId="21821F09">
      <w:pPr>
        <w:pStyle w:val="FootnoteText"/>
      </w:pPr>
      <w:r>
        <w:rPr>
          <w:rStyle w:val="FootnoteReference"/>
        </w:rPr>
        <w:footnoteRef/>
      </w:r>
      <w:r>
        <w:t xml:space="preserve"> </w:t>
      </w:r>
      <w:r>
        <w:rPr>
          <w:i/>
          <w:iCs/>
        </w:rPr>
        <w:t>Id.</w:t>
      </w:r>
      <w:r>
        <w:t xml:space="preserve"> at 784.</w:t>
      </w:r>
    </w:p>
  </w:footnote>
  <w:footnote w:id="94">
    <w:p w:rsidR="00FB7F86" w:rsidRDefault="00FB7F86" w14:paraId="5C511CA3" w14:textId="17ED688D">
      <w:pPr>
        <w:pStyle w:val="FootnoteText"/>
      </w:pPr>
      <w:r>
        <w:rPr>
          <w:rStyle w:val="FootnoteReference"/>
        </w:rPr>
        <w:footnoteRef/>
      </w:r>
      <w:r>
        <w:t xml:space="preserve"> </w:t>
      </w:r>
      <w:r w:rsidRPr="00CC082C">
        <w:rPr>
          <w:i/>
          <w:iCs/>
        </w:rPr>
        <w:t>See</w:t>
      </w:r>
      <w:r w:rsidRPr="00911E89">
        <w:t xml:space="preserve"> </w:t>
      </w:r>
      <w:r w:rsidRPr="00720DEB">
        <w:rPr>
          <w:i/>
        </w:rPr>
        <w:t>EnergyConnect, Inc.</w:t>
      </w:r>
      <w:r w:rsidRPr="00720DEB">
        <w:t>, 130 FERC ¶</w:t>
      </w:r>
      <w:r>
        <w:t> </w:t>
      </w:r>
      <w:r w:rsidRPr="00720DEB">
        <w:t>61,031 at P</w:t>
      </w:r>
      <w:r>
        <w:t> 29</w:t>
      </w:r>
      <w:r w:rsidRPr="00BD03D4">
        <w:t xml:space="preserve"> </w:t>
      </w:r>
      <w:r>
        <w:t>(finding an aggregator of retail customers</w:t>
      </w:r>
      <w:r w:rsidRPr="00BD03D4">
        <w:t xml:space="preserve"> </w:t>
      </w:r>
      <w:r>
        <w:t>to</w:t>
      </w:r>
      <w:r w:rsidRPr="00BD03D4">
        <w:t xml:space="preserve"> be a public utility under </w:t>
      </w:r>
      <w:r>
        <w:t xml:space="preserve">FPA </w:t>
      </w:r>
      <w:r w:rsidRPr="00BD03D4">
        <w:t xml:space="preserve">section 201(e) because its agreements to make sales of balancing energy for resale in </w:t>
      </w:r>
      <w:r>
        <w:t>RTO/ISO</w:t>
      </w:r>
      <w:r w:rsidRPr="00BD03D4">
        <w:t xml:space="preserve"> markets would constitute jurisdictional facilities under FPA section 201(b)</w:t>
      </w:r>
      <w:r>
        <w:t>)</w:t>
      </w:r>
      <w:r w:rsidRPr="00BD03D4">
        <w:t>.</w:t>
      </w:r>
    </w:p>
  </w:footnote>
  <w:footnote w:id="95">
    <w:p w:rsidR="00FB7F86" w:rsidP="00F03DEA" w:rsidRDefault="00FB7F86" w14:paraId="2DCC1949" w14:textId="5CE04AFD">
      <w:pPr>
        <w:pStyle w:val="FootnoteText"/>
      </w:pPr>
      <w:r>
        <w:rPr>
          <w:rStyle w:val="FootnoteReference"/>
        </w:rPr>
        <w:footnoteRef/>
      </w:r>
      <w:r>
        <w:t xml:space="preserve"> </w:t>
      </w:r>
      <w:bookmarkStart w:name="_Hlk42762419" w:id="16"/>
      <w:r w:rsidRPr="00654EC9">
        <w:t xml:space="preserve">Examples of such responsibilities include filing rates under FPA section 205 (potentially including obtaining market-based rate authority); </w:t>
      </w:r>
      <w:r>
        <w:t xml:space="preserve">filing Electric Quarterly Reports; </w:t>
      </w:r>
      <w:r w:rsidRPr="00654EC9">
        <w:t xml:space="preserve">submitting FPA sections 203 and 204 filings related to corporate mergers and other activities; and fulfilling FPA section 301 accounting obligations and FPA section 305(b) interlocking directorate obligations. </w:t>
      </w:r>
      <w:r>
        <w:t xml:space="preserve"> </w:t>
      </w:r>
      <w:r w:rsidRPr="00C039B1">
        <w:rPr>
          <w:i/>
        </w:rPr>
        <w:t>See</w:t>
      </w:r>
      <w:r w:rsidRPr="00654EC9">
        <w:t xml:space="preserve"> 16 U.S.C. 824b, 824c, 824d, 825, 825d(b).</w:t>
      </w:r>
      <w:bookmarkEnd w:id="16"/>
    </w:p>
  </w:footnote>
  <w:footnote w:id="96">
    <w:p w:rsidR="00FB7F86" w:rsidP="00D6727D" w:rsidRDefault="00FB7F86" w14:paraId="596218FB" w14:textId="684A5E80">
      <w:pPr>
        <w:pStyle w:val="FootnoteText"/>
      </w:pPr>
      <w:r>
        <w:rPr>
          <w:rStyle w:val="FootnoteReference"/>
        </w:rPr>
        <w:footnoteRef/>
      </w:r>
      <w:r>
        <w:t xml:space="preserve"> </w:t>
      </w:r>
      <w:r w:rsidRPr="00CC082C">
        <w:rPr>
          <w:i/>
          <w:iCs/>
        </w:rPr>
        <w:t>See</w:t>
      </w:r>
      <w:r w:rsidRPr="00911E89">
        <w:t xml:space="preserve"> </w:t>
      </w:r>
      <w:r w:rsidRPr="00720DEB">
        <w:rPr>
          <w:i/>
        </w:rPr>
        <w:t>EnergyConnect, Inc.</w:t>
      </w:r>
      <w:r w:rsidRPr="00720DEB">
        <w:t>, 130 FERC ¶</w:t>
      </w:r>
      <w:r>
        <w:t> </w:t>
      </w:r>
      <w:r w:rsidRPr="00720DEB">
        <w:t>61,031 at P</w:t>
      </w:r>
      <w:r>
        <w:t> 30</w:t>
      </w:r>
      <w:r w:rsidRPr="00720DEB">
        <w:t xml:space="preserve"> </w:t>
      </w:r>
      <w:r>
        <w:t>(</w:t>
      </w:r>
      <w:r w:rsidRPr="00BC71A6">
        <w:t>f</w:t>
      </w:r>
      <w:r>
        <w:t>inding</w:t>
      </w:r>
      <w:r w:rsidRPr="00BC71A6">
        <w:t xml:space="preserve"> that “where an entity is only engaged in the provision of demand response services, and makes no sales of electric energy for resale, that entity would not own or operate facilities that are subject to the Commission’s jurisdiction and would not be a public utility that is required to have a rate on file with the Commission”</w:t>
      </w:r>
      <w:r>
        <w:t xml:space="preserve">); </w:t>
      </w:r>
      <w:r w:rsidRPr="00AC20F1">
        <w:rPr>
          <w:i/>
          <w:iCs/>
        </w:rPr>
        <w:t>Sun Edison LLC</w:t>
      </w:r>
      <w:r w:rsidRPr="00AC20F1">
        <w:t>, 129 FERC ¶</w:t>
      </w:r>
      <w:r>
        <w:t> </w:t>
      </w:r>
      <w:r w:rsidRPr="00AC20F1">
        <w:t xml:space="preserve">61,146 (the Commission’s jurisdiction would arise only when a facility operating under a state net metering program produces more power than it consumes over the relevant netting period); </w:t>
      </w:r>
      <w:r w:rsidRPr="00BE4A1D">
        <w:rPr>
          <w:i/>
          <w:iCs/>
        </w:rPr>
        <w:t>MidAmerican Energy Co.</w:t>
      </w:r>
      <w:r w:rsidRPr="005104DA">
        <w:t>, 94 FERC ¶</w:t>
      </w:r>
      <w:r>
        <w:t> </w:t>
      </w:r>
      <w:r w:rsidRPr="005104DA">
        <w:t>61,340.</w:t>
      </w:r>
    </w:p>
  </w:footnote>
  <w:footnote w:id="97">
    <w:p w:rsidR="00FB7F86" w:rsidRDefault="00FB7F86" w14:paraId="73240192" w14:textId="0758BA47">
      <w:pPr>
        <w:pStyle w:val="FootnoteText"/>
      </w:pPr>
      <w:r>
        <w:rPr>
          <w:rStyle w:val="FootnoteReference"/>
        </w:rPr>
        <w:footnoteRef/>
      </w:r>
      <w:r>
        <w:t xml:space="preserve"> </w:t>
      </w:r>
      <w:r w:rsidRPr="000C639F">
        <w:t>Order No. 841, 162 FERC ¶</w:t>
      </w:r>
      <w:r>
        <w:t> </w:t>
      </w:r>
      <w:r w:rsidRPr="000C639F">
        <w:t>61,127 at P</w:t>
      </w:r>
      <w:r>
        <w:t> </w:t>
      </w:r>
      <w:r w:rsidRPr="000C639F">
        <w:t>36</w:t>
      </w:r>
      <w:r>
        <w:t xml:space="preserve">; Order No. 841-A, </w:t>
      </w:r>
      <w:r w:rsidRPr="00D53564">
        <w:t>167 FERC ¶</w:t>
      </w:r>
      <w:r>
        <w:t> </w:t>
      </w:r>
      <w:r w:rsidRPr="00D53564">
        <w:t>61,154</w:t>
      </w:r>
      <w:r>
        <w:t xml:space="preserve"> at P 42.</w:t>
      </w:r>
    </w:p>
  </w:footnote>
  <w:footnote w:id="98">
    <w:p w:rsidRPr="00B83AFF" w:rsidR="00FB7F86" w:rsidRDefault="00FB7F86" w14:paraId="353D3231" w14:textId="488CE53C">
      <w:pPr>
        <w:pStyle w:val="FootnoteText"/>
      </w:pPr>
      <w:r>
        <w:rPr>
          <w:rStyle w:val="FootnoteReference"/>
        </w:rPr>
        <w:footnoteRef/>
      </w:r>
      <w:r>
        <w:t xml:space="preserve"> </w:t>
      </w:r>
      <w:r>
        <w:rPr>
          <w:i/>
          <w:iCs/>
        </w:rPr>
        <w:t>See</w:t>
      </w:r>
      <w:r w:rsidRPr="00DE70CD">
        <w:t xml:space="preserve"> </w:t>
      </w:r>
      <w:r>
        <w:t xml:space="preserve">Order No. 841-A, </w:t>
      </w:r>
      <w:r w:rsidRPr="00D53564">
        <w:t>167 FERC ¶</w:t>
      </w:r>
      <w:r>
        <w:t> </w:t>
      </w:r>
      <w:r w:rsidRPr="00D53564">
        <w:t>61,154</w:t>
      </w:r>
      <w:r>
        <w:t xml:space="preserve"> at P 46.</w:t>
      </w:r>
    </w:p>
  </w:footnote>
  <w:footnote w:id="99">
    <w:p w:rsidR="00FB7F86" w:rsidRDefault="00FB7F86" w14:paraId="4FFCEAA0" w14:textId="5A2E458B">
      <w:pPr>
        <w:pStyle w:val="FootnoteText"/>
      </w:pPr>
      <w:r>
        <w:rPr>
          <w:rStyle w:val="FootnoteReference"/>
        </w:rPr>
        <w:footnoteRef/>
      </w:r>
      <w:r>
        <w:t xml:space="preserve"> NOPR, </w:t>
      </w:r>
      <w:r w:rsidRPr="00370A91">
        <w:t xml:space="preserve">157 FERC </w:t>
      </w:r>
      <w:r>
        <w:t>¶ </w:t>
      </w:r>
      <w:r w:rsidRPr="00370A91">
        <w:t>61,121</w:t>
      </w:r>
      <w:r>
        <w:t xml:space="preserve"> at P 124.</w:t>
      </w:r>
    </w:p>
  </w:footnote>
  <w:footnote w:id="100">
    <w:p w:rsidRPr="00D377EB" w:rsidR="00FB7F86" w:rsidP="006B591B" w:rsidRDefault="00FB7F86" w14:paraId="27F72CFD" w14:textId="30A07954">
      <w:pPr>
        <w:pStyle w:val="FootnoteText"/>
      </w:pPr>
      <w:r w:rsidRPr="00D377EB">
        <w:rPr>
          <w:b/>
          <w:vertAlign w:val="superscript"/>
        </w:rPr>
        <w:footnoteRef/>
      </w:r>
      <w:r w:rsidRPr="00D377EB">
        <w:t xml:space="preserve"> </w:t>
      </w:r>
      <w:r>
        <w:rPr>
          <w:i/>
          <w:iCs/>
        </w:rPr>
        <w:t>Id.</w:t>
      </w:r>
      <w:r w:rsidRPr="00D377EB">
        <w:t xml:space="preserve"> P</w:t>
      </w:r>
      <w:r>
        <w:t> </w:t>
      </w:r>
      <w:r w:rsidRPr="00D377EB">
        <w:t>133.</w:t>
      </w:r>
    </w:p>
  </w:footnote>
  <w:footnote w:id="101">
    <w:p w:rsidR="00FB7F86" w:rsidP="006B591B" w:rsidRDefault="00FB7F86" w14:paraId="5085B8EE" w14:textId="65624F30">
      <w:pPr>
        <w:pStyle w:val="FootnoteText"/>
      </w:pPr>
      <w:r>
        <w:rPr>
          <w:rStyle w:val="FootnoteReference"/>
        </w:rPr>
        <w:footnoteRef/>
      </w:r>
      <w:r>
        <w:t xml:space="preserve"> See </w:t>
      </w:r>
      <w:r w:rsidRPr="001477B6">
        <w:t>Section IV.J (Market Participation Agreements)</w:t>
      </w:r>
      <w:r>
        <w:t xml:space="preserve"> below for more discussion of market participation agreements.</w:t>
      </w:r>
    </w:p>
  </w:footnote>
  <w:footnote w:id="102">
    <w:p w:rsidRPr="00D377EB" w:rsidR="00FB7F86" w:rsidP="006B591B" w:rsidRDefault="00FB7F86" w14:paraId="35146631" w14:textId="76136E29">
      <w:pPr>
        <w:pStyle w:val="FootnoteText"/>
      </w:pPr>
      <w:r w:rsidRPr="00D377EB">
        <w:rPr>
          <w:b/>
          <w:vertAlign w:val="superscript"/>
        </w:rPr>
        <w:footnoteRef/>
      </w:r>
      <w:r w:rsidRPr="00D377EB">
        <w:t xml:space="preserve"> </w:t>
      </w:r>
      <w:r>
        <w:rPr>
          <w:iCs/>
        </w:rPr>
        <w:t>NOPR</w:t>
      </w:r>
      <w:r>
        <w:t xml:space="preserve">, </w:t>
      </w:r>
      <w:r w:rsidRPr="00370A91">
        <w:t xml:space="preserve">157 FERC </w:t>
      </w:r>
      <w:r>
        <w:t>¶ </w:t>
      </w:r>
      <w:r w:rsidRPr="00370A91">
        <w:t>61,121</w:t>
      </w:r>
      <w:r>
        <w:rPr>
          <w:iCs/>
        </w:rPr>
        <w:t xml:space="preserve"> at</w:t>
      </w:r>
      <w:r w:rsidRPr="00D377EB">
        <w:t xml:space="preserve"> P</w:t>
      </w:r>
      <w:r>
        <w:t> </w:t>
      </w:r>
      <w:r w:rsidRPr="00D377EB">
        <w:t>157.</w:t>
      </w:r>
    </w:p>
  </w:footnote>
  <w:footnote w:id="103">
    <w:p w:rsidRPr="00D377EB" w:rsidR="00FB7F86" w:rsidP="006B591B" w:rsidRDefault="00FB7F86" w14:paraId="6AA13692" w14:textId="7990D326">
      <w:pPr>
        <w:pStyle w:val="FootnoteText"/>
      </w:pPr>
      <w:r w:rsidRPr="00D377EB">
        <w:rPr>
          <w:b/>
          <w:vertAlign w:val="superscript"/>
        </w:rPr>
        <w:footnoteRef/>
      </w:r>
      <w:r w:rsidRPr="00D377EB">
        <w:t xml:space="preserve"> </w:t>
      </w:r>
      <w:r>
        <w:rPr>
          <w:i/>
          <w:iCs/>
        </w:rPr>
        <w:t>Id.</w:t>
      </w:r>
      <w:r>
        <w:t xml:space="preserve"> P 157 </w:t>
      </w:r>
      <w:r w:rsidRPr="00D377EB">
        <w:t xml:space="preserve">n.238 (citing Order No. 719, </w:t>
      </w:r>
      <w:r w:rsidRPr="007E5E1F">
        <w:t>125 FERC ¶</w:t>
      </w:r>
      <w:r>
        <w:t> </w:t>
      </w:r>
      <w:r w:rsidRPr="007E5E1F">
        <w:t>61,071</w:t>
      </w:r>
      <w:r w:rsidRPr="00D377EB">
        <w:t xml:space="preserve"> at P</w:t>
      </w:r>
      <w:r>
        <w:t> </w:t>
      </w:r>
      <w:r w:rsidRPr="00D377EB">
        <w:t>154).</w:t>
      </w:r>
    </w:p>
  </w:footnote>
  <w:footnote w:id="104">
    <w:p w:rsidR="00FB7F86" w:rsidP="0031411D" w:rsidRDefault="00FB7F86" w14:paraId="2C9437B6" w14:textId="21E007A2">
      <w:pPr>
        <w:pStyle w:val="FootnoteText"/>
      </w:pPr>
      <w:r>
        <w:rPr>
          <w:rStyle w:val="FootnoteReference"/>
        </w:rPr>
        <w:footnoteRef/>
      </w:r>
      <w:r>
        <w:t xml:space="preserve"> </w:t>
      </w:r>
      <w:r w:rsidRPr="00177CA8">
        <w:rPr>
          <w:szCs w:val="26"/>
        </w:rPr>
        <w:t>Notice Inviting Post-Technical Conference Comments</w:t>
      </w:r>
      <w:r>
        <w:rPr>
          <w:szCs w:val="26"/>
        </w:rPr>
        <w:t xml:space="preserve"> at 6.</w:t>
      </w:r>
    </w:p>
  </w:footnote>
  <w:footnote w:id="105">
    <w:p w:rsidR="00FB7F86" w:rsidP="006B591B" w:rsidRDefault="00FB7F86" w14:paraId="45B777E6" w14:textId="425038D0">
      <w:pPr>
        <w:pStyle w:val="FootnoteText"/>
      </w:pPr>
      <w:r w:rsidRPr="007F56E8">
        <w:rPr>
          <w:rStyle w:val="FootnoteReference"/>
        </w:rPr>
        <w:footnoteRef/>
      </w:r>
      <w:r w:rsidRPr="007F56E8">
        <w:t xml:space="preserve"> </w:t>
      </w:r>
      <w:r w:rsidRPr="00DF370A">
        <w:rPr>
          <w:i/>
          <w:iCs/>
        </w:rPr>
        <w:t>See</w:t>
      </w:r>
      <w:r w:rsidRPr="007F56E8">
        <w:t xml:space="preserve"> </w:t>
      </w:r>
      <w:r>
        <w:rPr>
          <w:i/>
          <w:iCs/>
        </w:rPr>
        <w:t>supra</w:t>
      </w:r>
      <w:r>
        <w:t xml:space="preserve"> </w:t>
      </w:r>
      <w:r w:rsidRPr="007F56E8">
        <w:t xml:space="preserve">Section </w:t>
      </w:r>
      <w:r w:rsidRPr="001477B6">
        <w:t xml:space="preserve">IV.A.1 </w:t>
      </w:r>
      <w:r>
        <w:t>(</w:t>
      </w:r>
      <w:r w:rsidRPr="001477B6">
        <w:t>Scope of Final Rule</w:t>
      </w:r>
      <w:r>
        <w:t>)</w:t>
      </w:r>
      <w:r w:rsidRPr="001477B6">
        <w:t>.</w:t>
      </w:r>
    </w:p>
  </w:footnote>
  <w:footnote w:id="106">
    <w:p w:rsidRPr="00D377EB" w:rsidR="00FB7F86" w:rsidP="006B591B" w:rsidRDefault="00FB7F86" w14:paraId="2A7F8BDF" w14:textId="3D1A0701">
      <w:pPr>
        <w:pStyle w:val="FootnoteText"/>
      </w:pPr>
      <w:r w:rsidRPr="00D377EB">
        <w:rPr>
          <w:b/>
          <w:vertAlign w:val="superscript"/>
        </w:rPr>
        <w:footnoteRef/>
      </w:r>
      <w:r w:rsidRPr="00D377EB">
        <w:t xml:space="preserve"> </w:t>
      </w:r>
      <w:r>
        <w:rPr>
          <w:i/>
          <w:iCs/>
        </w:rPr>
        <w:t>See, e.g.</w:t>
      </w:r>
      <w:r>
        <w:t>,</w:t>
      </w:r>
      <w:r w:rsidRPr="00D377EB">
        <w:t xml:space="preserve"> APPA/NRECA Comments (RM16-23) at 21-22; DTE Electric/Consumers Energy Comments (RM16-23) at 7; MISO Transmission Owners Comments (RM16-23) at 6; NARUC Comments (RM16-23) at 4-5; TAPS Comments (RM16-23) at 10, 16-17.</w:t>
      </w:r>
    </w:p>
  </w:footnote>
  <w:footnote w:id="107">
    <w:p w:rsidRPr="00D377EB" w:rsidR="00FB7F86" w:rsidP="00FB7F86" w:rsidRDefault="00FB7F86" w14:paraId="23267E30" w14:textId="0BE1A6CB">
      <w:pPr>
        <w:pStyle w:val="FootnoteText"/>
        <w:widowControl/>
      </w:pPr>
      <w:r w:rsidRPr="00D377EB">
        <w:rPr>
          <w:b/>
          <w:vertAlign w:val="superscript"/>
        </w:rPr>
        <w:footnoteRef/>
      </w:r>
      <w:r w:rsidRPr="00321CE6">
        <w:t xml:space="preserve"> </w:t>
      </w:r>
      <w:r>
        <w:rPr>
          <w:i/>
          <w:iCs/>
        </w:rPr>
        <w:t>See, e.g.</w:t>
      </w:r>
      <w:r>
        <w:t>,</w:t>
      </w:r>
      <w:r w:rsidRPr="00D377EB">
        <w:t xml:space="preserve"> AES Companies Comments (RM16-23) at 31; Kansas Commission </w:t>
      </w:r>
      <w:r>
        <w:t>Comments (2018 RM18-9)</w:t>
      </w:r>
      <w:r w:rsidRPr="00D377EB">
        <w:t xml:space="preserve"> at 4; NRECA </w:t>
      </w:r>
      <w:r>
        <w:t>Comments (2018 RM18-9)</w:t>
      </w:r>
      <w:r w:rsidRPr="00D377EB">
        <w:t xml:space="preserve"> at </w:t>
      </w:r>
      <w:r>
        <w:t>6-</w:t>
      </w:r>
      <w:r w:rsidRPr="00D377EB">
        <w:t>7</w:t>
      </w:r>
      <w:r>
        <w:t>, 27-28</w:t>
      </w:r>
      <w:r w:rsidRPr="00D377EB">
        <w:t xml:space="preserve">; Organization of MISO States </w:t>
      </w:r>
      <w:r>
        <w:t>Comments (</w:t>
      </w:r>
      <w:r w:rsidRPr="00D377EB">
        <w:t xml:space="preserve">RM16-23) at 4-5; Southern Companies </w:t>
      </w:r>
      <w:r>
        <w:t>Comments (2018 RM18-9)</w:t>
      </w:r>
      <w:r w:rsidRPr="00D377EB">
        <w:t xml:space="preserve"> at 3-4</w:t>
      </w:r>
      <w:r>
        <w:t xml:space="preserve"> (citing </w:t>
      </w:r>
      <w:r w:rsidRPr="00D377EB">
        <w:t xml:space="preserve">Order No. 719, </w:t>
      </w:r>
      <w:r w:rsidRPr="007E5E1F">
        <w:t>125 FERC ¶</w:t>
      </w:r>
      <w:r>
        <w:t> </w:t>
      </w:r>
      <w:r w:rsidRPr="007E5E1F">
        <w:t>61,071</w:t>
      </w:r>
      <w:r>
        <w:t xml:space="preserve">; Order No. 719-A, </w:t>
      </w:r>
      <w:r w:rsidRPr="007E5E1F">
        <w:t>128 FERC ¶</w:t>
      </w:r>
      <w:r>
        <w:t> </w:t>
      </w:r>
      <w:r w:rsidRPr="007E5E1F">
        <w:t>61,059</w:t>
      </w:r>
      <w:r>
        <w:t xml:space="preserve">); </w:t>
      </w:r>
      <w:r w:rsidRPr="00FA595F">
        <w:rPr>
          <w:i/>
          <w:iCs/>
        </w:rPr>
        <w:t xml:space="preserve">see </w:t>
      </w:r>
      <w:r w:rsidRPr="00FA595F">
        <w:t>discussion of opt-out/opt-in</w:t>
      </w:r>
      <w:r w:rsidRPr="00FA595F">
        <w:rPr>
          <w:i/>
          <w:iCs/>
        </w:rPr>
        <w:t xml:space="preserve"> infra </w:t>
      </w:r>
      <w:r w:rsidRPr="00FA595F">
        <w:t>PP 59, 6</w:t>
      </w:r>
      <w:r>
        <w:t>4</w:t>
      </w:r>
      <w:r w:rsidRPr="00F34044">
        <w:t>.</w:t>
      </w:r>
      <w:r w:rsidRPr="00D377EB">
        <w:t xml:space="preserve"> </w:t>
      </w:r>
    </w:p>
  </w:footnote>
  <w:footnote w:id="108">
    <w:p w:rsidR="00FB7F86" w:rsidP="006B591B" w:rsidRDefault="00FB7F86" w14:paraId="7A25B144" w14:textId="0DCFFF86">
      <w:pPr>
        <w:pStyle w:val="FootnoteText"/>
      </w:pPr>
      <w:r>
        <w:rPr>
          <w:rStyle w:val="FootnoteReference"/>
        </w:rPr>
        <w:footnoteRef/>
      </w:r>
      <w:r>
        <w:t xml:space="preserve"> </w:t>
      </w:r>
      <w:r w:rsidRPr="0013030F">
        <w:t>Kansas Commission Comments (2018 RM18-9) at 3; NARUC Comments (2018 RM18-9) at 2-3</w:t>
      </w:r>
      <w:r>
        <w:t>;</w:t>
      </w:r>
      <w:r w:rsidRPr="009D1F89">
        <w:t xml:space="preserve"> </w:t>
      </w:r>
      <w:r>
        <w:rPr>
          <w:i/>
          <w:iCs/>
        </w:rPr>
        <w:t xml:space="preserve">see </w:t>
      </w:r>
      <w:r w:rsidRPr="0013030F">
        <w:t>APPA Comments (2018 RM18-9) at 15.</w:t>
      </w:r>
    </w:p>
  </w:footnote>
  <w:footnote w:id="109">
    <w:p w:rsidR="00FB7F86" w:rsidP="006B591B" w:rsidRDefault="00FB7F86" w14:paraId="130E73F1" w14:textId="325D78DA">
      <w:pPr>
        <w:pStyle w:val="FootnoteText"/>
      </w:pPr>
      <w:r>
        <w:rPr>
          <w:rStyle w:val="FootnoteReference"/>
        </w:rPr>
        <w:footnoteRef/>
      </w:r>
      <w:r>
        <w:t xml:space="preserve"> </w:t>
      </w:r>
      <w:r w:rsidRPr="0013030F">
        <w:t xml:space="preserve">Kansas Commission Comments (2018 RM18-9) at </w:t>
      </w:r>
      <w:r>
        <w:t>2-</w:t>
      </w:r>
      <w:r w:rsidRPr="0013030F">
        <w:t>3; NARUC Comments (2018 RM18-9) at 2-3.</w:t>
      </w:r>
    </w:p>
  </w:footnote>
  <w:footnote w:id="110">
    <w:p w:rsidRPr="00D377EB" w:rsidR="00FB7F86" w:rsidP="00FD6CC2" w:rsidRDefault="00FB7F86" w14:paraId="5F7FDEAD" w14:textId="77777777">
      <w:pPr>
        <w:pStyle w:val="FootnoteText"/>
      </w:pPr>
      <w:r w:rsidRPr="00D377EB">
        <w:rPr>
          <w:b/>
          <w:vertAlign w:val="superscript"/>
        </w:rPr>
        <w:footnoteRef/>
      </w:r>
      <w:r w:rsidRPr="00D377EB">
        <w:t xml:space="preserve"> APPA </w:t>
      </w:r>
      <w:r>
        <w:t>Comments (2018 RM18-9</w:t>
      </w:r>
      <w:r w:rsidRPr="00D377EB">
        <w:t xml:space="preserve">) at </w:t>
      </w:r>
      <w:r>
        <w:t>17-</w:t>
      </w:r>
      <w:r w:rsidRPr="00D377EB">
        <w:t>18.</w:t>
      </w:r>
    </w:p>
  </w:footnote>
  <w:footnote w:id="111">
    <w:p w:rsidR="00FB7F86" w:rsidP="00FB7F86" w:rsidRDefault="00FB7F86" w14:paraId="2C82B04E" w14:textId="329C4A26">
      <w:pPr>
        <w:pStyle w:val="FootnoteText"/>
        <w:widowControl/>
      </w:pPr>
      <w:r>
        <w:rPr>
          <w:rStyle w:val="FootnoteReference"/>
        </w:rPr>
        <w:footnoteRef/>
      </w:r>
      <w:r>
        <w:t xml:space="preserve"> </w:t>
      </w:r>
      <w:r>
        <w:rPr>
          <w:i/>
          <w:iCs/>
        </w:rPr>
        <w:t>Id.</w:t>
      </w:r>
      <w:r w:rsidRPr="0013030F">
        <w:t xml:space="preserve"> at 15-16 (noting that CAISO’s D</w:t>
      </w:r>
      <w:r>
        <w:t>istributed Energy Resource</w:t>
      </w:r>
      <w:r w:rsidRPr="0013030F">
        <w:t xml:space="preserve"> Provider program requires compliance with applicable distribution utility tariffs and operating procedures, as well as applicable requirements of the</w:t>
      </w:r>
      <w:r>
        <w:t xml:space="preserve"> </w:t>
      </w:r>
      <w:r w:rsidRPr="008502BF">
        <w:t>relevant electric retail regulatory authorit</w:t>
      </w:r>
      <w:r>
        <w:t>y</w:t>
      </w:r>
      <w:r w:rsidRPr="0013030F">
        <w:t>).</w:t>
      </w:r>
      <w:r w:rsidRPr="005D1E02">
        <w:t xml:space="preserve"> </w:t>
      </w:r>
    </w:p>
  </w:footnote>
  <w:footnote w:id="112">
    <w:p w:rsidR="00FB7F86" w:rsidP="006B591B" w:rsidRDefault="00FB7F86" w14:paraId="2CB26C51" w14:textId="30D5639B">
      <w:pPr>
        <w:pStyle w:val="FootnoteText"/>
      </w:pPr>
      <w:r>
        <w:rPr>
          <w:rStyle w:val="FootnoteReference"/>
        </w:rPr>
        <w:footnoteRef/>
      </w:r>
      <w:r>
        <w:t xml:space="preserve"> </w:t>
      </w:r>
      <w:r>
        <w:rPr>
          <w:i/>
          <w:iCs/>
        </w:rPr>
        <w:t>Id.</w:t>
      </w:r>
      <w:r w:rsidRPr="0013030F">
        <w:t xml:space="preserve"> at 16 (citing NOPR</w:t>
      </w:r>
      <w:r>
        <w:t xml:space="preserve">, </w:t>
      </w:r>
      <w:r w:rsidRPr="00370A91">
        <w:t xml:space="preserve">157 FERC </w:t>
      </w:r>
      <w:r>
        <w:t>¶ </w:t>
      </w:r>
      <w:r w:rsidRPr="00370A91">
        <w:t>61,121</w:t>
      </w:r>
      <w:r w:rsidRPr="0013030F">
        <w:t xml:space="preserve"> at P</w:t>
      </w:r>
      <w:r>
        <w:t> </w:t>
      </w:r>
      <w:r w:rsidRPr="0013030F">
        <w:t>157; Order No. 841, 162 FERC ¶</w:t>
      </w:r>
      <w:r>
        <w:t> </w:t>
      </w:r>
      <w:r w:rsidRPr="0013030F">
        <w:t>61,127 at P</w:t>
      </w:r>
      <w:r>
        <w:t> </w:t>
      </w:r>
      <w:r w:rsidRPr="0013030F">
        <w:t>33).</w:t>
      </w:r>
    </w:p>
  </w:footnote>
  <w:footnote w:id="113">
    <w:p w:rsidRPr="00D377EB" w:rsidR="00FB7F86" w:rsidP="00FA1E3A" w:rsidRDefault="00FB7F86" w14:paraId="54C5AAF0" w14:textId="77777777">
      <w:pPr>
        <w:pStyle w:val="FootnoteText"/>
      </w:pPr>
      <w:r w:rsidRPr="00D377EB">
        <w:rPr>
          <w:b/>
          <w:vertAlign w:val="superscript"/>
        </w:rPr>
        <w:footnoteRef/>
      </w:r>
      <w:r w:rsidRPr="00D377EB">
        <w:t xml:space="preserve"> Xcel Energy Services Comments (RM16-23) at 23-24. </w:t>
      </w:r>
    </w:p>
  </w:footnote>
  <w:footnote w:id="114">
    <w:p w:rsidRPr="00D377EB" w:rsidR="00FB7F86" w:rsidP="00FA1E3A" w:rsidRDefault="00FB7F86" w14:paraId="3E3B943A" w14:textId="055AF5F2">
      <w:pPr>
        <w:pStyle w:val="FootnoteText"/>
      </w:pPr>
      <w:r w:rsidRPr="00D377EB">
        <w:rPr>
          <w:b/>
          <w:vertAlign w:val="superscript"/>
        </w:rPr>
        <w:footnoteRef/>
      </w:r>
      <w:r w:rsidRPr="00D377EB">
        <w:t xml:space="preserve"> </w:t>
      </w:r>
      <w:r>
        <w:rPr>
          <w:i/>
          <w:iCs/>
        </w:rPr>
        <w:t>Id.</w:t>
      </w:r>
      <w:r w:rsidRPr="00D377EB">
        <w:t xml:space="preserve"> at 24.</w:t>
      </w:r>
    </w:p>
  </w:footnote>
  <w:footnote w:id="115">
    <w:p w:rsidR="00FB7F86" w:rsidRDefault="00FB7F86" w14:paraId="25809CD4" w14:textId="1BD74626">
      <w:pPr>
        <w:pStyle w:val="FootnoteText"/>
      </w:pPr>
      <w:r>
        <w:rPr>
          <w:rStyle w:val="FootnoteReference"/>
        </w:rPr>
        <w:footnoteRef/>
      </w:r>
      <w:r>
        <w:t xml:space="preserve"> May 7, 2019 Letter to Chairman Neil Chatterjee from United States Senators John Hoeven, Kevin Cramer, John Barrasso, John Boozman, Lisa Murkowski, Michael B. Enzi, Joni K. Ernst, Roger F. Wicker, Shelley Moore Capito, Chuck Grassley, M. Michael Rounds, Steve Daines, John Thune, Thom Tillis, Mike Crapo, Cindy Hyde-Smith, Roy Blunt, James E. Risch, James Lankford, Deb Fischer, James M. Inhofe, and Bill Cassidy.  In response to this letter, the Chairman noted that he asked state regulators participating at the April 2018 technical conference to discuss whether and why they view as important in the context of this rulemaking the type of flexibility that the Commission has provided to relevant electric retail regulatory authorities with respect to participation of demand response resources in wholesale electric markets.  The Chairman also stated that he recognizes the important role of state and local regulators with respect to reliability and resilience, particularly with respect to the distribution system.  Chairman’s Response to May 7, 2019 Letter (filed June 4, 2019).  </w:t>
      </w:r>
    </w:p>
  </w:footnote>
  <w:footnote w:id="116">
    <w:p w:rsidRPr="00D377EB" w:rsidR="00FB7F86" w:rsidP="006B591B" w:rsidRDefault="00FB7F86" w14:paraId="53F219F2" w14:textId="3E5FBFF7">
      <w:pPr>
        <w:pStyle w:val="FootnoteText"/>
      </w:pPr>
      <w:r w:rsidRPr="00D377EB">
        <w:rPr>
          <w:b/>
          <w:vertAlign w:val="superscript"/>
        </w:rPr>
        <w:footnoteRef/>
      </w:r>
      <w:r w:rsidRPr="00D377EB">
        <w:t xml:space="preserve"> </w:t>
      </w:r>
      <w:r>
        <w:rPr>
          <w:i/>
          <w:iCs/>
        </w:rPr>
        <w:t>See, e.g.</w:t>
      </w:r>
      <w:r>
        <w:t>,</w:t>
      </w:r>
      <w:r>
        <w:rPr>
          <w:i/>
        </w:rPr>
        <w:t xml:space="preserve"> </w:t>
      </w:r>
      <w:r>
        <w:t>Vice Chairman</w:t>
      </w:r>
      <w:r w:rsidRPr="00D377EB">
        <w:t xml:space="preserve"> Place </w:t>
      </w:r>
      <w:r>
        <w:t>Comments (2018 RM18-9</w:t>
      </w:r>
      <w:r w:rsidRPr="00D377EB">
        <w:t xml:space="preserve">) at 2-3; EEI </w:t>
      </w:r>
      <w:r>
        <w:t>Comments (2018 RM18-9</w:t>
      </w:r>
      <w:r w:rsidRPr="00D377EB">
        <w:t>) at 19</w:t>
      </w:r>
      <w:r>
        <w:t>-20</w:t>
      </w:r>
      <w:r w:rsidRPr="00D377EB">
        <w:t xml:space="preserve">; Eversource </w:t>
      </w:r>
      <w:r>
        <w:t>Comments (2018 RM18-9</w:t>
      </w:r>
      <w:r w:rsidRPr="00D377EB">
        <w:t xml:space="preserve">) at 12-13; NRECA </w:t>
      </w:r>
      <w:r>
        <w:t>Comments (2018 RM18-9</w:t>
      </w:r>
      <w:r w:rsidRPr="00D377EB">
        <w:t xml:space="preserve">) at 7-10, 12; </w:t>
      </w:r>
      <w:r w:rsidRPr="00D377EB">
        <w:rPr>
          <w:i/>
        </w:rPr>
        <w:t>see also</w:t>
      </w:r>
      <w:r w:rsidRPr="00DE70CD">
        <w:t xml:space="preserve"> </w:t>
      </w:r>
      <w:r>
        <w:rPr>
          <w:szCs w:val="26"/>
        </w:rPr>
        <w:t xml:space="preserve">AMP Comments </w:t>
      </w:r>
      <w:r>
        <w:t>(2019 RM18-9)</w:t>
      </w:r>
      <w:r>
        <w:rPr>
          <w:szCs w:val="26"/>
        </w:rPr>
        <w:t xml:space="preserve"> at 1</w:t>
      </w:r>
      <w:r w:rsidRPr="00D377EB">
        <w:t>.</w:t>
      </w:r>
    </w:p>
  </w:footnote>
  <w:footnote w:id="117">
    <w:p w:rsidRPr="00D377EB" w:rsidR="00FB7F86" w:rsidP="00DC7B80" w:rsidRDefault="00FB7F86" w14:paraId="09DA2D70" w14:textId="32BF4546">
      <w:pPr>
        <w:pStyle w:val="FootnoteText"/>
      </w:pPr>
      <w:r w:rsidRPr="00D377EB">
        <w:rPr>
          <w:b/>
          <w:vertAlign w:val="superscript"/>
        </w:rPr>
        <w:footnoteRef/>
      </w:r>
      <w:r w:rsidRPr="00D377EB">
        <w:t xml:space="preserve"> </w:t>
      </w:r>
      <w:r w:rsidRPr="00A50DBE">
        <w:rPr>
          <w:szCs w:val="26"/>
        </w:rPr>
        <w:t xml:space="preserve">APPA </w:t>
      </w:r>
      <w:r>
        <w:rPr>
          <w:szCs w:val="26"/>
        </w:rPr>
        <w:t xml:space="preserve">Comments (2018 RM18-9) </w:t>
      </w:r>
      <w:r w:rsidRPr="00A50DBE">
        <w:rPr>
          <w:szCs w:val="26"/>
        </w:rPr>
        <w:t>at 7</w:t>
      </w:r>
      <w:r>
        <w:rPr>
          <w:szCs w:val="26"/>
        </w:rPr>
        <w:t xml:space="preserve"> (asserting that rate design challenges </w:t>
      </w:r>
      <w:r w:rsidRPr="00690518">
        <w:rPr>
          <w:szCs w:val="26"/>
        </w:rPr>
        <w:t>can be particularly acute for small to medium-sized</w:t>
      </w:r>
      <w:r>
        <w:rPr>
          <w:szCs w:val="26"/>
        </w:rPr>
        <w:t xml:space="preserve"> </w:t>
      </w:r>
      <w:r w:rsidRPr="00690518">
        <w:rPr>
          <w:szCs w:val="26"/>
        </w:rPr>
        <w:t>distribution utilities</w:t>
      </w:r>
      <w:r>
        <w:rPr>
          <w:szCs w:val="26"/>
        </w:rPr>
        <w:t xml:space="preserve">), 9-10 (asserting that </w:t>
      </w:r>
      <w:r w:rsidRPr="00690518">
        <w:rPr>
          <w:szCs w:val="26"/>
        </w:rPr>
        <w:t>monitoring an</w:t>
      </w:r>
      <w:r>
        <w:rPr>
          <w:szCs w:val="26"/>
        </w:rPr>
        <w:t xml:space="preserve">d </w:t>
      </w:r>
      <w:r w:rsidRPr="00690518">
        <w:rPr>
          <w:szCs w:val="26"/>
        </w:rPr>
        <w:t>responding to system impacts</w:t>
      </w:r>
      <w:r>
        <w:rPr>
          <w:szCs w:val="26"/>
        </w:rPr>
        <w:t xml:space="preserve"> </w:t>
      </w:r>
      <w:r w:rsidRPr="00690518">
        <w:rPr>
          <w:szCs w:val="26"/>
        </w:rPr>
        <w:t xml:space="preserve">associated with </w:t>
      </w:r>
      <w:r>
        <w:rPr>
          <w:szCs w:val="26"/>
        </w:rPr>
        <w:t xml:space="preserve">distributed energy resource </w:t>
      </w:r>
      <w:r w:rsidRPr="00690518">
        <w:rPr>
          <w:szCs w:val="26"/>
        </w:rPr>
        <w:t>aggregation activity</w:t>
      </w:r>
      <w:r>
        <w:rPr>
          <w:szCs w:val="26"/>
        </w:rPr>
        <w:t xml:space="preserve"> </w:t>
      </w:r>
      <w:r w:rsidRPr="00690518">
        <w:rPr>
          <w:szCs w:val="26"/>
        </w:rPr>
        <w:t>could be particularly difficult for small and medium-sized utilities</w:t>
      </w:r>
      <w:r>
        <w:rPr>
          <w:szCs w:val="26"/>
        </w:rPr>
        <w:t>)</w:t>
      </w:r>
      <w:r w:rsidRPr="00A50DBE">
        <w:rPr>
          <w:szCs w:val="26"/>
        </w:rPr>
        <w:t>;</w:t>
      </w:r>
      <w:r>
        <w:rPr>
          <w:szCs w:val="26"/>
        </w:rPr>
        <w:t xml:space="preserve"> </w:t>
      </w:r>
      <w:r w:rsidRPr="00D377EB">
        <w:t xml:space="preserve">APPA/NRECA Comments (RM16-23) at </w:t>
      </w:r>
      <w:r>
        <w:t>39 (asserting that the costs of installing new meters or new communication technology to capture wholesale market transactions would burden smaller distribution utilities in particular)</w:t>
      </w:r>
      <w:r w:rsidRPr="00D377EB">
        <w:t xml:space="preserve">; </w:t>
      </w:r>
      <w:r w:rsidRPr="00A50DBE">
        <w:rPr>
          <w:szCs w:val="26"/>
        </w:rPr>
        <w:t xml:space="preserve">NRECA </w:t>
      </w:r>
      <w:r>
        <w:rPr>
          <w:szCs w:val="26"/>
        </w:rPr>
        <w:t xml:space="preserve">Comments (2018 RM18-9) </w:t>
      </w:r>
      <w:r w:rsidRPr="00A50DBE">
        <w:rPr>
          <w:szCs w:val="26"/>
        </w:rPr>
        <w:t>at 14</w:t>
      </w:r>
      <w:r>
        <w:rPr>
          <w:szCs w:val="26"/>
        </w:rPr>
        <w:t xml:space="preserve"> (asserting that smaller distribution cooperatives may not have staff or resources needed to conduct ongoing operational coordination with RTOs/ISOs and distributed energy resource aggregators), 26 (</w:t>
      </w:r>
      <w:r w:rsidRPr="006F0CF8">
        <w:rPr>
          <w:szCs w:val="26"/>
        </w:rPr>
        <w:t>asserting that the considerable amount of funding required to potentially benefit a small number of customers imposes too large of a burden on small utilities)</w:t>
      </w:r>
      <w:r>
        <w:rPr>
          <w:szCs w:val="26"/>
        </w:rPr>
        <w:t xml:space="preserve">; </w:t>
      </w:r>
      <w:r w:rsidRPr="00D377EB">
        <w:t>TAPS Comments (RM16-23) at 15-16</w:t>
      </w:r>
      <w:r>
        <w:t xml:space="preserve"> (asserting that, particularly for a small utility, the costs of ongoing coordination, metering, settlements, and rate-unbundling needed to support sales to RTO/ISO markets by distributed energy resources may far exceed the potential efficiency benefits from their participation in RTO/ISO markets)</w:t>
      </w:r>
      <w:r w:rsidRPr="00D377EB">
        <w:t>.</w:t>
      </w:r>
    </w:p>
  </w:footnote>
  <w:footnote w:id="118">
    <w:p w:rsidRPr="00D377EB" w:rsidR="00FB7F86" w:rsidP="006B591B" w:rsidRDefault="00FB7F86" w14:paraId="75FFC2F8" w14:textId="6AFEB90B">
      <w:pPr>
        <w:pStyle w:val="FootnoteText"/>
      </w:pPr>
      <w:r w:rsidRPr="00D377EB">
        <w:rPr>
          <w:b/>
          <w:vertAlign w:val="superscript"/>
        </w:rPr>
        <w:footnoteRef/>
      </w:r>
      <w:r w:rsidRPr="00D377EB">
        <w:t xml:space="preserve"> NRECA </w:t>
      </w:r>
      <w:r>
        <w:t>Comments (2018 RM18-9</w:t>
      </w:r>
      <w:r w:rsidRPr="00D377EB">
        <w:t>) at 27-28.  IEEE-1547 is a standard of the Institute of Electrical and Electronics Engineers (IEEE) that provides a set of criteria and requirements for the interconnection of distributed energy resources.</w:t>
      </w:r>
      <w:r>
        <w:t xml:space="preserve">  </w:t>
      </w:r>
    </w:p>
  </w:footnote>
  <w:footnote w:id="119">
    <w:p w:rsidRPr="00A50DBE" w:rsidR="00FB7F86" w:rsidP="006B591B" w:rsidRDefault="00FB7F86" w14:paraId="6FE7AA10" w14:textId="560C0877">
      <w:pPr>
        <w:pStyle w:val="FootnoteText"/>
        <w:rPr>
          <w:szCs w:val="26"/>
        </w:rPr>
      </w:pPr>
      <w:r w:rsidRPr="00A50DBE">
        <w:rPr>
          <w:rStyle w:val="FootnoteReference"/>
          <w:szCs w:val="26"/>
        </w:rPr>
        <w:footnoteRef/>
      </w:r>
      <w:r w:rsidRPr="00A50DBE">
        <w:rPr>
          <w:szCs w:val="26"/>
        </w:rPr>
        <w:t xml:space="preserve"> </w:t>
      </w:r>
      <w:r>
        <w:rPr>
          <w:i/>
          <w:iCs/>
          <w:szCs w:val="26"/>
        </w:rPr>
        <w:t>Id.</w:t>
      </w:r>
      <w:r>
        <w:rPr>
          <w:szCs w:val="26"/>
        </w:rPr>
        <w:t xml:space="preserve"> </w:t>
      </w:r>
      <w:r w:rsidRPr="00A50DBE">
        <w:rPr>
          <w:szCs w:val="26"/>
        </w:rPr>
        <w:t xml:space="preserve">at </w:t>
      </w:r>
      <w:r>
        <w:rPr>
          <w:szCs w:val="26"/>
        </w:rPr>
        <w:t>22-</w:t>
      </w:r>
      <w:r w:rsidRPr="00A50DBE">
        <w:rPr>
          <w:szCs w:val="26"/>
        </w:rPr>
        <w:t>23.</w:t>
      </w:r>
    </w:p>
  </w:footnote>
  <w:footnote w:id="120">
    <w:p w:rsidRPr="00D377EB" w:rsidR="00FB7F86" w:rsidP="00EB285A" w:rsidRDefault="00FB7F86" w14:paraId="1862A23B" w14:textId="77777777">
      <w:pPr>
        <w:pStyle w:val="FootnoteText"/>
      </w:pPr>
      <w:r w:rsidRPr="00D377EB">
        <w:rPr>
          <w:b/>
          <w:vertAlign w:val="superscript"/>
        </w:rPr>
        <w:footnoteRef/>
      </w:r>
      <w:r w:rsidRPr="00D377EB">
        <w:t xml:space="preserve"> Organization of MISO States </w:t>
      </w:r>
      <w:r>
        <w:t>Comments (2018 RM18-9</w:t>
      </w:r>
      <w:r w:rsidRPr="00D377EB">
        <w:t>) at 5-6.</w:t>
      </w:r>
    </w:p>
  </w:footnote>
  <w:footnote w:id="121">
    <w:p w:rsidRPr="00D377EB" w:rsidR="00FB7F86" w:rsidP="006B591B" w:rsidRDefault="00FB7F86" w14:paraId="25741F53" w14:textId="5ECE9A7A">
      <w:pPr>
        <w:pStyle w:val="FootnoteText"/>
      </w:pPr>
      <w:r w:rsidRPr="00D377EB">
        <w:rPr>
          <w:b/>
          <w:vertAlign w:val="superscript"/>
        </w:rPr>
        <w:footnoteRef/>
      </w:r>
      <w:r w:rsidRPr="00D377EB">
        <w:t xml:space="preserve"> APPA </w:t>
      </w:r>
      <w:r>
        <w:t>Comments (2018 RM18-9</w:t>
      </w:r>
      <w:r w:rsidRPr="00D377EB">
        <w:t xml:space="preserve">) at 19-20; </w:t>
      </w:r>
      <w:r>
        <w:rPr>
          <w:szCs w:val="26"/>
        </w:rPr>
        <w:t>TAPS</w:t>
      </w:r>
      <w:r w:rsidRPr="00A50DBE">
        <w:rPr>
          <w:szCs w:val="26"/>
        </w:rPr>
        <w:t xml:space="preserve"> </w:t>
      </w:r>
      <w:r>
        <w:rPr>
          <w:szCs w:val="26"/>
        </w:rPr>
        <w:t xml:space="preserve">Comments (RM16-23) at 16; </w:t>
      </w:r>
      <w:r w:rsidRPr="00D377EB">
        <w:t xml:space="preserve">TAPS </w:t>
      </w:r>
      <w:r>
        <w:t>Comments (2018 RM18-9</w:t>
      </w:r>
      <w:r w:rsidRPr="00D377EB">
        <w:t>) at 19-21.</w:t>
      </w:r>
    </w:p>
  </w:footnote>
  <w:footnote w:id="122">
    <w:p w:rsidR="00FB7F86" w:rsidRDefault="00FB7F86" w14:paraId="266F61DE" w14:textId="170165B9">
      <w:pPr>
        <w:pStyle w:val="FootnoteText"/>
      </w:pPr>
      <w:r>
        <w:rPr>
          <w:rStyle w:val="FootnoteReference"/>
        </w:rPr>
        <w:footnoteRef/>
      </w:r>
      <w:r>
        <w:t xml:space="preserve"> NRECA Comments (2019 RM18-9) at 4-5.</w:t>
      </w:r>
    </w:p>
  </w:footnote>
  <w:footnote w:id="123">
    <w:p w:rsidR="00FB7F86" w:rsidP="006B591B" w:rsidRDefault="00FB7F86" w14:paraId="72E28233" w14:textId="6C9D7E4E">
      <w:pPr>
        <w:pStyle w:val="FootnoteText"/>
      </w:pPr>
      <w:r>
        <w:rPr>
          <w:rStyle w:val="FootnoteReference"/>
        </w:rPr>
        <w:footnoteRef/>
      </w:r>
      <w:r>
        <w:t xml:space="preserve"> </w:t>
      </w:r>
      <w:r>
        <w:rPr>
          <w:i/>
          <w:iCs/>
        </w:rPr>
        <w:t>Id.</w:t>
      </w:r>
      <w:r>
        <w:t>; TAPS Comments (RM16-23) at 16-17; TAPS Comments (2018 RM18-9) at 19 &amp; n.27.</w:t>
      </w:r>
    </w:p>
  </w:footnote>
  <w:footnote w:id="124">
    <w:p w:rsidR="00FB7F86" w:rsidP="00FB7F86" w:rsidRDefault="00FB7F86" w14:paraId="55330F2E" w14:textId="78217A7F">
      <w:pPr>
        <w:pStyle w:val="FootnoteText"/>
        <w:widowControl/>
      </w:pPr>
      <w:r>
        <w:rPr>
          <w:rStyle w:val="FootnoteReference"/>
        </w:rPr>
        <w:footnoteRef/>
      </w:r>
      <w:r>
        <w:t xml:space="preserve"> </w:t>
      </w:r>
      <w:r w:rsidRPr="00D377EB">
        <w:rPr>
          <w:i/>
        </w:rPr>
        <w:t>See</w:t>
      </w:r>
      <w:r>
        <w:rPr>
          <w:i/>
        </w:rPr>
        <w:t>, e.g.</w:t>
      </w:r>
      <w:r>
        <w:rPr>
          <w:iCs/>
        </w:rPr>
        <w:t>,</w:t>
      </w:r>
      <w:r w:rsidRPr="00DE70CD">
        <w:t xml:space="preserve"> </w:t>
      </w:r>
      <w:r w:rsidRPr="00D377EB">
        <w:t xml:space="preserve">Advanced Energy Buyers </w:t>
      </w:r>
      <w:r>
        <w:t>Comments (2018 RM18-9</w:t>
      </w:r>
      <w:r w:rsidRPr="00D377EB">
        <w:t xml:space="preserve">) at 6; Advanced Energy Management </w:t>
      </w:r>
      <w:r>
        <w:t>Comments (2018 RM18-9</w:t>
      </w:r>
      <w:r w:rsidRPr="00D377EB">
        <w:t xml:space="preserve">) at 7-8, 10-11; Icetec Comments </w:t>
      </w:r>
      <w:r>
        <w:t>(2018 RM18-9</w:t>
      </w:r>
      <w:r w:rsidRPr="00D377EB">
        <w:t>)</w:t>
      </w:r>
      <w:r>
        <w:t xml:space="preserve"> </w:t>
      </w:r>
      <w:r w:rsidRPr="00D377EB">
        <w:t xml:space="preserve">at </w:t>
      </w:r>
      <w:r>
        <w:t>10-</w:t>
      </w:r>
      <w:r w:rsidRPr="00D377EB">
        <w:t>11; S</w:t>
      </w:r>
      <w:r>
        <w:t>EIA</w:t>
      </w:r>
      <w:r w:rsidRPr="00D377EB">
        <w:t xml:space="preserve"> </w:t>
      </w:r>
      <w:r>
        <w:t>Comments (2018 RM18-9</w:t>
      </w:r>
      <w:r w:rsidRPr="00D377EB">
        <w:t xml:space="preserve">) at </w:t>
      </w:r>
      <w:r>
        <w:t>8</w:t>
      </w:r>
      <w:r w:rsidRPr="00D377EB">
        <w:t xml:space="preserve">; Stem </w:t>
      </w:r>
      <w:r>
        <w:t>Comments (2018 RM18-9</w:t>
      </w:r>
      <w:r w:rsidRPr="00D377EB">
        <w:t>) at 4-6.</w:t>
      </w:r>
    </w:p>
  </w:footnote>
  <w:footnote w:id="125">
    <w:p w:rsidRPr="00D377EB" w:rsidR="00FB7F86" w:rsidP="006B591B" w:rsidRDefault="00FB7F86" w14:paraId="22DA2AA9" w14:textId="68233FDA">
      <w:pPr>
        <w:pStyle w:val="FootnoteText"/>
      </w:pPr>
      <w:r w:rsidRPr="00D377EB">
        <w:rPr>
          <w:b/>
          <w:vertAlign w:val="superscript"/>
        </w:rPr>
        <w:footnoteRef/>
      </w:r>
      <w:r w:rsidRPr="00D377EB">
        <w:t xml:space="preserve"> </w:t>
      </w:r>
      <w:r>
        <w:rPr>
          <w:i/>
          <w:iCs/>
        </w:rPr>
        <w:t>See, e.g.</w:t>
      </w:r>
      <w:r>
        <w:t>,</w:t>
      </w:r>
      <w:r>
        <w:rPr>
          <w:i/>
        </w:rPr>
        <w:t xml:space="preserve"> </w:t>
      </w:r>
      <w:r w:rsidRPr="00D377EB">
        <w:t xml:space="preserve">Advanced Energy Economy </w:t>
      </w:r>
      <w:r>
        <w:t>Comments (2018 RM18-9</w:t>
      </w:r>
      <w:r w:rsidRPr="00D377EB">
        <w:t xml:space="preserve">) at 18; Energy Storage Association </w:t>
      </w:r>
      <w:r>
        <w:t>Comments (2018 RM18-9</w:t>
      </w:r>
      <w:r w:rsidRPr="00D377EB">
        <w:t xml:space="preserve">) at 5; Icetec </w:t>
      </w:r>
      <w:r>
        <w:t>Comments (2018 RM18-9</w:t>
      </w:r>
      <w:r w:rsidRPr="00D377EB">
        <w:t xml:space="preserve">) at 11; Stem </w:t>
      </w:r>
      <w:r>
        <w:t>Comments (2018 RM18-9</w:t>
      </w:r>
      <w:r w:rsidRPr="00D377EB">
        <w:t xml:space="preserve">) at 4-5 (arguing that the FPA does not permit a state to use its jurisdiction over generation or local distribution facilities to prevent </w:t>
      </w:r>
      <w:r>
        <w:t>distributed energy resource</w:t>
      </w:r>
      <w:r w:rsidRPr="00D377EB">
        <w:t xml:space="preserve">s or </w:t>
      </w:r>
      <w:r>
        <w:t>distributed energy resource</w:t>
      </w:r>
      <w:r w:rsidRPr="00D377EB">
        <w:t xml:space="preserve"> aggregators from accessing Commission-jurisdictional markets); Sunrun </w:t>
      </w:r>
      <w:r>
        <w:t>Comments (2018 RM18-9</w:t>
      </w:r>
      <w:r w:rsidRPr="00D377EB">
        <w:t xml:space="preserve">) at 3-4 (arguing that whether wholesale sales originate from facilities on the transmission system, the distribution system, or behind the meter is immaterial to the Commission’s jurisdiction and that FPA section 201(b) distinguishes between authority to regulate </w:t>
      </w:r>
      <w:r w:rsidRPr="00B634E9">
        <w:t>transactions</w:t>
      </w:r>
      <w:r w:rsidRPr="00DE70CD">
        <w:t xml:space="preserve"> </w:t>
      </w:r>
      <w:r w:rsidRPr="00D377EB">
        <w:t xml:space="preserve">and authority to regulate </w:t>
      </w:r>
      <w:r w:rsidRPr="00B634E9">
        <w:t>facilities</w:t>
      </w:r>
      <w:r w:rsidRPr="00D377EB">
        <w:t>).</w:t>
      </w:r>
    </w:p>
  </w:footnote>
  <w:footnote w:id="126">
    <w:p w:rsidRPr="00D377EB" w:rsidR="00FB7F86" w:rsidP="006B591B" w:rsidRDefault="00FB7F86" w14:paraId="26A34BCB" w14:textId="4A44F92A">
      <w:pPr>
        <w:pStyle w:val="FootnoteText"/>
      </w:pPr>
      <w:r w:rsidRPr="00D377EB">
        <w:rPr>
          <w:b/>
          <w:vertAlign w:val="superscript"/>
        </w:rPr>
        <w:footnoteRef/>
      </w:r>
      <w:r w:rsidRPr="00D377EB">
        <w:t xml:space="preserve"> Advanced Energy Economy Comments (RM16-23) at 44-45; Connecticut State Entities Comments (RM16-23) at 7; Organization of MISO States Comments (RM16-23) at 5</w:t>
      </w:r>
      <w:r>
        <w:t xml:space="preserve"> </w:t>
      </w:r>
      <w:r w:rsidRPr="00D377EB">
        <w:t>n.3</w:t>
      </w:r>
      <w:r>
        <w:t xml:space="preserve"> (noting concerns of Illinois Commission)</w:t>
      </w:r>
      <w:r w:rsidRPr="00D377EB">
        <w:t>.</w:t>
      </w:r>
    </w:p>
  </w:footnote>
  <w:footnote w:id="127">
    <w:p w:rsidRPr="00D377EB" w:rsidR="00FB7F86" w:rsidP="006B591B" w:rsidRDefault="00FB7F86" w14:paraId="619F7FA3" w14:textId="13740646">
      <w:pPr>
        <w:pStyle w:val="FootnoteText"/>
      </w:pPr>
      <w:r w:rsidRPr="00D377EB">
        <w:rPr>
          <w:b/>
          <w:vertAlign w:val="superscript"/>
        </w:rPr>
        <w:footnoteRef/>
      </w:r>
      <w:r w:rsidRPr="00D377EB">
        <w:t xml:space="preserve"> </w:t>
      </w:r>
      <w:r>
        <w:rPr>
          <w:i/>
          <w:iCs/>
        </w:rPr>
        <w:t>E.g.</w:t>
      </w:r>
      <w:r w:rsidRPr="00571F4B">
        <w:t>,</w:t>
      </w:r>
      <w:r>
        <w:rPr>
          <w:i/>
          <w:iCs/>
        </w:rPr>
        <w:t xml:space="preserve"> </w:t>
      </w:r>
      <w:r w:rsidRPr="00D377EB">
        <w:t>A</w:t>
      </w:r>
      <w:r>
        <w:t xml:space="preserve">dvanced </w:t>
      </w:r>
      <w:r w:rsidRPr="00D377EB">
        <w:t>E</w:t>
      </w:r>
      <w:r>
        <w:t xml:space="preserve">nergy </w:t>
      </w:r>
      <w:r w:rsidRPr="00D377EB">
        <w:t>M</w:t>
      </w:r>
      <w:r>
        <w:t>anagement</w:t>
      </w:r>
      <w:r w:rsidRPr="00D377EB">
        <w:t xml:space="preserve"> </w:t>
      </w:r>
      <w:r>
        <w:t>Comments (2018 RM18-9</w:t>
      </w:r>
      <w:r w:rsidRPr="00D377EB">
        <w:t>) at 7-8 (citing Order No. 841</w:t>
      </w:r>
      <w:r>
        <w:t xml:space="preserve">, </w:t>
      </w:r>
      <w:r w:rsidRPr="00D377EB">
        <w:t>162 FERC ¶</w:t>
      </w:r>
      <w:r>
        <w:t> </w:t>
      </w:r>
      <w:r w:rsidRPr="00D377EB">
        <w:t>61,127 at P</w:t>
      </w:r>
      <w:r>
        <w:t> </w:t>
      </w:r>
      <w:r w:rsidRPr="00D377EB">
        <w:t>35).</w:t>
      </w:r>
    </w:p>
  </w:footnote>
  <w:footnote w:id="128">
    <w:p w:rsidRPr="00D377EB" w:rsidR="00FB7F86" w:rsidP="006B591B" w:rsidRDefault="00FB7F86" w14:paraId="3EF088B3" w14:textId="2B558389">
      <w:pPr>
        <w:pStyle w:val="FootnoteText"/>
      </w:pPr>
      <w:r w:rsidRPr="00D377EB">
        <w:rPr>
          <w:b/>
          <w:vertAlign w:val="superscript"/>
        </w:rPr>
        <w:footnoteRef/>
      </w:r>
      <w:r w:rsidRPr="00D377EB">
        <w:t xml:space="preserve"> A</w:t>
      </w:r>
      <w:r>
        <w:t xml:space="preserve">dvanced </w:t>
      </w:r>
      <w:r w:rsidRPr="00D377EB">
        <w:t>E</w:t>
      </w:r>
      <w:r>
        <w:t xml:space="preserve">nergy </w:t>
      </w:r>
      <w:r w:rsidRPr="00D377EB">
        <w:t>E</w:t>
      </w:r>
      <w:r>
        <w:t>conomy</w:t>
      </w:r>
      <w:r w:rsidRPr="00D377EB">
        <w:t xml:space="preserve"> </w:t>
      </w:r>
      <w:r>
        <w:t>Comments (2018 RM18-9</w:t>
      </w:r>
      <w:r w:rsidRPr="00D377EB">
        <w:t xml:space="preserve">) at 18 (citing </w:t>
      </w:r>
      <w:r w:rsidRPr="00D377EB">
        <w:rPr>
          <w:i/>
        </w:rPr>
        <w:t xml:space="preserve">Advanced Energy </w:t>
      </w:r>
      <w:r>
        <w:rPr>
          <w:i/>
        </w:rPr>
        <w:t>Econ.</w:t>
      </w:r>
      <w:r w:rsidRPr="00D377EB">
        <w:t>, 161 FERC ¶</w:t>
      </w:r>
      <w:r>
        <w:t> </w:t>
      </w:r>
      <w:r w:rsidRPr="00D377EB">
        <w:t>61,245 (2017)</w:t>
      </w:r>
      <w:r>
        <w:t xml:space="preserve"> (AEE Declaratory Order), </w:t>
      </w:r>
      <w:r w:rsidRPr="0068144B">
        <w:rPr>
          <w:i/>
          <w:iCs/>
        </w:rPr>
        <w:t>reh</w:t>
      </w:r>
      <w:r>
        <w:rPr>
          <w:i/>
          <w:iCs/>
        </w:rPr>
        <w:t>’</w:t>
      </w:r>
      <w:r w:rsidRPr="0068144B">
        <w:rPr>
          <w:i/>
          <w:iCs/>
        </w:rPr>
        <w:t>g denied</w:t>
      </w:r>
      <w:r w:rsidRPr="0068144B">
        <w:t>, </w:t>
      </w:r>
      <w:r w:rsidRPr="00CC2DE3">
        <w:t>163 FERC ¶ 61,030 (2018)</w:t>
      </w:r>
      <w:r>
        <w:t xml:space="preserve"> (AEE Rehearing Order)</w:t>
      </w:r>
      <w:r w:rsidRPr="00D377EB">
        <w:t>; Order No. 841</w:t>
      </w:r>
      <w:r>
        <w:t xml:space="preserve">, </w:t>
      </w:r>
      <w:r w:rsidRPr="00D377EB">
        <w:t>162 FERC ¶</w:t>
      </w:r>
      <w:r>
        <w:t> </w:t>
      </w:r>
      <w:r w:rsidRPr="00D377EB">
        <w:t>61,127 at P</w:t>
      </w:r>
      <w:r>
        <w:t> </w:t>
      </w:r>
      <w:r w:rsidRPr="00D377EB">
        <w:t>35); A</w:t>
      </w:r>
      <w:r>
        <w:t xml:space="preserve">dvanced </w:t>
      </w:r>
      <w:r w:rsidRPr="00D377EB">
        <w:t>E</w:t>
      </w:r>
      <w:r>
        <w:t xml:space="preserve">nergy </w:t>
      </w:r>
      <w:r w:rsidRPr="00D377EB">
        <w:t>M</w:t>
      </w:r>
      <w:r>
        <w:t>anagement</w:t>
      </w:r>
      <w:r w:rsidRPr="00D377EB">
        <w:t xml:space="preserve"> </w:t>
      </w:r>
      <w:r>
        <w:t>Comments (2018 RM18-9</w:t>
      </w:r>
      <w:r w:rsidRPr="00D377EB">
        <w:t xml:space="preserve">) at 18; Icetec </w:t>
      </w:r>
      <w:r>
        <w:t>Comments (2018 RM18-9</w:t>
      </w:r>
      <w:r w:rsidRPr="00D377EB">
        <w:t>) at 11, 16.</w:t>
      </w:r>
    </w:p>
  </w:footnote>
  <w:footnote w:id="129">
    <w:p w:rsidRPr="00D377EB" w:rsidR="00FB7F86" w:rsidP="006B591B" w:rsidRDefault="00FB7F86" w14:paraId="2CB917DD" w14:textId="77777777">
      <w:pPr>
        <w:pStyle w:val="FootnoteText"/>
      </w:pPr>
      <w:r w:rsidRPr="00D377EB">
        <w:rPr>
          <w:b/>
          <w:vertAlign w:val="superscript"/>
        </w:rPr>
        <w:footnoteRef/>
      </w:r>
      <w:r w:rsidRPr="00D377EB">
        <w:t xml:space="preserve"> Advanced Energy Economy </w:t>
      </w:r>
      <w:r>
        <w:t>Comments (2018 RM18-9</w:t>
      </w:r>
      <w:r w:rsidRPr="00D377EB">
        <w:t>) at 18.</w:t>
      </w:r>
    </w:p>
  </w:footnote>
  <w:footnote w:id="130">
    <w:p w:rsidRPr="00D377EB" w:rsidR="00FB7F86" w:rsidP="006B591B" w:rsidRDefault="00FB7F86" w14:paraId="53D55525" w14:textId="40081D54">
      <w:pPr>
        <w:pStyle w:val="FootnoteText"/>
      </w:pPr>
      <w:r w:rsidRPr="00D377EB">
        <w:rPr>
          <w:b/>
          <w:vertAlign w:val="superscript"/>
        </w:rPr>
        <w:footnoteRef/>
      </w:r>
      <w:r w:rsidRPr="00D377EB">
        <w:t xml:space="preserve"> Icetec </w:t>
      </w:r>
      <w:r>
        <w:t>Comments (2018 RM18-9</w:t>
      </w:r>
      <w:r w:rsidRPr="00D377EB">
        <w:t xml:space="preserve">) at 11; </w:t>
      </w:r>
      <w:r>
        <w:rPr>
          <w:i/>
          <w:iCs/>
        </w:rPr>
        <w:t xml:space="preserve">see </w:t>
      </w:r>
      <w:r w:rsidRPr="00D377EB">
        <w:t xml:space="preserve">Stem </w:t>
      </w:r>
      <w:r>
        <w:t>Comments (2018 RM18-9</w:t>
      </w:r>
      <w:r w:rsidRPr="00D377EB">
        <w:t>) at 15.</w:t>
      </w:r>
    </w:p>
  </w:footnote>
  <w:footnote w:id="131">
    <w:p w:rsidRPr="007B65AE" w:rsidR="00FB7F86" w:rsidP="00AC5809" w:rsidRDefault="00FB7F86" w14:paraId="3A3060CE" w14:textId="488127E8">
      <w:pPr>
        <w:pStyle w:val="FootnoteText"/>
        <w:rPr>
          <w:rFonts w:eastAsia="Times New Roman"/>
          <w:color w:val="000000"/>
          <w:szCs w:val="26"/>
        </w:rPr>
      </w:pPr>
      <w:r w:rsidRPr="00A50DBE">
        <w:rPr>
          <w:rStyle w:val="FootnoteReference"/>
          <w:szCs w:val="26"/>
        </w:rPr>
        <w:footnoteRef/>
      </w:r>
      <w:r w:rsidRPr="00A50DBE">
        <w:rPr>
          <w:szCs w:val="26"/>
        </w:rPr>
        <w:t xml:space="preserve"> </w:t>
      </w:r>
      <w:r w:rsidRPr="00A50DBE">
        <w:rPr>
          <w:rFonts w:eastAsia="Times New Roman"/>
          <w:color w:val="000000"/>
          <w:szCs w:val="26"/>
        </w:rPr>
        <w:t xml:space="preserve">Advanced Energy Management </w:t>
      </w:r>
      <w:r>
        <w:rPr>
          <w:rFonts w:eastAsia="Times New Roman"/>
          <w:color w:val="000000"/>
          <w:szCs w:val="26"/>
        </w:rPr>
        <w:t>Comments (RM16-23) at</w:t>
      </w:r>
      <w:r w:rsidRPr="00A50DBE">
        <w:rPr>
          <w:rFonts w:eastAsia="Times New Roman"/>
          <w:color w:val="000000"/>
          <w:szCs w:val="26"/>
        </w:rPr>
        <w:t xml:space="preserve"> 7.</w:t>
      </w:r>
      <w:r>
        <w:rPr>
          <w:rFonts w:eastAsia="Times New Roman"/>
          <w:color w:val="000000"/>
          <w:szCs w:val="26"/>
        </w:rPr>
        <w:t xml:space="preserve">  Advanced Energy Management states that t</w:t>
      </w:r>
      <w:r w:rsidRPr="00AC5809">
        <w:rPr>
          <w:rFonts w:eastAsia="Times New Roman"/>
          <w:color w:val="000000"/>
          <w:szCs w:val="26"/>
        </w:rPr>
        <w:t xml:space="preserve">here should be no restriction on where </w:t>
      </w:r>
      <w:r>
        <w:rPr>
          <w:rFonts w:eastAsia="Times New Roman"/>
          <w:color w:val="000000"/>
          <w:szCs w:val="26"/>
        </w:rPr>
        <w:t>distributed energy resource</w:t>
      </w:r>
      <w:r w:rsidRPr="00AC5809">
        <w:rPr>
          <w:rFonts w:eastAsia="Times New Roman"/>
          <w:color w:val="000000"/>
          <w:szCs w:val="26"/>
        </w:rPr>
        <w:t xml:space="preserve"> aggregators can</w:t>
      </w:r>
      <w:r>
        <w:rPr>
          <w:rFonts w:eastAsia="Times New Roman"/>
          <w:color w:val="000000"/>
          <w:szCs w:val="26"/>
        </w:rPr>
        <w:t xml:space="preserve"> </w:t>
      </w:r>
      <w:r w:rsidRPr="00AC5809">
        <w:rPr>
          <w:rFonts w:eastAsia="Times New Roman"/>
          <w:color w:val="000000"/>
          <w:szCs w:val="26"/>
        </w:rPr>
        <w:t>recruit customers to participate in the wholesale market</w:t>
      </w:r>
      <w:r>
        <w:rPr>
          <w:rFonts w:eastAsia="Times New Roman"/>
          <w:color w:val="000000"/>
          <w:szCs w:val="26"/>
        </w:rPr>
        <w:t xml:space="preserve">.  </w:t>
      </w:r>
      <w:r w:rsidRPr="00A50DBE">
        <w:rPr>
          <w:rFonts w:eastAsia="Times New Roman"/>
          <w:color w:val="000000"/>
          <w:szCs w:val="26"/>
        </w:rPr>
        <w:t xml:space="preserve">Advanced Energy Management </w:t>
      </w:r>
      <w:r>
        <w:rPr>
          <w:rFonts w:eastAsia="Times New Roman"/>
          <w:color w:val="000000"/>
          <w:szCs w:val="26"/>
        </w:rPr>
        <w:t>Comments (2018 RM18-9) at 11.</w:t>
      </w:r>
    </w:p>
  </w:footnote>
  <w:footnote w:id="132">
    <w:p w:rsidRPr="00D377EB" w:rsidR="00FB7F86" w:rsidP="006B591B" w:rsidRDefault="00FB7F86" w14:paraId="6571580C" w14:textId="74C12CA9">
      <w:pPr>
        <w:pStyle w:val="FootnoteText"/>
      </w:pPr>
      <w:r w:rsidRPr="00D377EB">
        <w:rPr>
          <w:b/>
          <w:vertAlign w:val="superscript"/>
        </w:rPr>
        <w:footnoteRef/>
      </w:r>
      <w:r w:rsidRPr="00D377EB">
        <w:t xml:space="preserve"> </w:t>
      </w:r>
      <w:r>
        <w:rPr>
          <w:i/>
          <w:iCs/>
        </w:rPr>
        <w:t xml:space="preserve">See </w:t>
      </w:r>
      <w:r w:rsidRPr="00D377EB">
        <w:t>A</w:t>
      </w:r>
      <w:r>
        <w:t xml:space="preserve">dvanced </w:t>
      </w:r>
      <w:r w:rsidRPr="00D377EB">
        <w:t>E</w:t>
      </w:r>
      <w:r>
        <w:t xml:space="preserve">nergy </w:t>
      </w:r>
      <w:r w:rsidRPr="00D377EB">
        <w:t>M</w:t>
      </w:r>
      <w:r>
        <w:t>anagement</w:t>
      </w:r>
      <w:r w:rsidRPr="00D377EB">
        <w:t xml:space="preserve"> </w:t>
      </w:r>
      <w:r>
        <w:t>Comments (2018 RM18-9</w:t>
      </w:r>
      <w:r w:rsidRPr="00D377EB">
        <w:t xml:space="preserve">) at 11; Stem </w:t>
      </w:r>
      <w:r>
        <w:t>Comments (2018 RM18-9</w:t>
      </w:r>
      <w:r w:rsidRPr="00D377EB">
        <w:t xml:space="preserve">) at 11; Sunrun </w:t>
      </w:r>
      <w:r>
        <w:t>Comments (2018 RM18-9</w:t>
      </w:r>
      <w:r w:rsidRPr="00D377EB">
        <w:t>) at 8.</w:t>
      </w:r>
    </w:p>
  </w:footnote>
  <w:footnote w:id="133">
    <w:p w:rsidRPr="00D377EB" w:rsidR="00FB7F86" w:rsidP="006B591B" w:rsidRDefault="00FB7F86" w14:paraId="484BB44D" w14:textId="71FFFF32">
      <w:pPr>
        <w:pStyle w:val="FootnoteText"/>
      </w:pPr>
      <w:r w:rsidRPr="00D377EB">
        <w:rPr>
          <w:b/>
          <w:vertAlign w:val="superscript"/>
        </w:rPr>
        <w:footnoteRef/>
      </w:r>
      <w:r w:rsidRPr="00D377EB">
        <w:t xml:space="preserve"> </w:t>
      </w:r>
      <w:r>
        <w:rPr>
          <w:i/>
          <w:iCs/>
        </w:rPr>
        <w:t xml:space="preserve">See </w:t>
      </w:r>
      <w:r w:rsidRPr="00D377EB">
        <w:t>A</w:t>
      </w:r>
      <w:r>
        <w:t xml:space="preserve">dvanced </w:t>
      </w:r>
      <w:r w:rsidRPr="00D377EB">
        <w:t>E</w:t>
      </w:r>
      <w:r>
        <w:t xml:space="preserve">nergy </w:t>
      </w:r>
      <w:r w:rsidRPr="00D377EB">
        <w:t>E</w:t>
      </w:r>
      <w:r>
        <w:t>conomy</w:t>
      </w:r>
      <w:r w:rsidRPr="00D377EB">
        <w:t xml:space="preserve"> </w:t>
      </w:r>
      <w:r>
        <w:t>Comments (2018 RM18-9</w:t>
      </w:r>
      <w:r w:rsidRPr="00D377EB">
        <w:t xml:space="preserve">) at </w:t>
      </w:r>
      <w:r>
        <w:t>21</w:t>
      </w:r>
      <w:r w:rsidRPr="00D377EB">
        <w:t xml:space="preserve">; Public Interest Organizations </w:t>
      </w:r>
      <w:r>
        <w:t>Comments (2018 RM18-9</w:t>
      </w:r>
      <w:r w:rsidRPr="00D377EB">
        <w:t>) at 8-10 (suggesting a Commission waiver process with a notice and comment period)</w:t>
      </w:r>
      <w:r>
        <w:t xml:space="preserve">; </w:t>
      </w:r>
      <w:r w:rsidRPr="00D377EB">
        <w:t xml:space="preserve">Stem </w:t>
      </w:r>
      <w:r>
        <w:t>Comments (2018 RM18-9</w:t>
      </w:r>
      <w:r w:rsidRPr="00D377EB">
        <w:t>) at 6 (suggesting</w:t>
      </w:r>
      <w:r>
        <w:t>, as one basis to restrict distributed energy resource participation,</w:t>
      </w:r>
      <w:r w:rsidRPr="00D377EB">
        <w:t xml:space="preserve"> the demonstration of a reliability violation that cannot be resolved through effective distribution system management).</w:t>
      </w:r>
    </w:p>
  </w:footnote>
  <w:footnote w:id="134">
    <w:p w:rsidR="00FB7F86" w:rsidP="006B591B" w:rsidRDefault="00FB7F86" w14:paraId="1B50D60D" w14:textId="797E6CDC">
      <w:pPr>
        <w:pStyle w:val="FootnoteText"/>
      </w:pPr>
      <w:r>
        <w:rPr>
          <w:rStyle w:val="FootnoteReference"/>
        </w:rPr>
        <w:footnoteRef/>
      </w:r>
      <w:r>
        <w:t xml:space="preserve"> </w:t>
      </w:r>
      <w:r w:rsidRPr="00D377EB">
        <w:t xml:space="preserve">Harvard Environmental Policy Initiative Comments </w:t>
      </w:r>
      <w:r>
        <w:t xml:space="preserve">(RM16-23) </w:t>
      </w:r>
      <w:r w:rsidRPr="00D377EB">
        <w:t>at 12</w:t>
      </w:r>
      <w:r>
        <w:t>.</w:t>
      </w:r>
    </w:p>
  </w:footnote>
  <w:footnote w:id="135">
    <w:p w:rsidRPr="00D377EB" w:rsidR="00FB7F86" w:rsidP="006B591B" w:rsidRDefault="00FB7F86" w14:paraId="07306FAB" w14:textId="4DF14631">
      <w:pPr>
        <w:pStyle w:val="FootnoteText"/>
      </w:pPr>
      <w:r w:rsidRPr="00D377EB">
        <w:rPr>
          <w:b/>
          <w:vertAlign w:val="superscript"/>
        </w:rPr>
        <w:footnoteRef/>
      </w:r>
      <w:r w:rsidRPr="00D377EB">
        <w:t xml:space="preserve"> </w:t>
      </w:r>
      <w:r>
        <w:rPr>
          <w:i/>
          <w:iCs/>
        </w:rPr>
        <w:t>See, e.g.</w:t>
      </w:r>
      <w:r>
        <w:t>,</w:t>
      </w:r>
      <w:r>
        <w:rPr>
          <w:i/>
        </w:rPr>
        <w:t xml:space="preserve"> </w:t>
      </w:r>
      <w:r w:rsidRPr="00D377EB">
        <w:t>A</w:t>
      </w:r>
      <w:r>
        <w:t xml:space="preserve">dvanced </w:t>
      </w:r>
      <w:r w:rsidRPr="00D377EB">
        <w:t>E</w:t>
      </w:r>
      <w:r>
        <w:t xml:space="preserve">nergy </w:t>
      </w:r>
      <w:r w:rsidRPr="00D377EB">
        <w:t>E</w:t>
      </w:r>
      <w:r>
        <w:t>conomy</w:t>
      </w:r>
      <w:r w:rsidRPr="00D377EB">
        <w:t xml:space="preserve"> </w:t>
      </w:r>
      <w:r>
        <w:t>Comments (2018 RM18-9</w:t>
      </w:r>
      <w:r w:rsidRPr="00D377EB">
        <w:t>) at 17-18; A</w:t>
      </w:r>
      <w:r>
        <w:t xml:space="preserve">dvanced </w:t>
      </w:r>
      <w:r w:rsidRPr="00D377EB">
        <w:t>E</w:t>
      </w:r>
      <w:r>
        <w:t xml:space="preserve">nergy </w:t>
      </w:r>
      <w:r w:rsidRPr="00D377EB">
        <w:t>M</w:t>
      </w:r>
      <w:r>
        <w:t>anagement</w:t>
      </w:r>
      <w:r w:rsidRPr="00D377EB">
        <w:t xml:space="preserve"> </w:t>
      </w:r>
      <w:r>
        <w:t>Comments (2018 RM18-9</w:t>
      </w:r>
      <w:r w:rsidRPr="00D377EB">
        <w:t xml:space="preserve">) at 9-10; Stem Comments </w:t>
      </w:r>
      <w:r>
        <w:t xml:space="preserve">(2018 RM18-9) </w:t>
      </w:r>
      <w:r w:rsidRPr="00D377EB">
        <w:t xml:space="preserve">at 9, 15; Sunrun Comments </w:t>
      </w:r>
      <w:r>
        <w:t xml:space="preserve">(2018 RM18-9) </w:t>
      </w:r>
      <w:r w:rsidRPr="00D377EB">
        <w:t>at 6</w:t>
      </w:r>
      <w:r>
        <w:t xml:space="preserve">; </w:t>
      </w:r>
      <w:r>
        <w:rPr>
          <w:i/>
          <w:iCs/>
        </w:rPr>
        <w:t xml:space="preserve">see also </w:t>
      </w:r>
      <w:r w:rsidRPr="00D377EB">
        <w:t xml:space="preserve">New Jersey Board Comments </w:t>
      </w:r>
      <w:r>
        <w:t xml:space="preserve">(2018 RM18-9) </w:t>
      </w:r>
      <w:r w:rsidRPr="00D377EB">
        <w:t>at 4.</w:t>
      </w:r>
    </w:p>
  </w:footnote>
  <w:footnote w:id="136">
    <w:p w:rsidRPr="00D377EB" w:rsidR="00FB7F86" w:rsidP="006B591B" w:rsidRDefault="00FB7F86" w14:paraId="5DEF2930" w14:textId="6EE4913B">
      <w:pPr>
        <w:pStyle w:val="FootnoteText"/>
      </w:pPr>
      <w:r w:rsidRPr="00D377EB">
        <w:rPr>
          <w:b/>
          <w:vertAlign w:val="superscript"/>
        </w:rPr>
        <w:footnoteRef/>
      </w:r>
      <w:r w:rsidRPr="00D377EB">
        <w:t xml:space="preserve"> A</w:t>
      </w:r>
      <w:r>
        <w:t xml:space="preserve">dvanced </w:t>
      </w:r>
      <w:r w:rsidRPr="00D377EB">
        <w:t>E</w:t>
      </w:r>
      <w:r>
        <w:t xml:space="preserve">nergy </w:t>
      </w:r>
      <w:r w:rsidRPr="00D377EB">
        <w:t>E</w:t>
      </w:r>
      <w:r>
        <w:t>conomy</w:t>
      </w:r>
      <w:r w:rsidRPr="00D377EB">
        <w:t xml:space="preserve"> </w:t>
      </w:r>
      <w:r>
        <w:t>Comments (2018 RM18-9</w:t>
      </w:r>
      <w:r w:rsidRPr="00D377EB">
        <w:t>) at 15-16.</w:t>
      </w:r>
    </w:p>
  </w:footnote>
  <w:footnote w:id="137">
    <w:p w:rsidR="00FB7F86" w:rsidP="00F257C1" w:rsidRDefault="00FB7F86" w14:paraId="4CB870F0" w14:textId="77777777">
      <w:pPr>
        <w:pStyle w:val="FootnoteText"/>
      </w:pPr>
      <w:r>
        <w:rPr>
          <w:rStyle w:val="FootnoteReference"/>
        </w:rPr>
        <w:footnoteRef/>
      </w:r>
      <w:r>
        <w:t xml:space="preserve"> As discussed below, we will consider small </w:t>
      </w:r>
      <w:r w:rsidRPr="00B40DE0">
        <w:t xml:space="preserve">utilities </w:t>
      </w:r>
      <w:r>
        <w:t>to be those</w:t>
      </w:r>
      <w:r w:rsidRPr="00B40DE0">
        <w:t xml:space="preserve"> </w:t>
      </w:r>
      <w:r>
        <w:t>with a</w:t>
      </w:r>
      <w:r w:rsidRPr="00B40DE0">
        <w:t xml:space="preserve"> total electric output for the preceding fiscal year not exceed</w:t>
      </w:r>
      <w:r>
        <w:t>ing</w:t>
      </w:r>
      <w:r w:rsidRPr="00B40DE0">
        <w:t xml:space="preserve"> 4 million MWh</w:t>
      </w:r>
      <w:r>
        <w:t>.</w:t>
      </w:r>
    </w:p>
  </w:footnote>
  <w:footnote w:id="138">
    <w:p w:rsidRPr="00CE3B5F" w:rsidR="00FB7F86" w:rsidP="006B591B" w:rsidRDefault="00FB7F86" w14:paraId="19C43694" w14:textId="66B095B5">
      <w:pPr>
        <w:pStyle w:val="FootnoteText"/>
        <w:rPr>
          <w:i/>
          <w:iCs/>
        </w:rPr>
      </w:pPr>
      <w:r>
        <w:rPr>
          <w:rStyle w:val="FootnoteReference"/>
        </w:rPr>
        <w:footnoteRef/>
      </w:r>
      <w:r>
        <w:t xml:space="preserve"> Order No. 841-A, </w:t>
      </w:r>
      <w:r w:rsidRPr="00D53564">
        <w:t>167 FERC ¶</w:t>
      </w:r>
      <w:r>
        <w:t> </w:t>
      </w:r>
      <w:r w:rsidRPr="00D53564">
        <w:t>61,154</w:t>
      </w:r>
      <w:r>
        <w:t xml:space="preserve"> at P 38; </w:t>
      </w:r>
      <w:r w:rsidRPr="00D53564">
        <w:t>Order No. 841, 162 FERC ¶</w:t>
      </w:r>
      <w:r>
        <w:t> </w:t>
      </w:r>
      <w:r w:rsidRPr="00D53564">
        <w:t>61,127 at P</w:t>
      </w:r>
      <w:r>
        <w:t xml:space="preserve"> 35 (citing </w:t>
      </w:r>
      <w:r>
        <w:rPr>
          <w:i/>
          <w:iCs/>
        </w:rPr>
        <w:t>EPSA</w:t>
      </w:r>
      <w:r w:rsidRPr="00D53564">
        <w:t>, 136 S.</w:t>
      </w:r>
      <w:r>
        <w:t xml:space="preserve"> </w:t>
      </w:r>
      <w:r w:rsidRPr="00D53564">
        <w:t>Ct. 760;</w:t>
      </w:r>
      <w:r>
        <w:t xml:space="preserve"> AEE Declaratory Order</w:t>
      </w:r>
      <w:r w:rsidRPr="00D53564">
        <w:t>, 161 FERC ¶</w:t>
      </w:r>
      <w:r>
        <w:t> </w:t>
      </w:r>
      <w:r w:rsidRPr="00D53564">
        <w:t>61,245 at PP</w:t>
      </w:r>
      <w:r>
        <w:t> </w:t>
      </w:r>
      <w:r w:rsidRPr="00D53564">
        <w:t>59-60</w:t>
      </w:r>
      <w:r w:rsidR="001D6812">
        <w:t>;</w:t>
      </w:r>
      <w:r>
        <w:t xml:space="preserve"> </w:t>
      </w:r>
      <w:r w:rsidR="001D6812">
        <w:rPr>
          <w:i/>
          <w:iCs/>
        </w:rPr>
        <w:t>se</w:t>
      </w:r>
      <w:r>
        <w:rPr>
          <w:i/>
          <w:iCs/>
        </w:rPr>
        <w:t xml:space="preserve">e also </w:t>
      </w:r>
      <w:r w:rsidRPr="0084380D">
        <w:rPr>
          <w:i/>
          <w:iCs/>
        </w:rPr>
        <w:t>Nat’l Ass’n of Regulatory Util. Comm’rs</w:t>
      </w:r>
      <w:r>
        <w:t>, 964 F.3d at 1187 (“</w:t>
      </w:r>
      <w:r w:rsidRPr="00410F1F">
        <w:t>FERC has the exclusive authority to determine who may participate in the wholesale markets</w:t>
      </w:r>
      <w:r>
        <w:t xml:space="preserve">.”); </w:t>
      </w:r>
      <w:r w:rsidRPr="0084380D">
        <w:rPr>
          <w:i/>
          <w:iCs/>
        </w:rPr>
        <w:t>Nat’l Ass’n of Regulatory Util. Comm’rs v. FERC</w:t>
      </w:r>
      <w:r w:rsidRPr="009F0D6C">
        <w:t>, 475 F.3d 1277</w:t>
      </w:r>
      <w:r>
        <w:t xml:space="preserve">, </w:t>
      </w:r>
      <w:r w:rsidRPr="009F0D6C">
        <w:t>1280</w:t>
      </w:r>
      <w:r>
        <w:t>-</w:t>
      </w:r>
      <w:r w:rsidRPr="009F0D6C">
        <w:t>82</w:t>
      </w:r>
      <w:r>
        <w:t xml:space="preserve"> (D.C. Cir. 2007)</w:t>
      </w:r>
      <w:r w:rsidRPr="009F0D6C">
        <w:t xml:space="preserve">; </w:t>
      </w:r>
      <w:r w:rsidRPr="00B93307">
        <w:rPr>
          <w:i/>
          <w:iCs/>
        </w:rPr>
        <w:t>Transmission Access Policy Study Grp. v. FERC</w:t>
      </w:r>
      <w:r w:rsidRPr="009F0D6C">
        <w:t>, 225 F.3d 667</w:t>
      </w:r>
      <w:r>
        <w:t>, 696</w:t>
      </w:r>
      <w:r w:rsidRPr="009F0D6C">
        <w:t xml:space="preserve"> (D.C. Cir. 2000</w:t>
      </w:r>
      <w:r>
        <w:t>).</w:t>
      </w:r>
    </w:p>
  </w:footnote>
  <w:footnote w:id="139">
    <w:p w:rsidR="00FB7F86" w:rsidP="006B591B" w:rsidRDefault="00FB7F86" w14:paraId="176E817E" w14:textId="3B556C21">
      <w:pPr>
        <w:pStyle w:val="FootnoteText"/>
      </w:pPr>
      <w:r>
        <w:rPr>
          <w:rStyle w:val="FootnoteReference"/>
        </w:rPr>
        <w:footnoteRef/>
      </w:r>
      <w:r>
        <w:t xml:space="preserve"> Order No. 841-A, </w:t>
      </w:r>
      <w:r w:rsidRPr="00D53564">
        <w:t>167 FERC ¶</w:t>
      </w:r>
      <w:r>
        <w:t> </w:t>
      </w:r>
      <w:r w:rsidRPr="00D53564">
        <w:t>61,154</w:t>
      </w:r>
      <w:r>
        <w:t xml:space="preserve"> at P 31; </w:t>
      </w:r>
      <w:r>
        <w:rPr>
          <w:i/>
          <w:iCs/>
        </w:rPr>
        <w:t>see also</w:t>
      </w:r>
      <w:r w:rsidRPr="00DE70CD">
        <w:t xml:space="preserve"> </w:t>
      </w:r>
      <w:r>
        <w:rPr>
          <w:i/>
          <w:iCs/>
        </w:rPr>
        <w:t>id.</w:t>
      </w:r>
      <w:r>
        <w:t xml:space="preserve"> P 38 (citing AEE Rehearing Order</w:t>
      </w:r>
      <w:r w:rsidRPr="00147EA7">
        <w:t>, 163 FERC ¶</w:t>
      </w:r>
      <w:r>
        <w:t> </w:t>
      </w:r>
      <w:r w:rsidRPr="00147EA7">
        <w:t>61,030 at P</w:t>
      </w:r>
      <w:r>
        <w:t> </w:t>
      </w:r>
      <w:r w:rsidRPr="00147EA7">
        <w:t>36</w:t>
      </w:r>
      <w:r>
        <w:t>).  T</w:t>
      </w:r>
      <w:r w:rsidRPr="008B0A18">
        <w:t xml:space="preserve">he Supreme Court </w:t>
      </w:r>
      <w:r>
        <w:t xml:space="preserve">also </w:t>
      </w:r>
      <w:r w:rsidRPr="008B0A18">
        <w:t>has</w:t>
      </w:r>
      <w:r>
        <w:t xml:space="preserve"> </w:t>
      </w:r>
      <w:r w:rsidRPr="008B0A18">
        <w:t>recognized that the Commission extensively regulates the structure and rules of wholesale auctions, in order to ensure that they produce just and reasonable results</w:t>
      </w:r>
      <w:r>
        <w:t xml:space="preserve">.  </w:t>
      </w:r>
      <w:r w:rsidRPr="00662667">
        <w:rPr>
          <w:i/>
          <w:iCs/>
        </w:rPr>
        <w:t>See </w:t>
      </w:r>
      <w:r w:rsidRPr="00D377EB">
        <w:rPr>
          <w:i/>
        </w:rPr>
        <w:t xml:space="preserve">Hughes v. Talen </w:t>
      </w:r>
      <w:r w:rsidRPr="003441EA">
        <w:rPr>
          <w:i/>
        </w:rPr>
        <w:t>Energy Mktg., LLC</w:t>
      </w:r>
      <w:r w:rsidRPr="003441EA">
        <w:t>, 136 S. Ct. 1288, 1293-94 (2016) (</w:t>
      </w:r>
      <w:r w:rsidRPr="003441EA">
        <w:rPr>
          <w:i/>
          <w:iCs/>
        </w:rPr>
        <w:t>Hughes</w:t>
      </w:r>
      <w:r w:rsidRPr="003441EA">
        <w:t>); </w:t>
      </w:r>
      <w:r w:rsidRPr="007E7D55">
        <w:rPr>
          <w:rStyle w:val="Hyperlink"/>
          <w:i/>
          <w:color w:val="auto"/>
          <w:u w:val="none"/>
        </w:rPr>
        <w:t>EPSA</w:t>
      </w:r>
      <w:r w:rsidRPr="00A52806">
        <w:t>, 136 S. Ct. at 769</w:t>
      </w:r>
      <w:r w:rsidRPr="003441EA">
        <w:t>.</w:t>
      </w:r>
    </w:p>
  </w:footnote>
  <w:footnote w:id="140">
    <w:p w:rsidR="00FB7F86" w:rsidP="00D725A5" w:rsidRDefault="00FB7F86" w14:paraId="2EB17F6A" w14:textId="6FBFD196">
      <w:pPr>
        <w:pStyle w:val="FootnoteText"/>
      </w:pPr>
      <w:r>
        <w:rPr>
          <w:rStyle w:val="FootnoteReference"/>
        </w:rPr>
        <w:footnoteRef/>
      </w:r>
      <w:r>
        <w:t xml:space="preserve"> </w:t>
      </w:r>
      <w:r w:rsidRPr="00D377EB">
        <w:rPr>
          <w:i/>
        </w:rPr>
        <w:t>EPSA</w:t>
      </w:r>
      <w:r w:rsidRPr="00D377EB">
        <w:t>, 136 S. Ct. at 776</w:t>
      </w:r>
      <w:r>
        <w:t xml:space="preserve">; </w:t>
      </w:r>
      <w:r>
        <w:rPr>
          <w:i/>
          <w:iCs/>
        </w:rPr>
        <w:t>see also</w:t>
      </w:r>
      <w:r w:rsidRPr="00DE70CD">
        <w:t xml:space="preserve"> </w:t>
      </w:r>
      <w:r w:rsidRPr="0084380D">
        <w:rPr>
          <w:i/>
          <w:iCs/>
        </w:rPr>
        <w:t>Nat’l Ass’n of Regulatory Util. Comm’rs</w:t>
      </w:r>
      <w:r>
        <w:t>, 964 F.3d at 1186, 1189 (finding that “</w:t>
      </w:r>
      <w:r w:rsidRPr="00A67B40">
        <w:t xml:space="preserve">Order No. 841 solely targets the manner in which an </w:t>
      </w:r>
      <w:r>
        <w:t>[electric storage resource]</w:t>
      </w:r>
      <w:r w:rsidRPr="00A67B40">
        <w:t xml:space="preserve"> may participate in wholesale markets</w:t>
      </w:r>
      <w:r>
        <w:t>” and that Order Nos. 841 and 841-A</w:t>
      </w:r>
      <w:r w:rsidRPr="00A67B40">
        <w:t xml:space="preserve"> </w:t>
      </w:r>
      <w:r>
        <w:t>“</w:t>
      </w:r>
      <w:r w:rsidRPr="00A67B40">
        <w:t>do nothing more than regulate matters concerning federal transactions”</w:t>
      </w:r>
      <w:r>
        <w:t xml:space="preserve">); Order No. 841-A, </w:t>
      </w:r>
      <w:r w:rsidRPr="00D53564">
        <w:t>167 FERC ¶</w:t>
      </w:r>
      <w:r>
        <w:t> </w:t>
      </w:r>
      <w:r w:rsidRPr="00D53564">
        <w:t>61,154</w:t>
      </w:r>
      <w:r>
        <w:t xml:space="preserve"> at P 44</w:t>
      </w:r>
      <w:r w:rsidRPr="00D377EB">
        <w:t>.</w:t>
      </w:r>
    </w:p>
  </w:footnote>
  <w:footnote w:id="141">
    <w:p w:rsidRPr="003918D6" w:rsidR="00FB7F86" w:rsidP="006B591B" w:rsidRDefault="00FB7F86" w14:paraId="056A7B52" w14:textId="2DADDA61">
      <w:pPr>
        <w:pStyle w:val="FootnoteText"/>
        <w:rPr>
          <w:i/>
          <w:iCs/>
        </w:rPr>
      </w:pPr>
      <w:r>
        <w:rPr>
          <w:rStyle w:val="FootnoteReference"/>
        </w:rPr>
        <w:footnoteRef/>
      </w:r>
      <w:r>
        <w:t xml:space="preserve"> Order No. 841-A, </w:t>
      </w:r>
      <w:r w:rsidRPr="00D53564">
        <w:t>167 FERC ¶</w:t>
      </w:r>
      <w:r>
        <w:t> </w:t>
      </w:r>
      <w:r w:rsidRPr="00D53564">
        <w:t>61,154</w:t>
      </w:r>
      <w:r>
        <w:t xml:space="preserve"> at P 32; </w:t>
      </w:r>
      <w:r>
        <w:rPr>
          <w:i/>
          <w:iCs/>
        </w:rPr>
        <w:t xml:space="preserve">see also </w:t>
      </w:r>
      <w:r>
        <w:t>AEE Declaratory Order</w:t>
      </w:r>
      <w:r w:rsidRPr="002D0AA0">
        <w:t>,</w:t>
      </w:r>
      <w:r w:rsidRPr="00DE70CD">
        <w:t xml:space="preserve"> </w:t>
      </w:r>
      <w:r w:rsidRPr="002A0AE9">
        <w:t>161 FERC ¶</w:t>
      </w:r>
      <w:r>
        <w:t> </w:t>
      </w:r>
      <w:r w:rsidRPr="002A0AE9">
        <w:t>61,245 at P</w:t>
      </w:r>
      <w:r>
        <w:t> </w:t>
      </w:r>
      <w:r w:rsidRPr="002A0AE9">
        <w:t>62 (citing</w:t>
      </w:r>
      <w:r w:rsidRPr="003E3E8D">
        <w:rPr>
          <w:i/>
          <w:iCs/>
        </w:rPr>
        <w:t xml:space="preserve"> EPSA</w:t>
      </w:r>
      <w:r w:rsidRPr="003918D6">
        <w:t>, 136 S. Ct. at 776).</w:t>
      </w:r>
    </w:p>
  </w:footnote>
  <w:footnote w:id="142">
    <w:p w:rsidRPr="00415241" w:rsidR="00FB7F86" w:rsidP="005B0790" w:rsidRDefault="00FB7F86" w14:paraId="581E670A" w14:textId="796640F0">
      <w:pPr>
        <w:pStyle w:val="FootnoteText"/>
      </w:pPr>
      <w:r>
        <w:rPr>
          <w:rStyle w:val="FootnoteReference"/>
        </w:rPr>
        <w:footnoteRef/>
      </w:r>
      <w:r>
        <w:t xml:space="preserve"> </w:t>
      </w:r>
      <w:r>
        <w:rPr>
          <w:i/>
          <w:iCs/>
        </w:rPr>
        <w:t xml:space="preserve">See </w:t>
      </w:r>
      <w:r w:rsidRPr="0084380D">
        <w:rPr>
          <w:i/>
          <w:iCs/>
        </w:rPr>
        <w:t>Nat’l Ass’n of Regulatory Util. Comm’rs</w:t>
      </w:r>
      <w:r>
        <w:t>, 964 F.3d at 1187 (</w:t>
      </w:r>
      <w:r w:rsidRPr="009572CE">
        <w:t>“</w:t>
      </w:r>
      <w:r>
        <w:t>[B]</w:t>
      </w:r>
      <w:r w:rsidRPr="009572CE">
        <w:t>ecause FERC has the exclusive authority to determine who may participate in the wholesale markets, the Supremacy Clause</w:t>
      </w:r>
      <w:r>
        <w:t xml:space="preserve"> . . .</w:t>
      </w:r>
      <w:r w:rsidRPr="009572CE">
        <w:t xml:space="preserve"> requires that </w:t>
      </w:r>
      <w:r>
        <w:t>[s]</w:t>
      </w:r>
      <w:r w:rsidRPr="009572CE">
        <w:t xml:space="preserve">tates not interfere. </w:t>
      </w:r>
      <w:r>
        <w:t xml:space="preserve">. . . </w:t>
      </w:r>
      <w:r w:rsidRPr="009572CE">
        <w:t xml:space="preserve">FERC’s statement in </w:t>
      </w:r>
      <w:r>
        <w:t xml:space="preserve">Order No. </w:t>
      </w:r>
      <w:r w:rsidRPr="009572CE">
        <w:t xml:space="preserve">841-A that </w:t>
      </w:r>
      <w:r>
        <w:t>[s]</w:t>
      </w:r>
      <w:r w:rsidRPr="009572CE">
        <w:t xml:space="preserve">tates may not block RTO/ISO market participation </w:t>
      </w:r>
      <w:r>
        <w:t>‘</w:t>
      </w:r>
      <w:r w:rsidRPr="009572CE">
        <w:t>through conditions on the receipt of retail service,</w:t>
      </w:r>
      <w:r>
        <w:t xml:space="preserve">’ </w:t>
      </w:r>
      <w:r w:rsidRPr="009572CE">
        <w:t xml:space="preserve">or impose any </w:t>
      </w:r>
      <w:r>
        <w:t>‘</w:t>
      </w:r>
      <w:r w:rsidRPr="009572CE">
        <w:t xml:space="preserve">condition[] aimed </w:t>
      </w:r>
      <w:r w:rsidRPr="009572CE">
        <w:rPr>
          <w:i/>
          <w:iCs/>
        </w:rPr>
        <w:t xml:space="preserve">directly </w:t>
      </w:r>
      <w:r w:rsidRPr="009572CE">
        <w:t>at the RTO/ISO markets, even if contained in the terms of retail service,</w:t>
      </w:r>
      <w:r>
        <w:t>’</w:t>
      </w:r>
      <w:r w:rsidRPr="009572CE">
        <w:t xml:space="preserve"> is simply a restatement of the well-established principles of federal preemption.”</w:t>
      </w:r>
      <w:r>
        <w:t xml:space="preserve">) (quoting Order No. 841-A, 167 FERC ¶ 61,154 at P 41) (finding that </w:t>
      </w:r>
      <w:r w:rsidRPr="00984288">
        <w:t>states cannot intrude on the Commission</w:t>
      </w:r>
      <w:r>
        <w:t>’</w:t>
      </w:r>
      <w:r w:rsidRPr="00984288">
        <w:t>s jurisdiction by prohibiting all consumers from selling into the wholesale market</w:t>
      </w:r>
      <w:r>
        <w:t xml:space="preserve">) (citing AEE Rehearing Order, 163 FERC ¶ </w:t>
      </w:r>
      <w:r w:rsidRPr="00147EA7">
        <w:t>61,030</w:t>
      </w:r>
      <w:r>
        <w:t xml:space="preserve"> </w:t>
      </w:r>
      <w:r w:rsidRPr="00147EA7">
        <w:t>at P</w:t>
      </w:r>
      <w:r>
        <w:t xml:space="preserve"> 37; AEE </w:t>
      </w:r>
      <w:r w:rsidRPr="003441EA">
        <w:t xml:space="preserve">Declaratory Order, 161 FERC ¶ 61,245 at P 61); </w:t>
      </w:r>
      <w:r w:rsidRPr="003441EA">
        <w:rPr>
          <w:i/>
          <w:iCs/>
        </w:rPr>
        <w:t xml:space="preserve">see </w:t>
      </w:r>
      <w:r w:rsidRPr="009C1E80">
        <w:rPr>
          <w:i/>
          <w:iCs/>
        </w:rPr>
        <w:t xml:space="preserve">also </w:t>
      </w:r>
      <w:r w:rsidRPr="007E7D55">
        <w:rPr>
          <w:rStyle w:val="Hyperlink"/>
          <w:i/>
          <w:color w:val="auto"/>
          <w:u w:val="none"/>
        </w:rPr>
        <w:t>Hughes</w:t>
      </w:r>
      <w:r w:rsidRPr="009C1E80">
        <w:t xml:space="preserve">, 136 S. Ct. at 1298 (“States may not seek to achieve ends, however legitimate, through regulatory means that intrude on FERC's authority over interstate wholesale rates . . . .”); </w:t>
      </w:r>
      <w:r w:rsidRPr="009C1E80">
        <w:rPr>
          <w:i/>
          <w:iCs/>
        </w:rPr>
        <w:t>Oneok</w:t>
      </w:r>
      <w:r w:rsidRPr="009C1E80">
        <w:t>,</w:t>
      </w:r>
      <w:r w:rsidRPr="009C1E80">
        <w:rPr>
          <w:i/>
          <w:iCs/>
        </w:rPr>
        <w:t xml:space="preserve"> Inc. v. Learjet, Inc.</w:t>
      </w:r>
      <w:r w:rsidRPr="009C1E80">
        <w:t>, 575 U.S. 373, 386 (2015) (finding that the proper test for determining whether a state action is preempted is “whether the challenged measures are 'aimed directly at interstate purchasers and wholesalers for resale' or not”) (quoting </w:t>
      </w:r>
      <w:r w:rsidRPr="007E7D55">
        <w:rPr>
          <w:rStyle w:val="Hyperlink"/>
          <w:i/>
          <w:color w:val="auto"/>
          <w:u w:val="none"/>
        </w:rPr>
        <w:t>N. Natural Gas Co. v. State Corp. Comm</w:t>
      </w:r>
      <w:r w:rsidRPr="009C1E80">
        <w:rPr>
          <w:i/>
          <w:iCs/>
        </w:rPr>
        <w:t>’</w:t>
      </w:r>
      <w:r w:rsidRPr="007E7D55">
        <w:rPr>
          <w:rStyle w:val="Hyperlink"/>
          <w:i/>
          <w:color w:val="auto"/>
          <w:u w:val="none"/>
        </w:rPr>
        <w:t>n of Kan</w:t>
      </w:r>
      <w:r w:rsidRPr="009C1E80">
        <w:rPr>
          <w:rStyle w:val="Hyperlink"/>
          <w:color w:val="auto"/>
          <w:u w:val="none"/>
        </w:rPr>
        <w:t>.</w:t>
      </w:r>
      <w:r w:rsidRPr="009C1E80">
        <w:t xml:space="preserve">, 372 </w:t>
      </w:r>
      <w:r w:rsidRPr="00A52806">
        <w:t>U.S. 84, 94 (1963</w:t>
      </w:r>
      <w:r w:rsidR="001D6812">
        <w:t xml:space="preserve">)); </w:t>
      </w:r>
      <w:r w:rsidRPr="001D6812" w:rsidR="001D6812">
        <w:rPr>
          <w:i/>
          <w:iCs/>
        </w:rPr>
        <w:t>Nat’l Ass’n of Regulatory Util. Comm’rs</w:t>
      </w:r>
      <w:r w:rsidR="001D6812">
        <w:t>, 964 F.3d at 1187 (similar).</w:t>
      </w:r>
    </w:p>
  </w:footnote>
  <w:footnote w:id="143">
    <w:p w:rsidR="00FB7F86" w:rsidP="006B591B" w:rsidRDefault="00FB7F86" w14:paraId="6109A346" w14:textId="303624CF">
      <w:pPr>
        <w:pStyle w:val="FootnoteText"/>
      </w:pPr>
      <w:r>
        <w:rPr>
          <w:rStyle w:val="FootnoteReference"/>
        </w:rPr>
        <w:footnoteRef/>
      </w:r>
      <w:r>
        <w:t xml:space="preserve"> </w:t>
      </w:r>
      <w:r w:rsidRPr="004B0759">
        <w:t xml:space="preserve">Order No. 719, </w:t>
      </w:r>
      <w:r w:rsidRPr="007E5E1F">
        <w:t xml:space="preserve">125 </w:t>
      </w:r>
      <w:r w:rsidRPr="004B0759">
        <w:t xml:space="preserve">FERC </w:t>
      </w:r>
      <w:r w:rsidRPr="007E5E1F">
        <w:t>¶</w:t>
      </w:r>
      <w:r>
        <w:t> </w:t>
      </w:r>
      <w:r w:rsidRPr="007E5E1F">
        <w:t>61,071</w:t>
      </w:r>
      <w:r w:rsidRPr="004B0759">
        <w:t xml:space="preserve"> at PP</w:t>
      </w:r>
      <w:r>
        <w:t> </w:t>
      </w:r>
      <w:r w:rsidRPr="004B0759">
        <w:t>154-55.</w:t>
      </w:r>
    </w:p>
  </w:footnote>
  <w:footnote w:id="144">
    <w:p w:rsidRPr="00D377EB" w:rsidR="00FB7F86" w:rsidP="006B591B" w:rsidRDefault="00FB7F86" w14:paraId="49C98DE5" w14:textId="1AB503BB">
      <w:pPr>
        <w:pStyle w:val="FootnoteText"/>
      </w:pPr>
      <w:r w:rsidRPr="00D377EB">
        <w:rPr>
          <w:b/>
          <w:vertAlign w:val="superscript"/>
        </w:rPr>
        <w:footnoteRef/>
      </w:r>
      <w:r w:rsidRPr="00D377EB">
        <w:t xml:space="preserve"> </w:t>
      </w:r>
      <w:r>
        <w:rPr>
          <w:i/>
          <w:iCs/>
        </w:rPr>
        <w:t xml:space="preserve">See </w:t>
      </w:r>
      <w:r w:rsidRPr="00D377EB">
        <w:rPr>
          <w:i/>
        </w:rPr>
        <w:t>EPSA</w:t>
      </w:r>
      <w:r w:rsidRPr="00D377EB">
        <w:t>, 136 S. Ct. at 77</w:t>
      </w:r>
      <w:r>
        <w:t>9</w:t>
      </w:r>
      <w:r w:rsidRPr="00D377EB">
        <w:t xml:space="preserve"> (</w:t>
      </w:r>
      <w:r>
        <w:t>describing</w:t>
      </w:r>
      <w:r w:rsidRPr="00D377EB">
        <w:t xml:space="preserve"> the </w:t>
      </w:r>
      <w:r>
        <w:t>opt-out as a</w:t>
      </w:r>
      <w:r w:rsidRPr="009F0D6C">
        <w:t xml:space="preserve"> “notable solicitude toward</w:t>
      </w:r>
      <w:r w:rsidRPr="00D377EB">
        <w:t xml:space="preserve"> the </w:t>
      </w:r>
      <w:r w:rsidRPr="009F0D6C">
        <w:t>States,”</w:t>
      </w:r>
      <w:r w:rsidRPr="00D377EB">
        <w:t xml:space="preserve"> in recognition of </w:t>
      </w:r>
      <w:r w:rsidRPr="009F0D6C">
        <w:t>“</w:t>
      </w:r>
      <w:r w:rsidRPr="00D377EB">
        <w:t>the linkage between wholesale and retail markets and the States’ role in overseeing retail sales</w:t>
      </w:r>
      <w:r w:rsidRPr="009F0D6C">
        <w:t>”</w:t>
      </w:r>
      <w:r w:rsidRPr="00D377EB">
        <w:t>)</w:t>
      </w:r>
      <w:r>
        <w:t xml:space="preserve">; </w:t>
      </w:r>
      <w:r w:rsidRPr="0084380D">
        <w:rPr>
          <w:i/>
          <w:iCs/>
        </w:rPr>
        <w:t>Nat’l Ass’n of Regulatory Util. Comm’rs</w:t>
      </w:r>
      <w:r>
        <w:t>, 964 F.3d at 1190 (“</w:t>
      </w:r>
      <w:r w:rsidRPr="00F43E7D">
        <w:t xml:space="preserve">Local Utility Petitioners correctly acknowledge that </w:t>
      </w:r>
      <w:r w:rsidRPr="00F43E7D">
        <w:rPr>
          <w:i/>
          <w:iCs/>
        </w:rPr>
        <w:t xml:space="preserve">EPSA </w:t>
      </w:r>
      <w:r w:rsidRPr="00F43E7D">
        <w:t>did not condition its holdings on the existence of an opt-out</w:t>
      </w:r>
      <w:r>
        <w:t>.”)</w:t>
      </w:r>
      <w:r w:rsidRPr="00D377EB">
        <w:t>.</w:t>
      </w:r>
    </w:p>
  </w:footnote>
  <w:footnote w:id="145">
    <w:p w:rsidRPr="001507F4" w:rsidR="00FB7F86" w:rsidP="006B591B" w:rsidRDefault="00FB7F86" w14:paraId="2CA459EF" w14:textId="1928B49A">
      <w:pPr>
        <w:pStyle w:val="FootnoteText"/>
      </w:pPr>
      <w:r>
        <w:rPr>
          <w:rStyle w:val="FootnoteReference"/>
        </w:rPr>
        <w:footnoteRef/>
      </w:r>
      <w:r>
        <w:t xml:space="preserve"> </w:t>
      </w:r>
      <w:r w:rsidRPr="00246FAF">
        <w:rPr>
          <w:i/>
          <w:iCs/>
        </w:rPr>
        <w:t xml:space="preserve">See </w:t>
      </w:r>
      <w:r w:rsidRPr="00246FAF">
        <w:t xml:space="preserve">18 CFR 35.28(g)(1)(iii).  </w:t>
      </w:r>
      <w:r>
        <w:t xml:space="preserve">Similarly, we recognize Kentucky’s existing right to exclude energy efficiency resources from wholesale market participation.  </w:t>
      </w:r>
      <w:r>
        <w:rPr>
          <w:iCs/>
        </w:rPr>
        <w:t>AEE Declaratory Order</w:t>
      </w:r>
      <w:r>
        <w:t>, 161 FERC ¶ 61,245 at P 66</w:t>
      </w:r>
      <w:r w:rsidRPr="00D377EB">
        <w:t>.</w:t>
      </w:r>
    </w:p>
  </w:footnote>
  <w:footnote w:id="146">
    <w:p w:rsidR="00FB7F86" w:rsidRDefault="00FB7F86" w14:paraId="1DB35699" w14:textId="2D5CE577">
      <w:pPr>
        <w:pStyle w:val="FootnoteText"/>
      </w:pPr>
      <w:r>
        <w:rPr>
          <w:rStyle w:val="FootnoteReference"/>
        </w:rPr>
        <w:footnoteRef/>
      </w:r>
      <w:r>
        <w:t xml:space="preserve"> </w:t>
      </w:r>
      <w:r>
        <w:rPr>
          <w:i/>
          <w:iCs/>
        </w:rPr>
        <w:t xml:space="preserve">See </w:t>
      </w:r>
      <w:r w:rsidRPr="0084380D">
        <w:rPr>
          <w:i/>
          <w:iCs/>
        </w:rPr>
        <w:t>Nat’l Ass’n of Regulatory Util. Comm’rs</w:t>
      </w:r>
      <w:r>
        <w:t xml:space="preserve">, 964 F.3d at 1190 (citing </w:t>
      </w:r>
      <w:r w:rsidRPr="00196551">
        <w:t>Order</w:t>
      </w:r>
      <w:r>
        <w:t xml:space="preserve"> No. 841-A, 167 FERC ¶ 61,154 at PP 51-52 </w:t>
      </w:r>
      <w:r w:rsidRPr="00196551">
        <w:t xml:space="preserve">(distinguishing </w:t>
      </w:r>
      <w:r>
        <w:t>[electric storage resource]</w:t>
      </w:r>
      <w:r w:rsidRPr="00196551">
        <w:t xml:space="preserve"> participation in wholesale sales from demand response resources participating in wholesale bids)</w:t>
      </w:r>
      <w:r>
        <w:t>).</w:t>
      </w:r>
    </w:p>
  </w:footnote>
  <w:footnote w:id="147">
    <w:p w:rsidRPr="007E4818" w:rsidR="00FB7F86" w:rsidP="0077688D" w:rsidRDefault="00FB7F86" w14:paraId="69727508" w14:textId="2CD84BD3">
      <w:pPr>
        <w:pStyle w:val="FootnoteText"/>
      </w:pPr>
      <w:r>
        <w:rPr>
          <w:rStyle w:val="FootnoteReference"/>
        </w:rPr>
        <w:footnoteRef/>
      </w:r>
      <w:r>
        <w:t xml:space="preserve"> </w:t>
      </w:r>
      <w:r>
        <w:rPr>
          <w:i/>
          <w:iCs/>
        </w:rPr>
        <w:t>See</w:t>
      </w:r>
      <w:r>
        <w:t xml:space="preserve"> Order No. 841-A, 167 FERC ¶ 61,154 at P 56 (citing </w:t>
      </w:r>
      <w:r w:rsidRPr="00A96482">
        <w:rPr>
          <w:i/>
        </w:rPr>
        <w:t>EPSA</w:t>
      </w:r>
      <w:r w:rsidRPr="00A96482">
        <w:t>, 136 S. Ct.</w:t>
      </w:r>
      <w:r w:rsidRPr="00A96482">
        <w:rPr>
          <w:i/>
        </w:rPr>
        <w:t xml:space="preserve"> </w:t>
      </w:r>
      <w:r w:rsidRPr="00A96482">
        <w:t>at 776</w:t>
      </w:r>
      <w:r>
        <w:t>)</w:t>
      </w:r>
      <w:r w:rsidRPr="00A96482">
        <w:t>.</w:t>
      </w:r>
    </w:p>
  </w:footnote>
  <w:footnote w:id="148">
    <w:p w:rsidRPr="00EA4938" w:rsidR="00FB7F86" w:rsidP="00FB7F86" w:rsidRDefault="00FB7F86" w14:paraId="43155134" w14:textId="5C18AB2D">
      <w:pPr>
        <w:pStyle w:val="FootnoteText"/>
        <w:widowControl/>
      </w:pPr>
      <w:r>
        <w:rPr>
          <w:rStyle w:val="FootnoteReference"/>
        </w:rPr>
        <w:footnoteRef/>
      </w:r>
      <w:r>
        <w:t xml:space="preserve"> </w:t>
      </w:r>
      <w:r>
        <w:rPr>
          <w:i/>
          <w:iCs/>
        </w:rPr>
        <w:t>See, e.g.</w:t>
      </w:r>
      <w:r>
        <w:t>,</w:t>
      </w:r>
      <w:r>
        <w:rPr>
          <w:i/>
          <w:iCs/>
        </w:rPr>
        <w:t xml:space="preserve"> </w:t>
      </w:r>
      <w:r w:rsidRPr="00F34044">
        <w:rPr>
          <w:i/>
          <w:iCs/>
        </w:rPr>
        <w:t xml:space="preserve">supra </w:t>
      </w:r>
      <w:r w:rsidRPr="00F34044">
        <w:t xml:space="preserve">PP </w:t>
      </w:r>
      <w:r w:rsidRPr="00FA595F">
        <w:t>4</w:t>
      </w:r>
      <w:r w:rsidRPr="00F34044">
        <w:t xml:space="preserve"> (explaining that integrating </w:t>
      </w:r>
      <w:r w:rsidRPr="00EC663E">
        <w:t>distributed energy</w:t>
      </w:r>
      <w:r w:rsidRPr="00316C5C">
        <w:t xml:space="preserve"> resources’ capabilities </w:t>
      </w:r>
      <w:r w:rsidRPr="00316C5C" w:rsidDel="00823C31">
        <w:t xml:space="preserve">into </w:t>
      </w:r>
      <w:r w:rsidRPr="00316C5C">
        <w:t xml:space="preserve">RTO/ISO planning and operations will help the RTOs/ISOs account for the impacts of these resources on installed capacity requirements and day-ahead energy demand, thereby reducing uncertainty in load forecasts and reducing the risk of over procurement of resources), </w:t>
      </w:r>
      <w:r w:rsidRPr="00FA595F">
        <w:t>27</w:t>
      </w:r>
      <w:r w:rsidRPr="00F34044">
        <w:t xml:space="preserve"> (stating that distributed energy resource </w:t>
      </w:r>
      <w:r w:rsidRPr="00EC663E">
        <w:t>a</w:t>
      </w:r>
      <w:r w:rsidRPr="00316C5C">
        <w:t xml:space="preserve">ggregations can provide new grid services and enhance competition in wholesale markets as new market participants), </w:t>
      </w:r>
      <w:r w:rsidRPr="00FA595F">
        <w:t>29</w:t>
      </w:r>
      <w:r w:rsidRPr="00F34044">
        <w:t xml:space="preserve"> (finding that the reforms </w:t>
      </w:r>
      <w:r w:rsidRPr="00EC663E">
        <w:t xml:space="preserve">in this final rule </w:t>
      </w:r>
      <w:r w:rsidRPr="00316C5C">
        <w:t xml:space="preserve">will enhance the competitiveness, and in turn the efficiency, of RTO/ISO markets); </w:t>
      </w:r>
      <w:r w:rsidRPr="00316C5C">
        <w:rPr>
          <w:i/>
          <w:iCs/>
        </w:rPr>
        <w:t>see, e.g.</w:t>
      </w:r>
      <w:r w:rsidRPr="00316C5C">
        <w:t>,</w:t>
      </w:r>
      <w:r w:rsidRPr="00316C5C">
        <w:rPr>
          <w:i/>
          <w:iCs/>
        </w:rPr>
        <w:t xml:space="preserve"> infra</w:t>
      </w:r>
      <w:r w:rsidRPr="00316C5C">
        <w:rPr>
          <w:i/>
        </w:rPr>
        <w:t xml:space="preserve"> </w:t>
      </w:r>
      <w:r w:rsidRPr="00316C5C">
        <w:t xml:space="preserve">PP </w:t>
      </w:r>
      <w:r w:rsidRPr="00FA595F">
        <w:t>11</w:t>
      </w:r>
      <w:r>
        <w:t>4 (explaining that t</w:t>
      </w:r>
      <w:r w:rsidRPr="004C27FF" w:rsidDel="00C0130C">
        <w:t>he revised definition of distributed energy resource adopt</w:t>
      </w:r>
      <w:r>
        <w:t>ed</w:t>
      </w:r>
      <w:r w:rsidRPr="004C27FF" w:rsidDel="00C0130C">
        <w:t xml:space="preserve"> in this </w:t>
      </w:r>
      <w:r w:rsidRPr="004C27FF">
        <w:t>final rule</w:t>
      </w:r>
      <w:r w:rsidRPr="004C27FF" w:rsidDel="00C0130C">
        <w:t xml:space="preserve"> is technology-neutral, thereby ensuring that any resource that is technically capable of providing wholesale services through aggregation is eligible to do so, which enhances </w:t>
      </w:r>
      <w:r w:rsidRPr="00F34044" w:rsidDel="00C0130C">
        <w:t>competition in the RTO/ISO markets</w:t>
      </w:r>
      <w:r w:rsidRPr="00F34044">
        <w:t xml:space="preserve">), </w:t>
      </w:r>
      <w:r w:rsidRPr="00FA595F">
        <w:t>14</w:t>
      </w:r>
      <w:r>
        <w:t>2</w:t>
      </w:r>
      <w:r w:rsidRPr="00F34044">
        <w:t xml:space="preserve"> (stating</w:t>
      </w:r>
      <w:r w:rsidRPr="00EC663E">
        <w:t xml:space="preserve"> that </w:t>
      </w:r>
      <w:r w:rsidRPr="00316C5C">
        <w:t xml:space="preserve">requiring RTOs/ISOs to allow heterogeneous aggregations will further enhance competition in RTO/ISO markets by ensuring that complementary resources, including those with different physical and operational characteristics, can meet qualification and performance requirements), </w:t>
      </w:r>
      <w:r w:rsidRPr="00FA595F">
        <w:t>1</w:t>
      </w:r>
      <w:r>
        <w:t>60</w:t>
      </w:r>
      <w:r w:rsidRPr="00FA595F">
        <w:t>, 16</w:t>
      </w:r>
      <w:r>
        <w:t>3</w:t>
      </w:r>
      <w:r w:rsidRPr="00F34044">
        <w:t xml:space="preserve"> (discussing how the final rule </w:t>
      </w:r>
      <w:r w:rsidRPr="00EC663E">
        <w:t>enhances</w:t>
      </w:r>
      <w:r w:rsidRPr="00316C5C">
        <w:t xml:space="preserve"> competition and improves reliability by requiring RTOs/ISOs to allow participation of distributed energy resources in both wholesale and retail or multiple wholesale programs), </w:t>
      </w:r>
      <w:r w:rsidRPr="00FA595F">
        <w:t>17</w:t>
      </w:r>
      <w:r>
        <w:t>3</w:t>
      </w:r>
      <w:r w:rsidRPr="00F34044">
        <w:t xml:space="preserve"> (finding that requiring RTOs/ISOs to establish a minimum size requirement not </w:t>
      </w:r>
      <w:r w:rsidRPr="00EC663E">
        <w:t xml:space="preserve">to </w:t>
      </w:r>
      <w:r w:rsidRPr="00316C5C">
        <w:t xml:space="preserve">exceed 100 kW will remove a barrier to distributed energy resource aggregations, improve competition in RTO/ISO markets, avoid confusion about appropriate requirements, and help ensure just and reasonable rates), </w:t>
      </w:r>
      <w:r w:rsidRPr="00FA595F">
        <w:t>20</w:t>
      </w:r>
      <w:r>
        <w:t>5</w:t>
      </w:r>
      <w:r w:rsidRPr="00F34044">
        <w:t xml:space="preserve"> (discussing the benefits of single-node and multi-node aggregations).</w:t>
      </w:r>
    </w:p>
  </w:footnote>
  <w:footnote w:id="149">
    <w:p w:rsidRPr="007C3D9B" w:rsidR="00FB7F86" w:rsidP="006F4A5C" w:rsidRDefault="00FB7F86" w14:paraId="66B6FAD6" w14:textId="77777777">
      <w:pPr>
        <w:pStyle w:val="FootnoteText"/>
      </w:pPr>
      <w:r>
        <w:rPr>
          <w:rStyle w:val="FootnoteReference"/>
        </w:rPr>
        <w:footnoteRef/>
      </w:r>
      <w:r>
        <w:t xml:space="preserve"> The list of benefits catalogued in the preceding footnote includes many of the same benefits that the D.C. Circuit pointed to when explaining why the Commission’s decision not to provide an opt-out in Order No. 841 was not an unreasoned departure from Order No. 719. </w:t>
      </w:r>
      <w:r>
        <w:rPr>
          <w:i/>
        </w:rPr>
        <w:t xml:space="preserve"> See </w:t>
      </w:r>
      <w:r w:rsidRPr="0084380D">
        <w:rPr>
          <w:i/>
          <w:iCs/>
        </w:rPr>
        <w:t>Nat’l Ass’n of Regulatory Util. Comm’rs</w:t>
      </w:r>
      <w:r>
        <w:t>, 964 F.3d at 1190 (explaining that the Commission’s decision to forgo an opt-out was “</w:t>
      </w:r>
      <w:r w:rsidRPr="007C3D9B">
        <w:t>neither unexplained nor unsupported</w:t>
      </w:r>
      <w:r>
        <w:t>” and pointing to the Commission’s consideration of the benefits of enabling broad participation of electric storage resources, including on “competition,” “prices,” and the “diversity” of resource types that can participate in RTO/ISO markets).</w:t>
      </w:r>
    </w:p>
  </w:footnote>
  <w:footnote w:id="150">
    <w:p w:rsidR="00FB7F86" w:rsidP="00AF5255" w:rsidRDefault="00FB7F86" w14:paraId="761D326B" w14:textId="77777777">
      <w:pPr>
        <w:pStyle w:val="FootnoteText"/>
      </w:pPr>
      <w:r>
        <w:rPr>
          <w:rStyle w:val="FootnoteReference"/>
        </w:rPr>
        <w:footnoteRef/>
      </w:r>
      <w:r>
        <w:t xml:space="preserve"> </w:t>
      </w:r>
      <w:r>
        <w:rPr>
          <w:i/>
        </w:rPr>
        <w:t xml:space="preserve">See </w:t>
      </w:r>
      <w:r w:rsidRPr="0084380D">
        <w:rPr>
          <w:i/>
          <w:iCs/>
        </w:rPr>
        <w:t>Nat’l Ass’n of Regulatory Util. Comm’rs</w:t>
      </w:r>
      <w:r>
        <w:t>, 964 F.3d at 1188 (noting that the similar decision in “Order No. 841 does not ‘usurp[] state power’” and pointing to the fact that “</w:t>
      </w:r>
      <w:r w:rsidRPr="009F474E">
        <w:t xml:space="preserve">States retain their authority to impose safety and reliability requirements without interference from FERC, and </w:t>
      </w:r>
      <w:r>
        <w:t>[electric storage resource</w:t>
      </w:r>
      <w:r w:rsidRPr="00F25B4C">
        <w:t>s</w:t>
      </w:r>
      <w:r>
        <w:t xml:space="preserve">] </w:t>
      </w:r>
      <w:r w:rsidRPr="009F474E">
        <w:t>must still obtain all requisite permits, agreements, and other documentation necessary to participate in federal wholesale markets</w:t>
      </w:r>
      <w:r>
        <w:t>”)</w:t>
      </w:r>
      <w:r w:rsidRPr="00DF2C10">
        <w:t xml:space="preserve"> (quoting </w:t>
      </w:r>
      <w:r w:rsidRPr="00164394">
        <w:rPr>
          <w:i/>
          <w:iCs/>
        </w:rPr>
        <w:t>EPSA</w:t>
      </w:r>
      <w:r w:rsidRPr="00DF2C10">
        <w:t>, 136 S. Ct. at 777)</w:t>
      </w:r>
      <w:r>
        <w:t xml:space="preserve">. </w:t>
      </w:r>
    </w:p>
  </w:footnote>
  <w:footnote w:id="151">
    <w:p w:rsidR="00FB7F86" w:rsidP="006B591B" w:rsidRDefault="00FB7F86" w14:paraId="7F560859" w14:textId="4FC13F6D">
      <w:pPr>
        <w:pStyle w:val="FootnoteText"/>
      </w:pPr>
      <w:r>
        <w:rPr>
          <w:rStyle w:val="FootnoteReference"/>
        </w:rPr>
        <w:footnoteRef/>
      </w:r>
      <w:r>
        <w:t xml:space="preserve"> </w:t>
      </w:r>
      <w:r w:rsidRPr="008F02B6">
        <w:rPr>
          <w:i/>
          <w:iCs/>
        </w:rPr>
        <w:t>See</w:t>
      </w:r>
      <w:r w:rsidRPr="00CA07F7">
        <w:t xml:space="preserve"> </w:t>
      </w:r>
      <w:r w:rsidRPr="0084380D">
        <w:rPr>
          <w:i/>
          <w:iCs/>
        </w:rPr>
        <w:t>Nat’l Ass’n of Regulatory Util. Comm’rs</w:t>
      </w:r>
      <w:r>
        <w:t>, 964 F.3d at 1188 (“</w:t>
      </w:r>
      <w:r w:rsidRPr="00F25B4C">
        <w:t xml:space="preserve">States retain their authority to prohibit local </w:t>
      </w:r>
      <w:r>
        <w:t>[electric storage resource</w:t>
      </w:r>
      <w:r w:rsidRPr="00F25B4C">
        <w:t>s</w:t>
      </w:r>
      <w:r>
        <w:t>]</w:t>
      </w:r>
      <w:r w:rsidRPr="00F25B4C">
        <w:t xml:space="preserve"> from participating in the interstate and intrastate markets simultaneously, meaning </w:t>
      </w:r>
      <w:r>
        <w:t>[s]</w:t>
      </w:r>
      <w:r w:rsidRPr="00F25B4C">
        <w:t xml:space="preserve">tates can force local </w:t>
      </w:r>
      <w:r>
        <w:t xml:space="preserve">  [electric storage resources]</w:t>
      </w:r>
      <w:r w:rsidRPr="00F25B4C">
        <w:t xml:space="preserve"> to choose which market they wish to participate in.</w:t>
      </w:r>
      <w:r>
        <w:t>”);</w:t>
      </w:r>
      <w:r w:rsidRPr="00F25B4C">
        <w:t xml:space="preserve"> </w:t>
      </w:r>
      <w:r>
        <w:t>Order No. 841-A, 167 FERC ¶ 61,154 at</w:t>
      </w:r>
      <w:r w:rsidRPr="00CA07F7">
        <w:t xml:space="preserve"> P</w:t>
      </w:r>
      <w:r>
        <w:t> </w:t>
      </w:r>
      <w:r w:rsidRPr="00CA07F7">
        <w:t>41</w:t>
      </w:r>
      <w:r>
        <w:t xml:space="preserve"> (</w:t>
      </w:r>
      <w:r w:rsidRPr="00CD5306">
        <w:t>acknowledg</w:t>
      </w:r>
      <w:r>
        <w:t>ing</w:t>
      </w:r>
      <w:r w:rsidRPr="00CD5306">
        <w:t xml:space="preserve"> that states have the authority to include conditions in their own retail distributed energy resource or retail electric storage resource programs that prohibit any participating resources from also selling into RTO/ISO markets</w:t>
      </w:r>
      <w:r>
        <w:t xml:space="preserve"> because,</w:t>
      </w:r>
      <w:r w:rsidRPr="00CD5306">
        <w:t xml:space="preserve"> </w:t>
      </w:r>
      <w:r>
        <w:t>i</w:t>
      </w:r>
      <w:r w:rsidRPr="00CD5306">
        <w:t>n that scenario, the owner of a resource has a choice between participating in the retail market or wholesale market</w:t>
      </w:r>
      <w:r>
        <w:t xml:space="preserve">); </w:t>
      </w:r>
      <w:r w:rsidRPr="007A6385">
        <w:rPr>
          <w:i/>
        </w:rPr>
        <w:t>see also</w:t>
      </w:r>
      <w:r w:rsidRPr="00DE70CD">
        <w:t xml:space="preserve"> </w:t>
      </w:r>
      <w:r>
        <w:t>Arkansas Commission Comments (2019 RM18-9) at 2-4.</w:t>
      </w:r>
    </w:p>
  </w:footnote>
  <w:footnote w:id="152">
    <w:p w:rsidR="00FB7F86" w:rsidP="006B591B" w:rsidRDefault="00FB7F86" w14:paraId="228B3C37" w14:textId="1E9880F4">
      <w:pPr>
        <w:widowControl/>
        <w:autoSpaceDE w:val="0"/>
        <w:autoSpaceDN w:val="0"/>
        <w:adjustRightInd w:val="0"/>
        <w:ind w:firstLine="720"/>
      </w:pPr>
      <w:r w:rsidRPr="00E71B0D">
        <w:rPr>
          <w:rStyle w:val="FootnoteReference"/>
        </w:rPr>
        <w:footnoteRef/>
      </w:r>
      <w:r w:rsidRPr="00E71B0D">
        <w:t xml:space="preserve"> Order No. 841, 162 FERC ¶ 61,127 at P 296 (citing </w:t>
      </w:r>
      <w:r w:rsidRPr="00E71B0D">
        <w:rPr>
          <w:i/>
          <w:iCs/>
          <w:szCs w:val="26"/>
        </w:rPr>
        <w:t>PJM Interconnection L.L.C.</w:t>
      </w:r>
      <w:r w:rsidRPr="00E71B0D">
        <w:rPr>
          <w:szCs w:val="26"/>
        </w:rPr>
        <w:t xml:space="preserve">, 149 FERC ¶ 61,185, at P 12 (2014) (wholesale distribution charge that ComEd will assess to Energy Vault is a weighted average carrying charge that is applied on a case-by-case basis, depending on the distribution facilities expected to be used in providing wholesale distribution service), </w:t>
      </w:r>
      <w:r w:rsidRPr="00E71B0D">
        <w:rPr>
          <w:i/>
          <w:iCs/>
          <w:szCs w:val="26"/>
        </w:rPr>
        <w:t>order on reh’g</w:t>
      </w:r>
      <w:r w:rsidRPr="00E71B0D">
        <w:rPr>
          <w:szCs w:val="26"/>
        </w:rPr>
        <w:t>, 151 FERC ¶ 61,231, at PP 16-18 (2015)).</w:t>
      </w:r>
      <w:r w:rsidRPr="00AC20F1">
        <w:t xml:space="preserve"> </w:t>
      </w:r>
    </w:p>
    <w:p w:rsidRPr="00630BC4" w:rsidR="00FB7F86" w:rsidP="006B591B" w:rsidRDefault="00FB7F86" w14:paraId="5291C373" w14:textId="77777777">
      <w:pPr>
        <w:widowControl/>
        <w:autoSpaceDE w:val="0"/>
        <w:autoSpaceDN w:val="0"/>
        <w:adjustRightInd w:val="0"/>
        <w:ind w:firstLine="720"/>
        <w:rPr>
          <w:szCs w:val="26"/>
        </w:rPr>
      </w:pPr>
    </w:p>
  </w:footnote>
  <w:footnote w:id="153">
    <w:p w:rsidR="00FB7F86" w:rsidP="006B591B" w:rsidRDefault="00FB7F86" w14:paraId="3D03F8D5" w14:textId="396BD60F">
      <w:pPr>
        <w:pStyle w:val="FootnoteText"/>
      </w:pPr>
      <w:r>
        <w:rPr>
          <w:rStyle w:val="FootnoteReference"/>
        </w:rPr>
        <w:footnoteRef/>
      </w:r>
      <w:r>
        <w:t xml:space="preserve"> </w:t>
      </w:r>
      <w:r w:rsidRPr="00D25297">
        <w:t xml:space="preserve">The 4 million MWh cutoff </w:t>
      </w:r>
      <w:r>
        <w:t xml:space="preserve">stems from the </w:t>
      </w:r>
      <w:r w:rsidRPr="00D25297">
        <w:t xml:space="preserve">Small Business Size Standards component of the North American Industry Classification </w:t>
      </w:r>
      <w:r>
        <w:t>S</w:t>
      </w:r>
      <w:r w:rsidRPr="00D25297">
        <w:t>ystem</w:t>
      </w:r>
      <w:r>
        <w:t xml:space="preserve">, which </w:t>
      </w:r>
      <w:r w:rsidRPr="005A4131">
        <w:t>previously defined</w:t>
      </w:r>
      <w:r w:rsidRPr="00D25297">
        <w:t xml:space="preserve"> a small utility as one that, including its affiliates</w:t>
      </w:r>
      <w:r>
        <w:t>,</w:t>
      </w:r>
      <w:r w:rsidRPr="00D25297">
        <w:t xml:space="preserve"> is primarily engaged in the generation, transmission, or distribution of electric energy for sale, and whose total electric output for the preceding fiscal year did not exceed 4 million MWh.</w:t>
      </w:r>
      <w:r>
        <w:t xml:space="preserve"> </w:t>
      </w:r>
      <w:r w:rsidRPr="00D25297">
        <w:t xml:space="preserve"> 13 CFR </w:t>
      </w:r>
      <w:r w:rsidRPr="00521584">
        <w:t>121.201 (201</w:t>
      </w:r>
      <w:r>
        <w:t>3</w:t>
      </w:r>
      <w:r w:rsidRPr="00521584">
        <w:t>) (Sector 22, Utilities, North American Industry Classification System</w:t>
      </w:r>
      <w:r w:rsidRPr="00D25297">
        <w:t xml:space="preserve"> (NAICS)</w:t>
      </w:r>
      <w:r>
        <w:t>)</w:t>
      </w:r>
      <w:r w:rsidRPr="00D25297">
        <w:t>.</w:t>
      </w:r>
      <w:r>
        <w:t xml:space="preserve">  Currently, the number of employees is the basis used to measure whether electric power generation, transmission, and distribution industries are small businesses.  13 CFR 121.201 (2020) (Sector 22, Utilities, NAICS). </w:t>
      </w:r>
    </w:p>
  </w:footnote>
  <w:footnote w:id="154">
    <w:p w:rsidR="00FB7F86" w:rsidP="006B591B" w:rsidRDefault="00FB7F86" w14:paraId="5C6DC5FD" w14:textId="3677ACD1">
      <w:pPr>
        <w:pStyle w:val="FootnoteText"/>
      </w:pPr>
      <w:r>
        <w:rPr>
          <w:rStyle w:val="FootnoteReference"/>
        </w:rPr>
        <w:footnoteRef/>
      </w:r>
      <w:r>
        <w:t xml:space="preserve"> </w:t>
      </w:r>
      <w:r w:rsidRPr="002A0AE9">
        <w:rPr>
          <w:i/>
          <w:iCs/>
        </w:rPr>
        <w:t xml:space="preserve">Open Access Same-Time </w:t>
      </w:r>
      <w:r>
        <w:rPr>
          <w:i/>
          <w:iCs/>
        </w:rPr>
        <w:t>Information</w:t>
      </w:r>
      <w:r w:rsidRPr="002A0AE9">
        <w:rPr>
          <w:i/>
          <w:iCs/>
        </w:rPr>
        <w:t xml:space="preserve"> </w:t>
      </w:r>
      <w:r>
        <w:rPr>
          <w:i/>
          <w:iCs/>
        </w:rPr>
        <w:t>System</w:t>
      </w:r>
      <w:r w:rsidRPr="002A0AE9">
        <w:rPr>
          <w:i/>
          <w:iCs/>
        </w:rPr>
        <w:t xml:space="preserve"> </w:t>
      </w:r>
      <w:r>
        <w:rPr>
          <w:i/>
          <w:iCs/>
        </w:rPr>
        <w:t>&amp;</w:t>
      </w:r>
      <w:r w:rsidRPr="002A0AE9">
        <w:rPr>
          <w:i/>
          <w:iCs/>
        </w:rPr>
        <w:t xml:space="preserve"> Standards of Conduct</w:t>
      </w:r>
      <w:r w:rsidRPr="002A0AE9">
        <w:t xml:space="preserve">, Order No. 889, </w:t>
      </w:r>
      <w:r w:rsidRPr="002A44EA">
        <w:t>FERC Stats. &amp; Regs. ¶ 31,035</w:t>
      </w:r>
      <w:r>
        <w:t xml:space="preserve"> (1996)</w:t>
      </w:r>
      <w:r w:rsidRPr="002A0AE9">
        <w:t xml:space="preserve"> </w:t>
      </w:r>
      <w:r w:rsidRPr="00395C5C">
        <w:t>(cross-referenced at 75 FERC ¶ 61,078</w:t>
      </w:r>
      <w:r>
        <w:t>)</w:t>
      </w:r>
      <w:r w:rsidRPr="002A0AE9">
        <w:t xml:space="preserve">, </w:t>
      </w:r>
      <w:r w:rsidRPr="00614427">
        <w:rPr>
          <w:i/>
        </w:rPr>
        <w:t>clarified</w:t>
      </w:r>
      <w:r w:rsidRPr="00614427">
        <w:t xml:space="preserve">, 76 FERC ¶ 61,009 (1996), </w:t>
      </w:r>
      <w:r w:rsidRPr="00614427">
        <w:rPr>
          <w:i/>
          <w:iCs/>
        </w:rPr>
        <w:t>order on reh’g</w:t>
      </w:r>
      <w:r w:rsidRPr="00614427">
        <w:t>, Order No. 889-A, FERC Stats.</w:t>
      </w:r>
      <w:r w:rsidRPr="005B7DD9">
        <w:t xml:space="preserve"> &amp; Regs. ¶ 31,049</w:t>
      </w:r>
      <w:r>
        <w:t xml:space="preserve"> </w:t>
      </w:r>
      <w:r w:rsidRPr="00B06D98">
        <w:t>(cross-referenced at 78 FERC ¶ 61,221)</w:t>
      </w:r>
      <w:r w:rsidRPr="002A0AE9">
        <w:t xml:space="preserve">, </w:t>
      </w:r>
      <w:r w:rsidRPr="006C4CBE">
        <w:rPr>
          <w:i/>
          <w:iCs/>
        </w:rPr>
        <w:t>reh’g denied</w:t>
      </w:r>
      <w:r w:rsidRPr="002A0AE9">
        <w:t>, Order No. 889-B, 81 FERC ¶</w:t>
      </w:r>
      <w:r>
        <w:t> </w:t>
      </w:r>
      <w:r w:rsidRPr="002A0AE9">
        <w:t xml:space="preserve">61,253 (1997), </w:t>
      </w:r>
      <w:r w:rsidRPr="00BF5742">
        <w:rPr>
          <w:i/>
        </w:rPr>
        <w:t>aff’d in relevant part sub nom. Transmission Access Policy Study Grp. v. FERC</w:t>
      </w:r>
      <w:r w:rsidRPr="00BF5742">
        <w:t>, 225 F.3d 667 (D.C. Cir. 200</w:t>
      </w:r>
      <w:r>
        <w:t>0</w:t>
      </w:r>
      <w:r w:rsidRPr="00BF5742">
        <w:t>).</w:t>
      </w:r>
    </w:p>
  </w:footnote>
  <w:footnote w:id="155">
    <w:p w:rsidR="00FB7F86" w:rsidP="006B591B" w:rsidRDefault="00FB7F86" w14:paraId="7A51671A" w14:textId="5FA88CDF">
      <w:pPr>
        <w:pStyle w:val="FootnoteText"/>
      </w:pPr>
      <w:r>
        <w:rPr>
          <w:rStyle w:val="FootnoteReference"/>
        </w:rPr>
        <w:footnoteRef/>
      </w:r>
      <w:r>
        <w:t xml:space="preserve"> </w:t>
      </w:r>
      <w:r w:rsidRPr="008F02B6">
        <w:rPr>
          <w:i/>
          <w:iCs/>
        </w:rPr>
        <w:t>See Wolverine Power Supply Coop.</w:t>
      </w:r>
      <w:r w:rsidRPr="002A0AE9">
        <w:t>, 127 FERC ¶</w:t>
      </w:r>
      <w:r>
        <w:t> </w:t>
      </w:r>
      <w:r w:rsidRPr="002A0AE9">
        <w:t>61,159, at P</w:t>
      </w:r>
      <w:r>
        <w:t> </w:t>
      </w:r>
      <w:r w:rsidRPr="002A0AE9">
        <w:t>15 (2009).</w:t>
      </w:r>
    </w:p>
  </w:footnote>
  <w:footnote w:id="156">
    <w:p w:rsidR="00FB7F86" w:rsidP="006B591B" w:rsidRDefault="00FB7F86" w14:paraId="1FED5BBD" w14:textId="7E804454">
      <w:pPr>
        <w:pStyle w:val="FootnoteText"/>
      </w:pPr>
      <w:r>
        <w:rPr>
          <w:rStyle w:val="FootnoteReference"/>
        </w:rPr>
        <w:footnoteRef/>
      </w:r>
      <w:r>
        <w:t xml:space="preserve"> </w:t>
      </w:r>
      <w:r w:rsidRPr="0012725E">
        <w:rPr>
          <w:i/>
          <w:iCs/>
        </w:rPr>
        <w:t xml:space="preserve">See San Diego Gas &amp; Elec. Co. v. Sellers of Energy </w:t>
      </w:r>
      <w:r>
        <w:rPr>
          <w:i/>
          <w:iCs/>
        </w:rPr>
        <w:t>&amp;</w:t>
      </w:r>
      <w:r w:rsidRPr="0012725E">
        <w:rPr>
          <w:i/>
          <w:iCs/>
        </w:rPr>
        <w:t xml:space="preserve"> Ancillary </w:t>
      </w:r>
      <w:r>
        <w:rPr>
          <w:i/>
          <w:iCs/>
        </w:rPr>
        <w:t>Serv</w:t>
      </w:r>
      <w:r w:rsidRPr="0012725E">
        <w:rPr>
          <w:i/>
          <w:iCs/>
        </w:rPr>
        <w:t>s</w:t>
      </w:r>
      <w:r>
        <w:rPr>
          <w:i/>
          <w:iCs/>
        </w:rPr>
        <w:t>.</w:t>
      </w:r>
      <w:r w:rsidRPr="0012725E">
        <w:rPr>
          <w:i/>
          <w:iCs/>
        </w:rPr>
        <w:t xml:space="preserve"> in </w:t>
      </w:r>
      <w:r>
        <w:rPr>
          <w:i/>
          <w:iCs/>
        </w:rPr>
        <w:t>Mkt</w:t>
      </w:r>
      <w:r w:rsidRPr="0012725E">
        <w:rPr>
          <w:i/>
          <w:iCs/>
        </w:rPr>
        <w:t>s</w:t>
      </w:r>
      <w:r>
        <w:rPr>
          <w:i/>
          <w:iCs/>
        </w:rPr>
        <w:t>.</w:t>
      </w:r>
      <w:r w:rsidRPr="0012725E">
        <w:rPr>
          <w:i/>
          <w:iCs/>
        </w:rPr>
        <w:t xml:space="preserve"> Operated by the CAISO</w:t>
      </w:r>
      <w:r w:rsidRPr="002A0AE9">
        <w:t>, 125 FERC ¶</w:t>
      </w:r>
      <w:r>
        <w:t> </w:t>
      </w:r>
      <w:r w:rsidRPr="002A0AE9">
        <w:t>61,297, at P</w:t>
      </w:r>
      <w:r>
        <w:t> </w:t>
      </w:r>
      <w:r w:rsidRPr="002A0AE9">
        <w:t>24 (2008).</w:t>
      </w:r>
    </w:p>
  </w:footnote>
  <w:footnote w:id="157">
    <w:p w:rsidR="00FB7F86" w:rsidP="006B591B" w:rsidRDefault="00FB7F86" w14:paraId="6FE52EE9" w14:textId="557FDCED">
      <w:pPr>
        <w:pStyle w:val="FootnoteText"/>
      </w:pPr>
      <w:r>
        <w:rPr>
          <w:rStyle w:val="FootnoteReference"/>
        </w:rPr>
        <w:footnoteRef/>
      </w:r>
      <w:r>
        <w:t xml:space="preserve"> Order No. 719-A, </w:t>
      </w:r>
      <w:r w:rsidRPr="007E5E1F">
        <w:t>128 FERC ¶</w:t>
      </w:r>
      <w:r>
        <w:t> </w:t>
      </w:r>
      <w:r w:rsidRPr="007E5E1F">
        <w:t>61,059</w:t>
      </w:r>
      <w:r>
        <w:t xml:space="preserve"> at PP 51, 59-60.</w:t>
      </w:r>
    </w:p>
  </w:footnote>
  <w:footnote w:id="158">
    <w:p w:rsidR="00FB7F86" w:rsidRDefault="00FB7F86" w14:paraId="53027B0A" w14:textId="3BACB193">
      <w:pPr>
        <w:pStyle w:val="FootnoteText"/>
      </w:pPr>
      <w:r>
        <w:rPr>
          <w:rStyle w:val="FootnoteReference"/>
        </w:rPr>
        <w:footnoteRef/>
      </w:r>
      <w:r>
        <w:t xml:space="preserve"> </w:t>
      </w:r>
      <w:r w:rsidRPr="00D92E4D">
        <w:rPr>
          <w:i/>
          <w:iCs/>
        </w:rPr>
        <w:t>See</w:t>
      </w:r>
      <w:r>
        <w:t xml:space="preserve"> </w:t>
      </w:r>
      <w:r w:rsidRPr="00F34044">
        <w:rPr>
          <w:i/>
          <w:iCs/>
        </w:rPr>
        <w:t xml:space="preserve">supra </w:t>
      </w:r>
      <w:r w:rsidRPr="00FA595F">
        <w:t>P 50</w:t>
      </w:r>
      <w:r w:rsidRPr="00F34044">
        <w:rPr>
          <w:i/>
        </w:rPr>
        <w:t xml:space="preserve"> </w:t>
      </w:r>
      <w:r w:rsidRPr="00F34044">
        <w:rPr>
          <w:iCs/>
        </w:rPr>
        <w:t>(citing</w:t>
      </w:r>
      <w:r>
        <w:rPr>
          <w:iCs/>
        </w:rPr>
        <w:t xml:space="preserve"> </w:t>
      </w:r>
      <w:r w:rsidRPr="00D92E4D">
        <w:t>APPA Comments (2018 RM18-9) at 7</w:t>
      </w:r>
      <w:r>
        <w:t>, 9-10</w:t>
      </w:r>
      <w:r w:rsidRPr="00D92E4D">
        <w:t>; APPA/NRECA Comments (RM16-23) at 39; NRECA Comments (2018 RM18-9) at 14</w:t>
      </w:r>
      <w:r>
        <w:t>, 26-28</w:t>
      </w:r>
      <w:r w:rsidRPr="00D92E4D">
        <w:t>; TAPS Comments (RM16-23) at 15-16</w:t>
      </w:r>
      <w:r>
        <w:t>)</w:t>
      </w:r>
      <w:r w:rsidRPr="00D92E4D">
        <w:t>.</w:t>
      </w:r>
      <w:r w:rsidRPr="00D92E4D" w:rsidDel="00D92E4D">
        <w:t xml:space="preserve"> </w:t>
      </w:r>
    </w:p>
  </w:footnote>
  <w:footnote w:id="159">
    <w:p w:rsidRPr="00164394" w:rsidR="00FB7F86" w:rsidP="001C12FE" w:rsidRDefault="00FB7F86" w14:paraId="26195733" w14:textId="77777777">
      <w:pPr>
        <w:pStyle w:val="FootnoteText"/>
        <w:rPr>
          <w:b/>
        </w:rPr>
      </w:pPr>
      <w:r>
        <w:rPr>
          <w:rStyle w:val="FootnoteReference"/>
        </w:rPr>
        <w:footnoteRef/>
      </w:r>
      <w:r>
        <w:t xml:space="preserve"> </w:t>
      </w:r>
      <w:r w:rsidRPr="0084380D">
        <w:rPr>
          <w:i/>
          <w:iCs/>
        </w:rPr>
        <w:t>Nat’l Ass’n of Regulatory Util. Comm’rs</w:t>
      </w:r>
      <w:r>
        <w:t>, 964 F.3d at 1190.</w:t>
      </w:r>
    </w:p>
  </w:footnote>
  <w:footnote w:id="160">
    <w:p w:rsidRPr="002209B1" w:rsidR="00FB7F86" w:rsidP="001C12FE" w:rsidRDefault="00FB7F86" w14:paraId="3532F421" w14:textId="77777777">
      <w:pPr>
        <w:pStyle w:val="FootnoteText"/>
      </w:pPr>
      <w:r>
        <w:rPr>
          <w:rStyle w:val="FootnoteReference"/>
        </w:rPr>
        <w:footnoteRef/>
      </w:r>
      <w:r>
        <w:t xml:space="preserve"> </w:t>
      </w:r>
      <w:r>
        <w:rPr>
          <w:i/>
        </w:rPr>
        <w:t xml:space="preserve">See supra </w:t>
      </w:r>
      <w:r>
        <w:t>n.</w:t>
      </w:r>
      <w:r>
        <w:fldChar w:fldCharType="begin"/>
      </w:r>
      <w:r>
        <w:instrText xml:space="preserve"> NOTEREF _Ref50378906 \h </w:instrText>
      </w:r>
      <w:r>
        <w:fldChar w:fldCharType="separate"/>
      </w:r>
      <w:r>
        <w:t>147</w:t>
      </w:r>
      <w:r>
        <w:fldChar w:fldCharType="end"/>
      </w:r>
      <w:r>
        <w:t>.</w:t>
      </w:r>
    </w:p>
  </w:footnote>
  <w:footnote w:id="161">
    <w:p w:rsidR="00FB7F86" w:rsidRDefault="00FB7F86" w14:paraId="126FB5AD" w14:textId="70447638">
      <w:pPr>
        <w:pStyle w:val="FootnoteText"/>
      </w:pPr>
      <w:r>
        <w:rPr>
          <w:rStyle w:val="FootnoteReference"/>
        </w:rPr>
        <w:footnoteRef/>
      </w:r>
      <w:r>
        <w:t xml:space="preserve"> The SBA now defines small utilities based on the number of employees.          13 CFR 121.201 (establishing a threshold of 1,000 employees for electric power distribution utilities).</w:t>
      </w:r>
    </w:p>
  </w:footnote>
  <w:footnote w:id="162">
    <w:p w:rsidR="00FB7F86" w:rsidRDefault="00FB7F86" w14:paraId="5BA90415" w14:textId="122D693A">
      <w:pPr>
        <w:pStyle w:val="FootnoteText"/>
      </w:pPr>
      <w:r>
        <w:rPr>
          <w:rStyle w:val="FootnoteReference"/>
        </w:rPr>
        <w:footnoteRef/>
      </w:r>
      <w:r>
        <w:t xml:space="preserve"> Order No. 719-A, </w:t>
      </w:r>
      <w:r w:rsidRPr="007E5E1F">
        <w:t>128 FERC ¶</w:t>
      </w:r>
      <w:r>
        <w:t> </w:t>
      </w:r>
      <w:r w:rsidRPr="007E5E1F">
        <w:t>61,059</w:t>
      </w:r>
      <w:r>
        <w:t xml:space="preserve"> at PP 51, 59-60.</w:t>
      </w:r>
    </w:p>
  </w:footnote>
  <w:footnote w:id="163">
    <w:p w:rsidR="00FB7F86" w:rsidRDefault="00FB7F86" w14:paraId="0E1EE1DD" w14:textId="46D69F28">
      <w:pPr>
        <w:pStyle w:val="FootnoteText"/>
      </w:pPr>
      <w:r>
        <w:rPr>
          <w:rStyle w:val="FootnoteReference"/>
        </w:rPr>
        <w:footnoteRef/>
      </w:r>
      <w:r>
        <w:t xml:space="preserve"> NRECA Comments (2019 RM18-9) at 4-5; TAPS Comments (RM16-23) at 16-17; TAPS Comments (2018 RM18-9) at 19 &amp; n.27.</w:t>
      </w:r>
    </w:p>
  </w:footnote>
  <w:footnote w:id="164">
    <w:p w:rsidR="00FB7F86" w:rsidP="006B591B" w:rsidRDefault="00FB7F86" w14:paraId="464584E6" w14:textId="48D133CA">
      <w:pPr>
        <w:pStyle w:val="FootnoteText"/>
      </w:pPr>
      <w:r>
        <w:rPr>
          <w:rStyle w:val="FootnoteReference"/>
        </w:rPr>
        <w:footnoteRef/>
      </w:r>
      <w:r>
        <w:t xml:space="preserve"> </w:t>
      </w:r>
      <w:r>
        <w:rPr>
          <w:i/>
          <w:iCs/>
        </w:rPr>
        <w:t>See</w:t>
      </w:r>
      <w:r w:rsidRPr="00DE70CD">
        <w:t xml:space="preserve"> </w:t>
      </w:r>
      <w:r>
        <w:t xml:space="preserve">NOPR, </w:t>
      </w:r>
      <w:r w:rsidRPr="00370A91">
        <w:t xml:space="preserve">157 FERC </w:t>
      </w:r>
      <w:r>
        <w:t>¶ </w:t>
      </w:r>
      <w:r w:rsidRPr="00370A91">
        <w:t>61,121</w:t>
      </w:r>
      <w:r>
        <w:t xml:space="preserve"> at P 13 &amp; n.30 (citing Energy Storage Association’s comment that </w:t>
      </w:r>
      <w:r w:rsidRPr="00A957B5">
        <w:t>interconnection processes can pose prohibitively high transaction costs for the small project sizes that characterize behind-the-meter storage, which creates undue burdens on behind-the-meter storage participation in most RTOs/ISOs</w:t>
      </w:r>
      <w:r>
        <w:t>).</w:t>
      </w:r>
    </w:p>
  </w:footnote>
  <w:footnote w:id="165">
    <w:p w:rsidRPr="00977584" w:rsidR="00FB7F86" w:rsidP="006B591B" w:rsidRDefault="00FB7F86" w14:paraId="740846E4" w14:textId="5D85932A">
      <w:pPr>
        <w:pStyle w:val="FootnoteText"/>
      </w:pPr>
      <w:r>
        <w:rPr>
          <w:rStyle w:val="FootnoteReference"/>
        </w:rPr>
        <w:footnoteRef/>
      </w:r>
      <w:r>
        <w:t xml:space="preserve"> </w:t>
      </w:r>
      <w:r>
        <w:rPr>
          <w:i/>
          <w:iCs/>
        </w:rPr>
        <w:t>See</w:t>
      </w:r>
      <w:r w:rsidRPr="00DE70CD">
        <w:t xml:space="preserve"> </w:t>
      </w:r>
      <w:r>
        <w:rPr>
          <w:i/>
          <w:iCs/>
        </w:rPr>
        <w:t>id.</w:t>
      </w:r>
      <w:r>
        <w:t xml:space="preserve"> P 15 &amp; n.32 (citing PJM’s response that demand-side resources </w:t>
      </w:r>
      <w:r w:rsidRPr="00977584">
        <w:t>are not studied by PJM through the generation interconnection process</w:t>
      </w:r>
      <w:r>
        <w:t xml:space="preserve"> </w:t>
      </w:r>
      <w:r w:rsidRPr="00977584">
        <w:t>and are not allowed to inject energy beyond the customer’s meter and onto the distribution or transmission system</w:t>
      </w:r>
      <w:r>
        <w:t>).</w:t>
      </w:r>
    </w:p>
  </w:footnote>
  <w:footnote w:id="166">
    <w:p w:rsidR="00FB7F86" w:rsidP="006B591B" w:rsidRDefault="00FB7F86" w14:paraId="7C9482C6" w14:textId="2463B67E">
      <w:pPr>
        <w:pStyle w:val="FootnoteText"/>
      </w:pPr>
      <w:r>
        <w:rPr>
          <w:rStyle w:val="FootnoteReference"/>
        </w:rPr>
        <w:footnoteRef/>
      </w:r>
      <w:r>
        <w:t xml:space="preserve"> </w:t>
      </w:r>
      <w:r>
        <w:rPr>
          <w:i/>
          <w:iCs/>
        </w:rPr>
        <w:t>See, e.g.</w:t>
      </w:r>
      <w:r>
        <w:t>,</w:t>
      </w:r>
      <w:r>
        <w:rPr>
          <w:i/>
          <w:iCs/>
        </w:rPr>
        <w:t xml:space="preserve"> </w:t>
      </w:r>
      <w:r w:rsidRPr="00473252">
        <w:t>IRC Comments</w:t>
      </w:r>
      <w:r>
        <w:t xml:space="preserve"> </w:t>
      </w:r>
      <w:r w:rsidRPr="00B52B38">
        <w:t>(RM16-23)</w:t>
      </w:r>
      <w:r w:rsidRPr="00473252">
        <w:t xml:space="preserve"> at </w:t>
      </w:r>
      <w:r>
        <w:t>9-</w:t>
      </w:r>
      <w:r w:rsidRPr="00473252">
        <w:t>10; Massachusetts Municipal Electric Comments</w:t>
      </w:r>
      <w:r>
        <w:t xml:space="preserve"> </w:t>
      </w:r>
      <w:r w:rsidRPr="00B52B38">
        <w:t>(RM16-23)</w:t>
      </w:r>
      <w:r w:rsidRPr="00473252">
        <w:t xml:space="preserve"> at 4; Massachusetts State Entities Comments</w:t>
      </w:r>
      <w:r>
        <w:t xml:space="preserve"> </w:t>
      </w:r>
      <w:r w:rsidRPr="00B52B38">
        <w:t>(</w:t>
      </w:r>
      <w:r>
        <w:t xml:space="preserve">2019 </w:t>
      </w:r>
      <w:r w:rsidRPr="00B52B38">
        <w:t>RM1</w:t>
      </w:r>
      <w:r>
        <w:t>8</w:t>
      </w:r>
      <w:r w:rsidRPr="00B52B38">
        <w:t>-</w:t>
      </w:r>
      <w:r>
        <w:t>9</w:t>
      </w:r>
      <w:r w:rsidRPr="00B52B38">
        <w:t>)</w:t>
      </w:r>
      <w:r w:rsidRPr="00473252">
        <w:t xml:space="preserve"> at 1</w:t>
      </w:r>
      <w:r>
        <w:t>1</w:t>
      </w:r>
      <w:r w:rsidRPr="004750A3">
        <w:t>; NESCOE Comments</w:t>
      </w:r>
      <w:r>
        <w:t xml:space="preserve"> </w:t>
      </w:r>
      <w:r w:rsidRPr="00B52B38">
        <w:t>(RM16-23)</w:t>
      </w:r>
      <w:r w:rsidRPr="004750A3">
        <w:t xml:space="preserve"> at 16</w:t>
      </w:r>
      <w:r>
        <w:t xml:space="preserve">; </w:t>
      </w:r>
      <w:r w:rsidRPr="00473252">
        <w:t>TAPS Comments</w:t>
      </w:r>
      <w:r>
        <w:t xml:space="preserve"> </w:t>
      </w:r>
      <w:r w:rsidRPr="00B52B38">
        <w:t>(RM16-23)</w:t>
      </w:r>
      <w:r w:rsidRPr="00473252">
        <w:t xml:space="preserve"> at 15</w:t>
      </w:r>
      <w:r w:rsidRPr="004750A3">
        <w:t>.</w:t>
      </w:r>
    </w:p>
  </w:footnote>
  <w:footnote w:id="167">
    <w:p w:rsidR="00FB7F86" w:rsidP="006B591B" w:rsidRDefault="00FB7F86" w14:paraId="6869E023" w14:textId="77777777">
      <w:pPr>
        <w:pStyle w:val="FootnoteText"/>
      </w:pPr>
      <w:r>
        <w:rPr>
          <w:rStyle w:val="FootnoteReference"/>
        </w:rPr>
        <w:footnoteRef/>
      </w:r>
      <w:r>
        <w:t xml:space="preserve"> </w:t>
      </w:r>
      <w:r w:rsidRPr="00473252">
        <w:t>Maryland and New Jersey Commissions Comments</w:t>
      </w:r>
      <w:r>
        <w:t xml:space="preserve"> </w:t>
      </w:r>
      <w:r w:rsidRPr="00B52B38">
        <w:t>(RM16-23)</w:t>
      </w:r>
      <w:r w:rsidRPr="00473252">
        <w:t xml:space="preserve"> at 2-3.</w:t>
      </w:r>
    </w:p>
  </w:footnote>
  <w:footnote w:id="168">
    <w:p w:rsidR="00FB7F86" w:rsidP="006B591B" w:rsidRDefault="00FB7F86" w14:paraId="40C88272" w14:textId="08EBFDFD">
      <w:pPr>
        <w:pStyle w:val="FootnoteText"/>
      </w:pPr>
      <w:r>
        <w:rPr>
          <w:rStyle w:val="FootnoteReference"/>
        </w:rPr>
        <w:footnoteRef/>
      </w:r>
      <w:r>
        <w:t xml:space="preserve"> </w:t>
      </w:r>
      <w:r>
        <w:rPr>
          <w:i/>
          <w:iCs/>
        </w:rPr>
        <w:t>Id.</w:t>
      </w:r>
      <w:r w:rsidRPr="00473252">
        <w:t xml:space="preserve"> at 3.</w:t>
      </w:r>
    </w:p>
  </w:footnote>
  <w:footnote w:id="169">
    <w:p w:rsidR="00FB7F86" w:rsidP="006B591B" w:rsidRDefault="00FB7F86" w14:paraId="6741202F" w14:textId="3ADA42AF">
      <w:pPr>
        <w:pStyle w:val="FootnoteText"/>
      </w:pPr>
      <w:r>
        <w:rPr>
          <w:rStyle w:val="FootnoteReference"/>
        </w:rPr>
        <w:footnoteRef/>
      </w:r>
      <w:r>
        <w:t xml:space="preserve"> Massachusetts Commission Comments (RM16-23) at 11.</w:t>
      </w:r>
    </w:p>
  </w:footnote>
  <w:footnote w:id="170">
    <w:p w:rsidR="00FB7F86" w:rsidP="006B591B" w:rsidRDefault="00FB7F86" w14:paraId="70A9E123" w14:textId="150075B9">
      <w:pPr>
        <w:pStyle w:val="FootnoteText"/>
      </w:pPr>
      <w:r>
        <w:rPr>
          <w:rStyle w:val="FootnoteReference"/>
        </w:rPr>
        <w:footnoteRef/>
      </w:r>
      <w:r>
        <w:t xml:space="preserve"> </w:t>
      </w:r>
      <w:r w:rsidRPr="00473252">
        <w:t>Duke Energy Comments</w:t>
      </w:r>
      <w:r>
        <w:t xml:space="preserve"> </w:t>
      </w:r>
      <w:r w:rsidRPr="00B52B38">
        <w:t>(RM16-23)</w:t>
      </w:r>
      <w:r w:rsidRPr="00473252">
        <w:t xml:space="preserve"> at 4</w:t>
      </w:r>
      <w:r>
        <w:t>;</w:t>
      </w:r>
      <w:r w:rsidRPr="001308F3">
        <w:t xml:space="preserve"> </w:t>
      </w:r>
      <w:r w:rsidRPr="00473252">
        <w:t>EEI Comments</w:t>
      </w:r>
      <w:r>
        <w:t xml:space="preserve"> </w:t>
      </w:r>
      <w:r w:rsidRPr="00B52B38">
        <w:t>(RM16-23)</w:t>
      </w:r>
      <w:r w:rsidRPr="00473252">
        <w:t xml:space="preserve"> at 25.</w:t>
      </w:r>
    </w:p>
  </w:footnote>
  <w:footnote w:id="171">
    <w:p w:rsidR="00FB7F86" w:rsidRDefault="00FB7F86" w14:paraId="3B73C5E0" w14:textId="34E0C0BF">
      <w:pPr>
        <w:pStyle w:val="FootnoteText"/>
      </w:pPr>
      <w:r>
        <w:rPr>
          <w:rStyle w:val="FootnoteReference"/>
        </w:rPr>
        <w:footnoteRef/>
      </w:r>
      <w:r>
        <w:t xml:space="preserve"> </w:t>
      </w:r>
      <w:r w:rsidRPr="00473252">
        <w:t>TAPS Comments</w:t>
      </w:r>
      <w:r>
        <w:t xml:space="preserve"> </w:t>
      </w:r>
      <w:r w:rsidRPr="00B52B38">
        <w:t>(RM16-23)</w:t>
      </w:r>
      <w:r w:rsidRPr="00473252">
        <w:t xml:space="preserve"> at</w:t>
      </w:r>
      <w:r>
        <w:t xml:space="preserve"> 15.</w:t>
      </w:r>
    </w:p>
  </w:footnote>
  <w:footnote w:id="172">
    <w:p w:rsidR="00FB7F86" w:rsidP="00636DE6" w:rsidRDefault="00FB7F86" w14:paraId="1F79E350" w14:textId="5C3FC383">
      <w:pPr>
        <w:pStyle w:val="FootnoteText"/>
      </w:pPr>
      <w:r>
        <w:rPr>
          <w:rStyle w:val="FootnoteReference"/>
        </w:rPr>
        <w:footnoteRef/>
      </w:r>
      <w:r>
        <w:t xml:space="preserve"> </w:t>
      </w:r>
      <w:r>
        <w:rPr>
          <w:i/>
          <w:iCs/>
        </w:rPr>
        <w:t>Id.</w:t>
      </w:r>
      <w:r w:rsidRPr="00473252">
        <w:t xml:space="preserve"> at </w:t>
      </w:r>
      <w:r>
        <w:t>5-</w:t>
      </w:r>
      <w:r w:rsidRPr="00473252">
        <w:t>9.</w:t>
      </w:r>
    </w:p>
  </w:footnote>
  <w:footnote w:id="173">
    <w:p w:rsidR="00FB7F86" w:rsidP="006B591B" w:rsidRDefault="00FB7F86" w14:paraId="6BA22E00" w14:textId="5B78C045">
      <w:pPr>
        <w:pStyle w:val="FootnoteText"/>
      </w:pPr>
      <w:r>
        <w:rPr>
          <w:rStyle w:val="FootnoteReference"/>
        </w:rPr>
        <w:footnoteRef/>
      </w:r>
      <w:r>
        <w:t xml:space="preserve"> ISO-NE Data Request Response (2019 RM18-9) at 3-4, 9-10; NYISO Data Request Response (2019 RM18-9) at 1-2; PJM Data Request Response (2019 RM18-9) at 2, 5.  </w:t>
      </w:r>
    </w:p>
  </w:footnote>
  <w:footnote w:id="174">
    <w:p w:rsidR="00FB7F86" w:rsidP="00CD4C19" w:rsidRDefault="00FB7F86" w14:paraId="0B87E9DE" w14:textId="0E4DFEB2">
      <w:pPr>
        <w:pStyle w:val="FootnoteText"/>
      </w:pPr>
      <w:r w:rsidRPr="00E71B0D">
        <w:rPr>
          <w:rStyle w:val="FootnoteReference"/>
        </w:rPr>
        <w:footnoteRef/>
      </w:r>
      <w:r w:rsidRPr="00E71B0D" w:rsidDel="00D72167">
        <w:t xml:space="preserve"> </w:t>
      </w:r>
      <w:r w:rsidRPr="00E71B0D">
        <w:rPr>
          <w:i/>
        </w:rPr>
        <w:t>Standardization of Generator Interconnection Agreements &amp; Procedures</w:t>
      </w:r>
      <w:r w:rsidRPr="00E71B0D">
        <w:t xml:space="preserve">, Order No. 2003, 104 FERC ¶ 61,103, at P 804 (2003), </w:t>
      </w:r>
      <w:r w:rsidRPr="00E71B0D">
        <w:rPr>
          <w:i/>
        </w:rPr>
        <w:t>order on reh’g</w:t>
      </w:r>
      <w:r w:rsidRPr="00E71B0D">
        <w:t xml:space="preserve">, Order No. 2003-A, 106 FERC ¶ 61,220, </w:t>
      </w:r>
      <w:r w:rsidRPr="00E71B0D">
        <w:rPr>
          <w:i/>
        </w:rPr>
        <w:t>order on reh’g</w:t>
      </w:r>
      <w:r w:rsidRPr="00E71B0D">
        <w:t xml:space="preserve">, Order No. 2003-B, 109 FERC ¶ 61,287 (2004), </w:t>
      </w:r>
      <w:r w:rsidRPr="00E71B0D">
        <w:rPr>
          <w:i/>
        </w:rPr>
        <w:t>order on reh’g</w:t>
      </w:r>
      <w:r w:rsidRPr="00E71B0D">
        <w:t xml:space="preserve">, Order No. 2003-C, 111 FERC ¶ 61,401 (2005), </w:t>
      </w:r>
      <w:r w:rsidRPr="00E71B0D">
        <w:rPr>
          <w:i/>
          <w:iCs/>
        </w:rPr>
        <w:t>aff’d sub nom. Nat’l Ass’n of Regulatory Util. Comm’rs v. FERC</w:t>
      </w:r>
      <w:r w:rsidRPr="00E71B0D">
        <w:rPr>
          <w:iCs/>
        </w:rPr>
        <w:t xml:space="preserve">, 475 F.3d 1277 (D.C. Cir. 2007), </w:t>
      </w:r>
      <w:r w:rsidRPr="00E71B0D">
        <w:rPr>
          <w:i/>
          <w:iCs/>
        </w:rPr>
        <w:t>cert. denied</w:t>
      </w:r>
      <w:r w:rsidRPr="00E71B0D">
        <w:rPr>
          <w:iCs/>
        </w:rPr>
        <w:t>,</w:t>
      </w:r>
      <w:r w:rsidRPr="00E71B0D">
        <w:t xml:space="preserve"> 552 U.S. 1230 (2008); </w:t>
      </w:r>
      <w:r w:rsidRPr="00E71B0D">
        <w:rPr>
          <w:i/>
        </w:rPr>
        <w:t>Standardization of Small Generator Interconnection Agreements and Procedures</w:t>
      </w:r>
      <w:r w:rsidRPr="00E71B0D">
        <w:t xml:space="preserve">, Order No. 2006, 111 FERC ¶ 61,220, </w:t>
      </w:r>
      <w:r w:rsidRPr="00E71B0D">
        <w:rPr>
          <w:i/>
        </w:rPr>
        <w:t>order on reh’g</w:t>
      </w:r>
      <w:r w:rsidRPr="00E71B0D">
        <w:t xml:space="preserve">, Order No. 2006-A, 113 FERC ¶ 61,195 (2005), </w:t>
      </w:r>
      <w:r w:rsidRPr="00E71B0D">
        <w:rPr>
          <w:i/>
        </w:rPr>
        <w:t>order granting clarification</w:t>
      </w:r>
      <w:r w:rsidRPr="00E71B0D">
        <w:t xml:space="preserve">, Order No. 2006-B, 116 FERC ¶ 61,046 (2006), </w:t>
      </w:r>
      <w:r w:rsidRPr="00E71B0D">
        <w:rPr>
          <w:i/>
          <w:iCs/>
        </w:rPr>
        <w:t>corrected</w:t>
      </w:r>
      <w:r w:rsidRPr="00E71B0D">
        <w:t xml:space="preserve">, 71 FR 53,965 (Sept. 13, 2006); </w:t>
      </w:r>
      <w:r w:rsidRPr="00E71B0D">
        <w:rPr>
          <w:i/>
          <w:iCs/>
        </w:rPr>
        <w:t xml:space="preserve">see also </w:t>
      </w:r>
      <w:r w:rsidRPr="00E71B0D">
        <w:rPr>
          <w:i/>
        </w:rPr>
        <w:t>Reform of Generator Interconnection Procedures and Agreements</w:t>
      </w:r>
      <w:r w:rsidRPr="00E71B0D">
        <w:t xml:space="preserve">, Order No. 845, 163 FERC ¶ 61,043 (2018), </w:t>
      </w:r>
      <w:r w:rsidRPr="00E71B0D">
        <w:rPr>
          <w:i/>
        </w:rPr>
        <w:t>errata notice</w:t>
      </w:r>
      <w:r w:rsidRPr="00E71B0D">
        <w:t>, 167 FERC ¶ 61,123,</w:t>
      </w:r>
      <w:r w:rsidRPr="00E71B0D">
        <w:rPr>
          <w:i/>
        </w:rPr>
        <w:t xml:space="preserve"> order on reh’g</w:t>
      </w:r>
      <w:r w:rsidRPr="00E71B0D">
        <w:t xml:space="preserve">, Order No. 845-A, 166 FERC ¶ 61,137 (2019), </w:t>
      </w:r>
      <w:r w:rsidRPr="00E71B0D">
        <w:rPr>
          <w:i/>
        </w:rPr>
        <w:t>errata notice</w:t>
      </w:r>
      <w:r w:rsidRPr="00E71B0D">
        <w:t xml:space="preserve">, 167 FERC ¶ 61,124, </w:t>
      </w:r>
      <w:r w:rsidRPr="00E71B0D">
        <w:rPr>
          <w:i/>
        </w:rPr>
        <w:t>order on reh’g</w:t>
      </w:r>
      <w:r w:rsidRPr="00E71B0D">
        <w:t>, Order No. 845-B, 168 FERC ¶ 61,092 (2019).  We note that Order No. 845 did not make any changes to the “first use” test for distribution interconnection at issue here.</w:t>
      </w:r>
    </w:p>
  </w:footnote>
  <w:footnote w:id="175">
    <w:p w:rsidR="00FB7F86" w:rsidP="006B591B" w:rsidRDefault="00FB7F86" w14:paraId="7823927B" w14:textId="6C710768">
      <w:pPr>
        <w:pStyle w:val="FootnoteText"/>
      </w:pPr>
      <w:r>
        <w:rPr>
          <w:rStyle w:val="FootnoteReference"/>
        </w:rPr>
        <w:footnoteRef/>
      </w:r>
      <w:r>
        <w:t xml:space="preserve"> </w:t>
      </w:r>
      <w:r>
        <w:rPr>
          <w:i/>
          <w:iCs/>
        </w:rPr>
        <w:t>See</w:t>
      </w:r>
      <w:r w:rsidRPr="00DE70CD">
        <w:t xml:space="preserve"> </w:t>
      </w:r>
      <w:r>
        <w:t xml:space="preserve">MISO Data Request Response (2019 RM18-9) at 6-7 </w:t>
      </w:r>
      <w:r w:rsidRPr="00DF370A">
        <w:t>(</w:t>
      </w:r>
      <w:r>
        <w:t>“If the [distributed energy resource] interconnection customer intends to connect the [distributed energy resource] unit to facilities listed on [MISO’s list of transmission facilities transferred to its functional control] or a distribution facility that provides Wholesale Distribution Service, then the Interconnection Customer is required to follow the Generator Interconnection Procedures (Attachment X) of MISO Tariff.  If [the distributed energy resource] is not interconnecting to such facilities, then the interconnection customer is required to follow the interconnection rules of the Host Distribution Provider.”</w:t>
      </w:r>
      <w:r w:rsidRPr="009D7309">
        <w:t>)</w:t>
      </w:r>
      <w:r w:rsidRPr="00F66905">
        <w:t>.</w:t>
      </w:r>
    </w:p>
  </w:footnote>
  <w:footnote w:id="176">
    <w:p w:rsidR="00FB7F86" w:rsidP="006B591B" w:rsidRDefault="00FB7F86" w14:paraId="249CCE87" w14:textId="62766301">
      <w:pPr>
        <w:pStyle w:val="FootnoteText"/>
      </w:pPr>
      <w:r>
        <w:rPr>
          <w:rStyle w:val="FootnoteReference"/>
        </w:rPr>
        <w:footnoteRef/>
      </w:r>
      <w:r>
        <w:t xml:space="preserve"> </w:t>
      </w:r>
      <w:r>
        <w:rPr>
          <w:i/>
          <w:iCs/>
        </w:rPr>
        <w:t>See</w:t>
      </w:r>
      <w:r w:rsidRPr="00DE70CD">
        <w:t xml:space="preserve"> </w:t>
      </w:r>
      <w:r>
        <w:t xml:space="preserve">SPP Data Request Response (2019 RM18-9) at 2-3, 6 </w:t>
      </w:r>
      <w:r w:rsidRPr="00DF370A">
        <w:t>(</w:t>
      </w:r>
      <w:r>
        <w:t>“</w:t>
      </w:r>
      <w:r w:rsidRPr="00390560">
        <w:t xml:space="preserve">Such distribution facilities are not subject to the Tariff in this situation. </w:t>
      </w:r>
      <w:r>
        <w:t xml:space="preserve"> </w:t>
      </w:r>
      <w:r w:rsidRPr="00390560">
        <w:t>The Tariff would not apply to non-jurisdictional facilities; however, there might be an obligation for the utility to coordinate with SPP regarding potential impacts to the SPP Transmission System</w:t>
      </w:r>
      <w:r>
        <w:t>.”).</w:t>
      </w:r>
    </w:p>
  </w:footnote>
  <w:footnote w:id="177">
    <w:p w:rsidR="00FB7F86" w:rsidP="006B591B" w:rsidRDefault="00FB7F86" w14:paraId="2EABD06F" w14:textId="1731A792">
      <w:pPr>
        <w:pStyle w:val="FootnoteText"/>
      </w:pPr>
      <w:r>
        <w:rPr>
          <w:rStyle w:val="FootnoteReference"/>
        </w:rPr>
        <w:footnoteRef/>
      </w:r>
      <w:r>
        <w:t xml:space="preserve"> CAISO Data Request Response (2019 RM18-9) at 2-4 (explaining that “</w:t>
      </w:r>
      <w:r w:rsidRPr="0036420F">
        <w:t xml:space="preserve">each CAISO transmission owner that is </w:t>
      </w:r>
      <w:r>
        <w:t>[</w:t>
      </w:r>
      <w:r w:rsidRPr="0036420F">
        <w:t>C</w:t>
      </w:r>
      <w:r>
        <w:t>ommission]</w:t>
      </w:r>
      <w:r w:rsidRPr="0036420F">
        <w:t xml:space="preserve"> jurisdictional and operates distribution facilities has a </w:t>
      </w:r>
      <w:r w:rsidRPr="00E86647">
        <w:rPr>
          <w:lang w:eastAsia="ja-JP"/>
        </w:rPr>
        <w:t>Wholesale Distribution Access Tariff</w:t>
      </w:r>
      <w:r w:rsidRPr="0036420F">
        <w:t xml:space="preserve"> with the express purpose of enabling </w:t>
      </w:r>
      <w:r>
        <w:t>[distributed energy resource</w:t>
      </w:r>
      <w:r w:rsidRPr="0036420F">
        <w:t>s</w:t>
      </w:r>
      <w:r>
        <w:t>]</w:t>
      </w:r>
      <w:r w:rsidRPr="0036420F">
        <w:t xml:space="preserve"> to interconnect to the distribution grid and still participate in the CAISO wholesale markets</w:t>
      </w:r>
      <w:r>
        <w:t>”).</w:t>
      </w:r>
    </w:p>
  </w:footnote>
  <w:footnote w:id="178">
    <w:p w:rsidRPr="00A85404" w:rsidR="00FB7F86" w:rsidP="006B591B" w:rsidRDefault="00FB7F86" w14:paraId="1067FF6E" w14:textId="77777777">
      <w:pPr>
        <w:pStyle w:val="FootnoteText"/>
        <w:rPr>
          <w:szCs w:val="26"/>
        </w:rPr>
      </w:pPr>
      <w:r w:rsidRPr="00A85404">
        <w:rPr>
          <w:rStyle w:val="FootnoteReference"/>
          <w:szCs w:val="26"/>
        </w:rPr>
        <w:footnoteRef/>
      </w:r>
      <w:r w:rsidRPr="00A85404">
        <w:rPr>
          <w:szCs w:val="26"/>
        </w:rPr>
        <w:t xml:space="preserve"> SoCal Edison Comments </w:t>
      </w:r>
      <w:r>
        <w:t xml:space="preserve">(2019 RM18-9) </w:t>
      </w:r>
      <w:r w:rsidRPr="00A85404">
        <w:rPr>
          <w:szCs w:val="26"/>
        </w:rPr>
        <w:t>at 2.</w:t>
      </w:r>
    </w:p>
  </w:footnote>
  <w:footnote w:id="179">
    <w:p w:rsidR="00FB7F86" w:rsidP="00873CB9" w:rsidRDefault="00FB7F86" w14:paraId="00BECEEB" w14:textId="235F05D3">
      <w:pPr>
        <w:pStyle w:val="FootnoteText"/>
      </w:pPr>
      <w:r>
        <w:rPr>
          <w:rStyle w:val="FootnoteReference"/>
        </w:rPr>
        <w:footnoteRef/>
      </w:r>
      <w:r>
        <w:t xml:space="preserve"> </w:t>
      </w:r>
      <w:r w:rsidRPr="00A62D97">
        <w:t>P</w:t>
      </w:r>
      <w:r>
        <w:t>acific Gas &amp; Electric</w:t>
      </w:r>
      <w:r w:rsidRPr="00A62D97">
        <w:t xml:space="preserve"> </w:t>
      </w:r>
      <w:r w:rsidRPr="00A85404">
        <w:rPr>
          <w:szCs w:val="26"/>
        </w:rPr>
        <w:t xml:space="preserve">Comments </w:t>
      </w:r>
      <w:r>
        <w:t>(2019 RM18-9)</w:t>
      </w:r>
      <w:r w:rsidRPr="00A62D97">
        <w:t xml:space="preserve"> at</w:t>
      </w:r>
      <w:r>
        <w:t xml:space="preserve"> 4.  It states, </w:t>
      </w:r>
      <w:r w:rsidRPr="00476C71">
        <w:t xml:space="preserve">however, that some wholesale market-participating distributed energy resources interconnect today </w:t>
      </w:r>
      <w:r w:rsidRPr="00521584">
        <w:t xml:space="preserve">under California’s Rule 21, a state-jurisdictional tariff.  For instance, it asserts that Rule 21 applies to </w:t>
      </w:r>
      <w:r>
        <w:t>Qualifying Facilities (</w:t>
      </w:r>
      <w:r w:rsidRPr="00521584">
        <w:t>QF</w:t>
      </w:r>
      <w:r>
        <w:t>)</w:t>
      </w:r>
      <w:r w:rsidRPr="00521584">
        <w:t xml:space="preserve"> that make net surplus sales under California’s net metering program, which are considered qualifying sales</w:t>
      </w:r>
      <w:r>
        <w:t xml:space="preserve"> under the </w:t>
      </w:r>
      <w:r w:rsidRPr="00521584">
        <w:t>P</w:t>
      </w:r>
      <w:r>
        <w:t xml:space="preserve">ublic </w:t>
      </w:r>
      <w:r w:rsidRPr="00521584">
        <w:t>U</w:t>
      </w:r>
      <w:r>
        <w:t xml:space="preserve">tilities </w:t>
      </w:r>
      <w:r w:rsidRPr="00521584">
        <w:t>R</w:t>
      </w:r>
      <w:r>
        <w:t xml:space="preserve">egulatory </w:t>
      </w:r>
      <w:r w:rsidRPr="00521584">
        <w:t>P</w:t>
      </w:r>
      <w:r>
        <w:t xml:space="preserve">olicy </w:t>
      </w:r>
      <w:r w:rsidRPr="00521584">
        <w:t>A</w:t>
      </w:r>
      <w:r>
        <w:t>ct (PURPA)</w:t>
      </w:r>
      <w:r w:rsidRPr="00521584">
        <w:t xml:space="preserve">. </w:t>
      </w:r>
    </w:p>
  </w:footnote>
  <w:footnote w:id="180">
    <w:p w:rsidR="00FB7F86" w:rsidRDefault="00FB7F86" w14:paraId="47441C29" w14:textId="3977E262">
      <w:pPr>
        <w:pStyle w:val="FootnoteText"/>
      </w:pPr>
      <w:r>
        <w:rPr>
          <w:rStyle w:val="FootnoteReference"/>
        </w:rPr>
        <w:footnoteRef/>
      </w:r>
      <w:r>
        <w:t xml:space="preserve"> </w:t>
      </w:r>
      <w:r>
        <w:rPr>
          <w:i/>
          <w:iCs/>
        </w:rPr>
        <w:t>Id.</w:t>
      </w:r>
      <w:r w:rsidRPr="00A62D97">
        <w:t xml:space="preserve"> at</w:t>
      </w:r>
      <w:r>
        <w:t xml:space="preserve"> 5.</w:t>
      </w:r>
    </w:p>
  </w:footnote>
  <w:footnote w:id="181">
    <w:p w:rsidR="00FB7F86" w:rsidP="006B591B" w:rsidRDefault="00FB7F86" w14:paraId="3314CA70" w14:textId="192E7643">
      <w:pPr>
        <w:pStyle w:val="FootnoteText"/>
      </w:pPr>
      <w:r>
        <w:rPr>
          <w:rStyle w:val="FootnoteReference"/>
        </w:rPr>
        <w:footnoteRef/>
      </w:r>
      <w:r>
        <w:t xml:space="preserve"> </w:t>
      </w:r>
      <w:r>
        <w:rPr>
          <w:i/>
          <w:iCs/>
        </w:rPr>
        <w:t>Id.</w:t>
      </w:r>
      <w:r w:rsidRPr="00A62D97">
        <w:t xml:space="preserve"> at</w:t>
      </w:r>
      <w:r>
        <w:t xml:space="preserve"> 6.</w:t>
      </w:r>
    </w:p>
  </w:footnote>
  <w:footnote w:id="182">
    <w:p w:rsidRPr="00A62D97" w:rsidR="00FB7F86" w:rsidP="006B591B" w:rsidRDefault="00FB7F86" w14:paraId="7752F455" w14:textId="0BDE054B">
      <w:pPr>
        <w:pStyle w:val="FootnoteText"/>
      </w:pPr>
      <w:r w:rsidRPr="000436DA">
        <w:rPr>
          <w:rStyle w:val="FootnoteReference"/>
        </w:rPr>
        <w:footnoteRef/>
      </w:r>
      <w:r w:rsidRPr="00A62D97">
        <w:t xml:space="preserve"> </w:t>
      </w:r>
      <w:r>
        <w:rPr>
          <w:i/>
          <w:iCs/>
        </w:rPr>
        <w:t>Id.</w:t>
      </w:r>
      <w:r w:rsidRPr="00A62D97">
        <w:t xml:space="preserve"> at </w:t>
      </w:r>
      <w:r>
        <w:t>app. A</w:t>
      </w:r>
      <w:r w:rsidRPr="00A62D97">
        <w:t>.</w:t>
      </w:r>
    </w:p>
  </w:footnote>
  <w:footnote w:id="183">
    <w:p w:rsidR="00FB7F86" w:rsidP="00596EA3" w:rsidRDefault="00FB7F86" w14:paraId="5FB4734A" w14:textId="77777777">
      <w:pPr>
        <w:pStyle w:val="FootnoteText"/>
      </w:pPr>
      <w:r>
        <w:rPr>
          <w:rStyle w:val="FootnoteReference"/>
        </w:rPr>
        <w:footnoteRef/>
      </w:r>
      <w:r>
        <w:t xml:space="preserve"> </w:t>
      </w:r>
      <w:r>
        <w:rPr>
          <w:szCs w:val="26"/>
        </w:rPr>
        <w:t xml:space="preserve">AMP Comments </w:t>
      </w:r>
      <w:r>
        <w:t>(2019 RM18-9)</w:t>
      </w:r>
      <w:r>
        <w:rPr>
          <w:szCs w:val="26"/>
        </w:rPr>
        <w:t xml:space="preserve"> at 2.</w:t>
      </w:r>
    </w:p>
  </w:footnote>
  <w:footnote w:id="184">
    <w:p w:rsidRPr="002A73F3" w:rsidR="00FB7F86" w:rsidP="005F22C4" w:rsidRDefault="00FB7F86" w14:paraId="61922159" w14:textId="77777777">
      <w:pPr>
        <w:pStyle w:val="FootnoteText"/>
      </w:pPr>
      <w:r>
        <w:rPr>
          <w:rStyle w:val="FootnoteReference"/>
        </w:rPr>
        <w:footnoteRef/>
      </w:r>
      <w:r>
        <w:t xml:space="preserve"> </w:t>
      </w:r>
      <w:r>
        <w:rPr>
          <w:i/>
          <w:iCs/>
        </w:rPr>
        <w:t>See, e.g.</w:t>
      </w:r>
      <w:r>
        <w:t xml:space="preserve">, </w:t>
      </w:r>
      <w:r w:rsidRPr="00E86647">
        <w:t>A</w:t>
      </w:r>
      <w:r>
        <w:t xml:space="preserve">dvanced </w:t>
      </w:r>
      <w:r w:rsidRPr="00E86647">
        <w:t>E</w:t>
      </w:r>
      <w:r>
        <w:t xml:space="preserve">nergy </w:t>
      </w:r>
      <w:r w:rsidRPr="00E86647">
        <w:t>E</w:t>
      </w:r>
      <w:r>
        <w:t>conomy</w:t>
      </w:r>
      <w:r w:rsidRPr="00E86647">
        <w:t xml:space="preserve"> Comments (</w:t>
      </w:r>
      <w:r>
        <w:t xml:space="preserve">2018 </w:t>
      </w:r>
      <w:r w:rsidRPr="00E86647">
        <w:t xml:space="preserve">RM18-9) at </w:t>
      </w:r>
      <w:r>
        <w:t>19-</w:t>
      </w:r>
      <w:r w:rsidRPr="00E86647">
        <w:t>2</w:t>
      </w:r>
      <w:r>
        <w:t xml:space="preserve">1; </w:t>
      </w:r>
      <w:r w:rsidRPr="00E86647">
        <w:t>Eversource Comments (</w:t>
      </w:r>
      <w:r>
        <w:t xml:space="preserve">2018 </w:t>
      </w:r>
      <w:r w:rsidRPr="00E86647">
        <w:t>RM18-9) at 9-10</w:t>
      </w:r>
      <w:r>
        <w:t xml:space="preserve">; </w:t>
      </w:r>
      <w:r w:rsidRPr="00E86647">
        <w:t>Icetec Comments (</w:t>
      </w:r>
      <w:r>
        <w:t xml:space="preserve">2018 </w:t>
      </w:r>
      <w:r w:rsidRPr="00E86647">
        <w:t>RM18-9) at 2-3, 11.</w:t>
      </w:r>
    </w:p>
  </w:footnote>
  <w:footnote w:id="185">
    <w:p w:rsidR="00FB7F86" w:rsidP="005F22C4" w:rsidRDefault="00FB7F86" w14:paraId="3E162C1F" w14:textId="77777777">
      <w:pPr>
        <w:pStyle w:val="FootnoteText"/>
      </w:pPr>
      <w:r>
        <w:rPr>
          <w:rStyle w:val="FootnoteReference"/>
        </w:rPr>
        <w:footnoteRef/>
      </w:r>
      <w:r>
        <w:t xml:space="preserve"> </w:t>
      </w:r>
      <w:r w:rsidRPr="00C356CB">
        <w:rPr>
          <w:rFonts w:eastAsia="Times New Roman"/>
          <w:szCs w:val="24"/>
        </w:rPr>
        <w:t>16 U.S.C. 796(17)-(18), 824a-3.</w:t>
      </w:r>
    </w:p>
  </w:footnote>
  <w:footnote w:id="186">
    <w:p w:rsidR="00FB7F86" w:rsidP="005F22C4" w:rsidRDefault="00FB7F86" w14:paraId="73A78477" w14:textId="3CAA3CB4">
      <w:pPr>
        <w:pStyle w:val="FootnoteText"/>
      </w:pPr>
      <w:r>
        <w:rPr>
          <w:rStyle w:val="FootnoteReference"/>
        </w:rPr>
        <w:footnoteRef/>
      </w:r>
      <w:r>
        <w:t xml:space="preserve"> </w:t>
      </w:r>
      <w:r w:rsidRPr="00E86647">
        <w:t>A</w:t>
      </w:r>
      <w:r>
        <w:t xml:space="preserve">dvanced </w:t>
      </w:r>
      <w:r w:rsidRPr="00E86647">
        <w:t>E</w:t>
      </w:r>
      <w:r>
        <w:t xml:space="preserve">nergy </w:t>
      </w:r>
      <w:r w:rsidRPr="00E86647">
        <w:t>E</w:t>
      </w:r>
      <w:r>
        <w:t>conomy</w:t>
      </w:r>
      <w:r w:rsidRPr="00E86647">
        <w:t xml:space="preserve"> Comments (</w:t>
      </w:r>
      <w:r>
        <w:t xml:space="preserve">2018 </w:t>
      </w:r>
      <w:r w:rsidRPr="00E86647">
        <w:t xml:space="preserve">RM18-9) at </w:t>
      </w:r>
      <w:r>
        <w:t>20-</w:t>
      </w:r>
      <w:r w:rsidRPr="00E86647">
        <w:t>2</w:t>
      </w:r>
      <w:r>
        <w:t xml:space="preserve">1 (asserting that resources in such states </w:t>
      </w:r>
      <w:r w:rsidRPr="0050233A">
        <w:t>have no clear path to interconnection to the distribution system and a limited ability to participate in any wholesale distributed energy resource aggregation program</w:t>
      </w:r>
      <w:r>
        <w:t>)</w:t>
      </w:r>
      <w:r w:rsidRPr="00E86647">
        <w:t>.</w:t>
      </w:r>
    </w:p>
  </w:footnote>
  <w:footnote w:id="187">
    <w:p w:rsidR="00FB7F86" w:rsidP="005F22C4" w:rsidRDefault="00FB7F86" w14:paraId="7C91B5F3" w14:textId="77777777">
      <w:pPr>
        <w:pStyle w:val="FootnoteText"/>
      </w:pPr>
      <w:r>
        <w:rPr>
          <w:rStyle w:val="FootnoteReference"/>
        </w:rPr>
        <w:footnoteRef/>
      </w:r>
      <w:r>
        <w:t xml:space="preserve"> </w:t>
      </w:r>
      <w:r w:rsidRPr="00E86647">
        <w:t>Eversource Comments (</w:t>
      </w:r>
      <w:r>
        <w:t xml:space="preserve">2018 </w:t>
      </w:r>
      <w:r w:rsidRPr="00E86647">
        <w:t>RM18-9) at 9-10.</w:t>
      </w:r>
    </w:p>
  </w:footnote>
  <w:footnote w:id="188">
    <w:p w:rsidR="00FB7F86" w:rsidP="005F22C4" w:rsidRDefault="00FB7F86" w14:paraId="7CFE1AB1" w14:textId="77777777">
      <w:pPr>
        <w:pStyle w:val="FootnoteText"/>
      </w:pPr>
      <w:r>
        <w:rPr>
          <w:rStyle w:val="FootnoteReference"/>
        </w:rPr>
        <w:footnoteRef/>
      </w:r>
      <w:r>
        <w:t xml:space="preserve"> </w:t>
      </w:r>
      <w:r w:rsidRPr="00E86647">
        <w:t>Icetec Comments (</w:t>
      </w:r>
      <w:r>
        <w:t xml:space="preserve">2018 </w:t>
      </w:r>
      <w:r w:rsidRPr="00E86647">
        <w:t>RM18-9) at 2-3, 11.</w:t>
      </w:r>
    </w:p>
  </w:footnote>
  <w:footnote w:id="189">
    <w:p w:rsidR="00FB7F86" w:rsidP="005F22C4" w:rsidRDefault="00FB7F86" w14:paraId="7F004957" w14:textId="77777777">
      <w:pPr>
        <w:pStyle w:val="FootnoteText"/>
      </w:pPr>
      <w:r>
        <w:rPr>
          <w:rStyle w:val="FootnoteReference"/>
        </w:rPr>
        <w:footnoteRef/>
      </w:r>
      <w:r>
        <w:t xml:space="preserve"> Advanced Energy Management Comments (2018 RM18-9) at 18; Advanced Energy Management Comments (2019 RM18-9) at 3.</w:t>
      </w:r>
    </w:p>
  </w:footnote>
  <w:footnote w:id="190">
    <w:p w:rsidR="00FB7F86" w:rsidP="005F22C4" w:rsidRDefault="00FB7F86" w14:paraId="490A92B4" w14:textId="77777777">
      <w:pPr>
        <w:pStyle w:val="FootnoteText"/>
      </w:pPr>
      <w:r>
        <w:rPr>
          <w:rStyle w:val="FootnoteReference"/>
        </w:rPr>
        <w:footnoteRef/>
      </w:r>
      <w:r>
        <w:t xml:space="preserve"> Advanced Energy Management Comments (2018 RM18-9) at 18-19; Advanced Energy Management Comments (2019 RM18-9) at 3.</w:t>
      </w:r>
    </w:p>
  </w:footnote>
  <w:footnote w:id="191">
    <w:p w:rsidR="00FB7F86" w:rsidP="005F22C4" w:rsidRDefault="00FB7F86" w14:paraId="35AAE639" w14:textId="77777777">
      <w:pPr>
        <w:pStyle w:val="FootnoteText"/>
      </w:pPr>
      <w:r>
        <w:rPr>
          <w:rStyle w:val="FootnoteReference"/>
        </w:rPr>
        <w:footnoteRef/>
      </w:r>
      <w:r>
        <w:t xml:space="preserve"> Advanced Energy Management Comments (2018 RM18-9) at 10.</w:t>
      </w:r>
    </w:p>
  </w:footnote>
  <w:footnote w:id="192">
    <w:p w:rsidR="00FB7F86" w:rsidP="00A20BD0" w:rsidRDefault="00FB7F86" w14:paraId="05D9448A" w14:textId="7279713B">
      <w:pPr>
        <w:pStyle w:val="FootnoteText"/>
      </w:pPr>
      <w:r>
        <w:rPr>
          <w:rStyle w:val="FootnoteReference"/>
        </w:rPr>
        <w:footnoteRef/>
      </w:r>
      <w:r>
        <w:t xml:space="preserve"> Stem Comments (2018 RM18-9)</w:t>
      </w:r>
      <w:r w:rsidRPr="00E86647">
        <w:t xml:space="preserve"> at </w:t>
      </w:r>
      <w:r>
        <w:t xml:space="preserve">9-10, </w:t>
      </w:r>
      <w:r w:rsidRPr="00E86647">
        <w:t>15</w:t>
      </w:r>
      <w:r w:rsidDel="00230085">
        <w:t>-16</w:t>
      </w:r>
      <w:r w:rsidRPr="00E86647">
        <w:t>.</w:t>
      </w:r>
    </w:p>
  </w:footnote>
  <w:footnote w:id="193">
    <w:p w:rsidR="00FB7F86" w:rsidP="005F22C4" w:rsidRDefault="00FB7F86" w14:paraId="06C03E2A" w14:textId="77777777">
      <w:pPr>
        <w:pStyle w:val="FootnoteText"/>
      </w:pPr>
      <w:r>
        <w:rPr>
          <w:rStyle w:val="FootnoteReference"/>
        </w:rPr>
        <w:footnoteRef/>
      </w:r>
      <w:r>
        <w:t xml:space="preserve"> Microgrid Resources Coalition Comments (2018 RM18-9) at 12.</w:t>
      </w:r>
    </w:p>
  </w:footnote>
  <w:footnote w:id="194">
    <w:p w:rsidR="00FB7F86" w:rsidRDefault="00FB7F86" w14:paraId="11F89CB8" w14:textId="39DDA59F">
      <w:pPr>
        <w:pStyle w:val="FootnoteText"/>
      </w:pPr>
      <w:r>
        <w:rPr>
          <w:rStyle w:val="FootnoteReference"/>
        </w:rPr>
        <w:footnoteRef/>
      </w:r>
      <w:r>
        <w:t xml:space="preserve"> </w:t>
      </w:r>
      <w:r w:rsidRPr="00756E60">
        <w:t>Public Interest Organizations Comments (2019 RM18-9) at 3.</w:t>
      </w:r>
    </w:p>
  </w:footnote>
  <w:footnote w:id="195">
    <w:p w:rsidR="00FB7F86" w:rsidRDefault="00FB7F86" w14:paraId="28BB1A48" w14:textId="78D94CB8">
      <w:pPr>
        <w:pStyle w:val="FootnoteText"/>
      </w:pPr>
      <w:r>
        <w:rPr>
          <w:rStyle w:val="FootnoteReference"/>
        </w:rPr>
        <w:footnoteRef/>
      </w:r>
      <w:r>
        <w:t xml:space="preserve"> </w:t>
      </w:r>
      <w:r>
        <w:rPr>
          <w:i/>
          <w:iCs/>
        </w:rPr>
        <w:t>Id.</w:t>
      </w:r>
      <w:r w:rsidRPr="00756E60">
        <w:t xml:space="preserve"> at 3-4.</w:t>
      </w:r>
    </w:p>
  </w:footnote>
  <w:footnote w:id="196">
    <w:p w:rsidR="00FB7F86" w:rsidP="00351253" w:rsidRDefault="00FB7F86" w14:paraId="5C0B117B" w14:textId="6C954203">
      <w:pPr>
        <w:pStyle w:val="FootnoteText"/>
      </w:pPr>
      <w:r>
        <w:rPr>
          <w:rStyle w:val="FootnoteReference"/>
        </w:rPr>
        <w:footnoteRef/>
      </w:r>
      <w:r>
        <w:t xml:space="preserve"> Icetec Comments (2018 RM18-9) at 7-9; </w:t>
      </w:r>
      <w:r w:rsidRPr="00DA0817">
        <w:t>UofD/Mensah</w:t>
      </w:r>
      <w:r>
        <w:t xml:space="preserve"> Comments (2019 RM18-9) at 2-5.</w:t>
      </w:r>
    </w:p>
  </w:footnote>
  <w:footnote w:id="197">
    <w:p w:rsidR="00FB7F86" w:rsidRDefault="00FB7F86" w14:paraId="5473FEED" w14:textId="4834FDCE">
      <w:pPr>
        <w:pStyle w:val="FootnoteText"/>
      </w:pPr>
      <w:r>
        <w:rPr>
          <w:rStyle w:val="FootnoteReference"/>
        </w:rPr>
        <w:footnoteRef/>
      </w:r>
      <w:r>
        <w:t xml:space="preserve"> Icetec Comments (2018 RM18-9) at 7-8.</w:t>
      </w:r>
    </w:p>
  </w:footnote>
  <w:footnote w:id="198">
    <w:p w:rsidR="00FB7F86" w:rsidP="00351253" w:rsidRDefault="00FB7F86" w14:paraId="2FAA8974" w14:textId="4361192B">
      <w:pPr>
        <w:pStyle w:val="FootnoteText"/>
      </w:pPr>
      <w:r>
        <w:rPr>
          <w:rStyle w:val="FootnoteReference"/>
        </w:rPr>
        <w:footnoteRef/>
      </w:r>
      <w:r>
        <w:t xml:space="preserve"> </w:t>
      </w:r>
      <w:r>
        <w:rPr>
          <w:i/>
          <w:iCs/>
        </w:rPr>
        <w:t>Id.</w:t>
      </w:r>
      <w:r>
        <w:t xml:space="preserve"> at 8.</w:t>
      </w:r>
    </w:p>
  </w:footnote>
  <w:footnote w:id="199">
    <w:p w:rsidR="00FB7F86" w:rsidP="00351253" w:rsidRDefault="00FB7F86" w14:paraId="3C6804F4" w14:textId="7F0F56DE">
      <w:pPr>
        <w:pStyle w:val="FootnoteText"/>
      </w:pPr>
      <w:r>
        <w:rPr>
          <w:rStyle w:val="FootnoteReference"/>
        </w:rPr>
        <w:footnoteRef/>
      </w:r>
      <w:r>
        <w:t xml:space="preserve"> </w:t>
      </w:r>
      <w:r>
        <w:rPr>
          <w:i/>
          <w:iCs/>
        </w:rPr>
        <w:t>Id.</w:t>
      </w:r>
      <w:r>
        <w:t xml:space="preserve"> at 8-9.</w:t>
      </w:r>
    </w:p>
  </w:footnote>
  <w:footnote w:id="200">
    <w:p w:rsidR="00FB7F86" w:rsidP="00351253" w:rsidRDefault="00FB7F86" w14:paraId="7D92C7FF" w14:textId="0A847119">
      <w:pPr>
        <w:pStyle w:val="FootnoteText"/>
      </w:pPr>
      <w:r>
        <w:rPr>
          <w:rStyle w:val="FootnoteReference"/>
        </w:rPr>
        <w:footnoteRef/>
      </w:r>
      <w:r>
        <w:t xml:space="preserve"> </w:t>
      </w:r>
      <w:r>
        <w:rPr>
          <w:i/>
          <w:iCs/>
        </w:rPr>
        <w:t>Id.</w:t>
      </w:r>
      <w:r>
        <w:t xml:space="preserve"> at 9.</w:t>
      </w:r>
    </w:p>
  </w:footnote>
  <w:footnote w:id="201">
    <w:p w:rsidR="00FB7F86" w:rsidP="002A7ACF" w:rsidRDefault="00FB7F86" w14:paraId="78DF4B91" w14:textId="77777777">
      <w:pPr>
        <w:pStyle w:val="FootnoteText"/>
      </w:pPr>
      <w:r>
        <w:rPr>
          <w:rStyle w:val="FootnoteReference"/>
        </w:rPr>
        <w:footnoteRef/>
      </w:r>
      <w:r>
        <w:t xml:space="preserve"> </w:t>
      </w:r>
      <w:r w:rsidRPr="00DA0817">
        <w:t>UofD/Mensah</w:t>
      </w:r>
      <w:r>
        <w:t xml:space="preserve"> Comments (2019 RM18-9) at 2, 4.</w:t>
      </w:r>
    </w:p>
  </w:footnote>
  <w:footnote w:id="202">
    <w:p w:rsidR="00FB7F86" w:rsidP="002A7ACF" w:rsidRDefault="00FB7F86" w14:paraId="3E9FA73E" w14:textId="37F5F3B1">
      <w:pPr>
        <w:pStyle w:val="FootnoteText"/>
      </w:pPr>
      <w:r>
        <w:rPr>
          <w:rStyle w:val="FootnoteReference"/>
        </w:rPr>
        <w:footnoteRef/>
      </w:r>
      <w:r>
        <w:t xml:space="preserve"> </w:t>
      </w:r>
      <w:r>
        <w:rPr>
          <w:i/>
          <w:iCs/>
        </w:rPr>
        <w:t>Id.</w:t>
      </w:r>
      <w:r>
        <w:t xml:space="preserve"> at 2.</w:t>
      </w:r>
    </w:p>
  </w:footnote>
  <w:footnote w:id="203">
    <w:p w:rsidR="00FB7F86" w:rsidP="00E13F77" w:rsidRDefault="00FB7F86" w14:paraId="7D90E682" w14:textId="3AE2EEBD">
      <w:pPr>
        <w:pStyle w:val="FootnoteText"/>
      </w:pPr>
      <w:r>
        <w:rPr>
          <w:rStyle w:val="FootnoteReference"/>
        </w:rPr>
        <w:footnoteRef/>
      </w:r>
      <w:r>
        <w:t xml:space="preserve"> </w:t>
      </w:r>
      <w:r>
        <w:rPr>
          <w:i/>
          <w:iCs/>
        </w:rPr>
        <w:t>Id.</w:t>
      </w:r>
      <w:r>
        <w:t xml:space="preserve"> at 4-5.</w:t>
      </w:r>
    </w:p>
  </w:footnote>
  <w:footnote w:id="204">
    <w:p w:rsidR="00FB7F86" w:rsidP="006B591B" w:rsidRDefault="00FB7F86" w14:paraId="22C3C3AB" w14:textId="6AD698D2">
      <w:pPr>
        <w:pStyle w:val="FootnoteText"/>
      </w:pPr>
      <w:r>
        <w:rPr>
          <w:rStyle w:val="FootnoteReference"/>
        </w:rPr>
        <w:footnoteRef/>
      </w:r>
      <w:r>
        <w:t xml:space="preserve"> </w:t>
      </w:r>
      <w:r>
        <w:rPr>
          <w:i/>
          <w:iCs/>
        </w:rPr>
        <w:t>Id.</w:t>
      </w:r>
      <w:r>
        <w:t xml:space="preserve"> at 5.</w:t>
      </w:r>
    </w:p>
  </w:footnote>
  <w:footnote w:id="205">
    <w:p w:rsidR="00FB7F86" w:rsidP="009F045D" w:rsidRDefault="00FB7F86" w14:paraId="43C9FCC5" w14:textId="499F280B">
      <w:pPr>
        <w:pStyle w:val="FootnoteText"/>
      </w:pPr>
      <w:r>
        <w:rPr>
          <w:rStyle w:val="FootnoteReference"/>
        </w:rPr>
        <w:footnoteRef/>
      </w:r>
      <w:r>
        <w:t xml:space="preserve"> </w:t>
      </w:r>
      <w:r>
        <w:rPr>
          <w:i/>
          <w:iCs/>
        </w:rPr>
        <w:t>Id.</w:t>
      </w:r>
      <w:r>
        <w:t xml:space="preserve"> at 5-6.</w:t>
      </w:r>
    </w:p>
  </w:footnote>
  <w:footnote w:id="206">
    <w:p w:rsidR="00FB7F86" w:rsidRDefault="00FB7F86" w14:paraId="1FFFDD15" w14:textId="31DAF819">
      <w:pPr>
        <w:pStyle w:val="FootnoteText"/>
      </w:pPr>
      <w:r>
        <w:rPr>
          <w:rStyle w:val="FootnoteReference"/>
        </w:rPr>
        <w:footnoteRef/>
      </w:r>
      <w:r>
        <w:t xml:space="preserve"> PJM Reply Comments (2019 RM18-9) at 4.</w:t>
      </w:r>
    </w:p>
  </w:footnote>
  <w:footnote w:id="207">
    <w:p w:rsidR="00FB7F86" w:rsidP="00747756" w:rsidRDefault="00FB7F86" w14:paraId="0DC172B9" w14:textId="77777777">
      <w:pPr>
        <w:pStyle w:val="FootnoteText"/>
      </w:pPr>
      <w:r>
        <w:rPr>
          <w:rStyle w:val="FootnoteReference"/>
        </w:rPr>
        <w:footnoteRef/>
      </w:r>
      <w:r>
        <w:t xml:space="preserve"> Advanced Energy Economy Comments (2019 RM18-9) at 1-2, 7-8.</w:t>
      </w:r>
    </w:p>
  </w:footnote>
  <w:footnote w:id="208">
    <w:p w:rsidR="00FB7F86" w:rsidP="00747756" w:rsidRDefault="00FB7F86" w14:paraId="515AE5F8" w14:textId="79D016BE">
      <w:pPr>
        <w:pStyle w:val="FootnoteText"/>
      </w:pPr>
      <w:r>
        <w:rPr>
          <w:rStyle w:val="FootnoteReference"/>
        </w:rPr>
        <w:footnoteRef/>
      </w:r>
      <w:r>
        <w:t xml:space="preserve"> </w:t>
      </w:r>
      <w:r>
        <w:rPr>
          <w:i/>
          <w:iCs/>
        </w:rPr>
        <w:t>Id.</w:t>
      </w:r>
      <w:r>
        <w:t xml:space="preserve"> at 2-3.</w:t>
      </w:r>
    </w:p>
  </w:footnote>
  <w:footnote w:id="209">
    <w:p w:rsidR="00FB7F86" w:rsidP="006B591B" w:rsidRDefault="00FB7F86" w14:paraId="286D23DC" w14:textId="77777777">
      <w:pPr>
        <w:pStyle w:val="FootnoteText"/>
      </w:pPr>
      <w:r>
        <w:rPr>
          <w:rStyle w:val="FootnoteReference"/>
        </w:rPr>
        <w:footnoteRef/>
      </w:r>
      <w:r>
        <w:t xml:space="preserve"> </w:t>
      </w:r>
      <w:r w:rsidRPr="00AC20F1">
        <w:rPr>
          <w:i/>
        </w:rPr>
        <w:t xml:space="preserve">See, </w:t>
      </w:r>
      <w:r w:rsidRPr="00AC20F1">
        <w:rPr>
          <w:i/>
          <w:iCs/>
        </w:rPr>
        <w:t>e.g.</w:t>
      </w:r>
      <w:r>
        <w:t>, Advanced Energy Economy Comments (2018 RM18-9) at 17; PJM Comments (2018 RM18-9) at 18-19; Stem Comments (2018 RM18-9) at 15.</w:t>
      </w:r>
    </w:p>
  </w:footnote>
  <w:footnote w:id="210">
    <w:p w:rsidR="00FB7F86" w:rsidRDefault="00FB7F86" w14:paraId="400EA8F8" w14:textId="3F0574AE">
      <w:pPr>
        <w:pStyle w:val="FootnoteText"/>
      </w:pPr>
      <w:r>
        <w:rPr>
          <w:rStyle w:val="FootnoteReference"/>
        </w:rPr>
        <w:footnoteRef/>
      </w:r>
      <w:r>
        <w:t xml:space="preserve"> Vice Chairman Place Comments (2018 RM18-9) at 2.</w:t>
      </w:r>
    </w:p>
  </w:footnote>
  <w:footnote w:id="211">
    <w:p w:rsidR="00FB7F86" w:rsidP="006B591B" w:rsidRDefault="00FB7F86" w14:paraId="05AD18A7" w14:textId="4F5A0237">
      <w:pPr>
        <w:pStyle w:val="FootnoteText"/>
      </w:pPr>
      <w:r>
        <w:rPr>
          <w:rStyle w:val="FootnoteReference"/>
        </w:rPr>
        <w:footnoteRef/>
      </w:r>
      <w:r>
        <w:t xml:space="preserve"> </w:t>
      </w:r>
      <w:r>
        <w:rPr>
          <w:i/>
          <w:iCs/>
        </w:rPr>
        <w:t>Id.</w:t>
      </w:r>
      <w:r>
        <w:t xml:space="preserve"> at 2-3.</w:t>
      </w:r>
    </w:p>
  </w:footnote>
  <w:footnote w:id="212">
    <w:p w:rsidR="00FB7F86" w:rsidRDefault="00FB7F86" w14:paraId="3AB7DBDF" w14:textId="786658E2">
      <w:pPr>
        <w:pStyle w:val="FootnoteText"/>
      </w:pPr>
      <w:r>
        <w:rPr>
          <w:rStyle w:val="FootnoteReference"/>
        </w:rPr>
        <w:footnoteRef/>
      </w:r>
      <w:r>
        <w:t xml:space="preserve"> </w:t>
      </w:r>
      <w:r w:rsidRPr="00756E60">
        <w:rPr>
          <w:lang w:bidi="en-US"/>
        </w:rPr>
        <w:t>FirstEnergy</w:t>
      </w:r>
      <w:r w:rsidRPr="00756E60">
        <w:t xml:space="preserve"> Comments (2019 RM18-9) at 4-5.</w:t>
      </w:r>
    </w:p>
  </w:footnote>
  <w:footnote w:id="213">
    <w:p w:rsidR="00FB7F86" w:rsidP="006B591B" w:rsidRDefault="00FB7F86" w14:paraId="5C976EEC" w14:textId="77777777">
      <w:pPr>
        <w:pStyle w:val="FootnoteText"/>
      </w:pPr>
      <w:r>
        <w:rPr>
          <w:rStyle w:val="FootnoteReference"/>
        </w:rPr>
        <w:footnoteRef/>
      </w:r>
      <w:r>
        <w:t xml:space="preserve"> EEI Comments (2018 RM18-9) at 14-16; Organization of MISO States Comments (2018 RM18-9) at 8-9; San Diego Gas &amp; Electric Comments (2018 RM18-9) at 5; SoCal Edison Comments (2018 RM18-9) at 11.</w:t>
      </w:r>
    </w:p>
  </w:footnote>
  <w:footnote w:id="214">
    <w:p w:rsidR="00FB7F86" w:rsidP="006B591B" w:rsidRDefault="00FB7F86" w14:paraId="38872CAD" w14:textId="77777777">
      <w:pPr>
        <w:pStyle w:val="FootnoteText"/>
      </w:pPr>
      <w:r>
        <w:rPr>
          <w:rStyle w:val="FootnoteReference"/>
        </w:rPr>
        <w:footnoteRef/>
      </w:r>
      <w:r>
        <w:t xml:space="preserve"> EEI Comments (2018 RM18-9) at 15-16; PJM Utilities Coalition Comments (2018 RM18-9) at 14; San Diego Gas &amp; Electric Comments (2018 RM18-9) at 5.</w:t>
      </w:r>
    </w:p>
  </w:footnote>
  <w:footnote w:id="215">
    <w:p w:rsidR="00FB7F86" w:rsidP="006B591B" w:rsidRDefault="00FB7F86" w14:paraId="34C9B3A1" w14:textId="77777777">
      <w:pPr>
        <w:pStyle w:val="FootnoteText"/>
      </w:pPr>
      <w:r>
        <w:rPr>
          <w:rStyle w:val="FootnoteReference"/>
        </w:rPr>
        <w:footnoteRef/>
      </w:r>
      <w:r>
        <w:t xml:space="preserve"> TAPS Comments (2018 RM18-9) at 12.</w:t>
      </w:r>
    </w:p>
  </w:footnote>
  <w:footnote w:id="216">
    <w:p w:rsidR="00FB7F86" w:rsidP="006B591B" w:rsidRDefault="00FB7F86" w14:paraId="38FCE59B" w14:textId="77777777">
      <w:pPr>
        <w:pStyle w:val="FootnoteText"/>
      </w:pPr>
      <w:r>
        <w:rPr>
          <w:rStyle w:val="FootnoteReference"/>
        </w:rPr>
        <w:footnoteRef/>
      </w:r>
      <w:r>
        <w:t xml:space="preserve"> NRECA Comments (2018 RM18-9) at 29, 30.</w:t>
      </w:r>
    </w:p>
  </w:footnote>
  <w:footnote w:id="217">
    <w:p w:rsidR="00FB7F86" w:rsidP="006B591B" w:rsidRDefault="00FB7F86" w14:paraId="59013509" w14:textId="3B951AEC">
      <w:pPr>
        <w:pStyle w:val="FootnoteText"/>
      </w:pPr>
      <w:r>
        <w:rPr>
          <w:rStyle w:val="FootnoteReference"/>
        </w:rPr>
        <w:footnoteRef/>
      </w:r>
      <w:r>
        <w:t xml:space="preserve"> Pacific Gas &amp; Electric Comments (2018 RM18-9) at 14-15, 18.</w:t>
      </w:r>
    </w:p>
  </w:footnote>
  <w:footnote w:id="218">
    <w:p w:rsidR="00FB7F86" w:rsidP="00CC795B" w:rsidRDefault="00FB7F86" w14:paraId="7867E020" w14:textId="77777777">
      <w:pPr>
        <w:pStyle w:val="FootnoteText"/>
      </w:pPr>
      <w:r>
        <w:rPr>
          <w:rStyle w:val="FootnoteReference"/>
        </w:rPr>
        <w:footnoteRef/>
      </w:r>
      <w:r>
        <w:t xml:space="preserve"> Advanced Energy Economy Comments (2018 RM18-9) at 18.</w:t>
      </w:r>
    </w:p>
  </w:footnote>
  <w:footnote w:id="219">
    <w:p w:rsidRPr="00D377EB" w:rsidR="00FB7F86" w:rsidP="00CC795B" w:rsidRDefault="00FB7F86" w14:paraId="440E33B2" w14:textId="77777777">
      <w:pPr>
        <w:pStyle w:val="FootnoteText"/>
      </w:pPr>
      <w:r w:rsidRPr="00D377EB">
        <w:rPr>
          <w:b/>
          <w:vertAlign w:val="superscript"/>
        </w:rPr>
        <w:footnoteRef/>
      </w:r>
      <w:r w:rsidRPr="00D377EB">
        <w:t xml:space="preserve"> Stem </w:t>
      </w:r>
      <w:r>
        <w:t>Comments (2018 RM18-9</w:t>
      </w:r>
      <w:r w:rsidRPr="00D377EB">
        <w:t>) at 15.</w:t>
      </w:r>
    </w:p>
  </w:footnote>
  <w:footnote w:id="220">
    <w:p w:rsidR="00FB7F86" w:rsidP="00CC795B" w:rsidRDefault="00FB7F86" w14:paraId="6FE2081B" w14:textId="4B13CB00">
      <w:pPr>
        <w:pStyle w:val="FootnoteText"/>
      </w:pPr>
      <w:r>
        <w:rPr>
          <w:rStyle w:val="FootnoteReference"/>
        </w:rPr>
        <w:footnoteRef/>
      </w:r>
      <w:r>
        <w:t xml:space="preserve"> </w:t>
      </w:r>
      <w:r>
        <w:rPr>
          <w:i/>
          <w:iCs/>
        </w:rPr>
        <w:t>Id.</w:t>
      </w:r>
      <w:r>
        <w:t xml:space="preserve"> at 16.</w:t>
      </w:r>
    </w:p>
  </w:footnote>
  <w:footnote w:id="221">
    <w:p w:rsidR="00FB7F86" w:rsidP="00CC795B" w:rsidRDefault="00FB7F86" w14:paraId="4D5DE8D9" w14:textId="77777777">
      <w:pPr>
        <w:pStyle w:val="FootnoteText"/>
      </w:pPr>
      <w:r>
        <w:rPr>
          <w:rStyle w:val="FootnoteReference"/>
        </w:rPr>
        <w:footnoteRef/>
      </w:r>
      <w:r>
        <w:t xml:space="preserve"> Advanced Energy Management Comments (2018 RM18-9) at 18; Icetec Comments (2018 RM18-9) at 18.</w:t>
      </w:r>
    </w:p>
  </w:footnote>
  <w:footnote w:id="222">
    <w:p w:rsidR="00FB7F86" w:rsidP="00CC795B" w:rsidRDefault="00FB7F86" w14:paraId="26BA9C2F" w14:textId="77777777">
      <w:pPr>
        <w:pStyle w:val="FootnoteText"/>
      </w:pPr>
      <w:r>
        <w:rPr>
          <w:rStyle w:val="FootnoteReference"/>
        </w:rPr>
        <w:footnoteRef/>
      </w:r>
      <w:r>
        <w:t xml:space="preserve"> Advanced Energy Management Comments (2018 RM18-9) at 18; Icetec Comments (2018 RM18-9) at 18-19.</w:t>
      </w:r>
    </w:p>
  </w:footnote>
  <w:footnote w:id="223">
    <w:p w:rsidRPr="00E76294" w:rsidR="00FB7F86" w:rsidP="00CC795B" w:rsidRDefault="00FB7F86" w14:paraId="60067843" w14:textId="77777777">
      <w:pPr>
        <w:pStyle w:val="FootnoteText"/>
        <w:rPr>
          <w:szCs w:val="26"/>
        </w:rPr>
      </w:pPr>
      <w:r w:rsidRPr="00E76294">
        <w:rPr>
          <w:rStyle w:val="FootnoteReference"/>
          <w:szCs w:val="26"/>
        </w:rPr>
        <w:footnoteRef/>
      </w:r>
      <w:r w:rsidRPr="00E76294">
        <w:rPr>
          <w:szCs w:val="26"/>
        </w:rPr>
        <w:t xml:space="preserve"> NRG </w:t>
      </w:r>
      <w:r>
        <w:rPr>
          <w:szCs w:val="26"/>
        </w:rPr>
        <w:t>Comments (2018 RM18-9</w:t>
      </w:r>
      <w:r w:rsidRPr="00E76294">
        <w:rPr>
          <w:szCs w:val="26"/>
        </w:rPr>
        <w:t xml:space="preserve">) at </w:t>
      </w:r>
      <w:r>
        <w:rPr>
          <w:szCs w:val="26"/>
        </w:rPr>
        <w:t>8-</w:t>
      </w:r>
      <w:r w:rsidRPr="00E76294">
        <w:rPr>
          <w:szCs w:val="26"/>
        </w:rPr>
        <w:t>9.</w:t>
      </w:r>
    </w:p>
  </w:footnote>
  <w:footnote w:id="224">
    <w:p w:rsidRPr="00D377EB" w:rsidR="00FB7F86" w:rsidP="00FC4A77" w:rsidRDefault="00FB7F86" w14:paraId="149A082F" w14:textId="515FA2BB">
      <w:pPr>
        <w:pStyle w:val="FootnoteText"/>
      </w:pPr>
      <w:r w:rsidRPr="00D377EB">
        <w:rPr>
          <w:b/>
          <w:vertAlign w:val="superscript"/>
        </w:rPr>
        <w:footnoteRef/>
      </w:r>
      <w:r w:rsidRPr="00D377EB">
        <w:t xml:space="preserve"> </w:t>
      </w:r>
      <w:r>
        <w:t>Vice Chairman</w:t>
      </w:r>
      <w:r w:rsidRPr="00D377EB">
        <w:t xml:space="preserve"> Place </w:t>
      </w:r>
      <w:r>
        <w:t>Comments (2018 RM18-9</w:t>
      </w:r>
      <w:r w:rsidRPr="00D377EB">
        <w:t xml:space="preserve">) at 3; APPA </w:t>
      </w:r>
      <w:r>
        <w:t>Comments (2018 RM18-9</w:t>
      </w:r>
      <w:r w:rsidRPr="00D377EB">
        <w:t xml:space="preserve">) at 21; EEI </w:t>
      </w:r>
      <w:r>
        <w:t>Comments (2018 RM18-9</w:t>
      </w:r>
      <w:r w:rsidRPr="00D377EB">
        <w:t xml:space="preserve">) at 20; New Jersey Board </w:t>
      </w:r>
      <w:r>
        <w:t>Comments (2018 RM18-9</w:t>
      </w:r>
      <w:r w:rsidRPr="00D377EB">
        <w:t>) at 4.</w:t>
      </w:r>
    </w:p>
  </w:footnote>
  <w:footnote w:id="225">
    <w:p w:rsidRPr="00D377EB" w:rsidR="00FB7F86" w:rsidP="00F43846" w:rsidRDefault="00FB7F86" w14:paraId="05087816" w14:textId="77777777">
      <w:pPr>
        <w:pStyle w:val="FootnoteText"/>
      </w:pPr>
      <w:r w:rsidRPr="00D377EB">
        <w:rPr>
          <w:b/>
          <w:vertAlign w:val="superscript"/>
        </w:rPr>
        <w:footnoteRef/>
      </w:r>
      <w:r w:rsidRPr="00D377EB">
        <w:t xml:space="preserve"> APPA </w:t>
      </w:r>
      <w:r>
        <w:t>Comments (2018 RM18-9</w:t>
      </w:r>
      <w:r w:rsidRPr="00D377EB">
        <w:t xml:space="preserve">) at 10; Indiana Commission </w:t>
      </w:r>
      <w:r>
        <w:t>Comments (2018 RM18-9</w:t>
      </w:r>
      <w:r w:rsidRPr="00D377EB">
        <w:t xml:space="preserve">) at 8; NRECA </w:t>
      </w:r>
      <w:r>
        <w:t>Comments (2018 RM18-9</w:t>
      </w:r>
      <w:r w:rsidRPr="00D377EB">
        <w:t>) at 12.</w:t>
      </w:r>
    </w:p>
  </w:footnote>
  <w:footnote w:id="226">
    <w:p w:rsidRPr="00D377EB" w:rsidR="00FB7F86" w:rsidP="00F43846" w:rsidRDefault="00FB7F86" w14:paraId="30F39F69" w14:textId="77777777">
      <w:pPr>
        <w:pStyle w:val="FootnoteText"/>
      </w:pPr>
      <w:r w:rsidRPr="00D377EB">
        <w:rPr>
          <w:b/>
          <w:vertAlign w:val="superscript"/>
        </w:rPr>
        <w:footnoteRef/>
      </w:r>
      <w:r w:rsidRPr="00D377EB">
        <w:t xml:space="preserve"> EEI </w:t>
      </w:r>
      <w:r>
        <w:t>Comments (2018 RM18-9</w:t>
      </w:r>
      <w:r w:rsidRPr="00D377EB">
        <w:t>) at 20.</w:t>
      </w:r>
    </w:p>
  </w:footnote>
  <w:footnote w:id="227">
    <w:p w:rsidRPr="00A50DBE" w:rsidR="00FB7F86" w:rsidP="00F43846" w:rsidRDefault="00FB7F86" w14:paraId="0D375A8F" w14:textId="77777777">
      <w:pPr>
        <w:pStyle w:val="FootnoteText"/>
        <w:rPr>
          <w:szCs w:val="26"/>
        </w:rPr>
      </w:pPr>
      <w:r w:rsidRPr="00A50DBE">
        <w:rPr>
          <w:rStyle w:val="FootnoteReference"/>
          <w:szCs w:val="26"/>
        </w:rPr>
        <w:footnoteRef/>
      </w:r>
      <w:r w:rsidRPr="00A50DBE">
        <w:rPr>
          <w:szCs w:val="26"/>
        </w:rPr>
        <w:t xml:space="preserve"> APPA </w:t>
      </w:r>
      <w:r>
        <w:rPr>
          <w:szCs w:val="26"/>
        </w:rPr>
        <w:t xml:space="preserve">Comments (2018 RM18-9) </w:t>
      </w:r>
      <w:r w:rsidRPr="00A50DBE">
        <w:rPr>
          <w:szCs w:val="26"/>
        </w:rPr>
        <w:t>at 10-1</w:t>
      </w:r>
      <w:r>
        <w:rPr>
          <w:szCs w:val="26"/>
        </w:rPr>
        <w:t>2</w:t>
      </w:r>
      <w:r w:rsidRPr="00A50DBE">
        <w:rPr>
          <w:szCs w:val="26"/>
        </w:rPr>
        <w:t xml:space="preserve">; EEI </w:t>
      </w:r>
      <w:r>
        <w:rPr>
          <w:szCs w:val="26"/>
        </w:rPr>
        <w:t xml:space="preserve">Comments (2018 RM18-9) </w:t>
      </w:r>
      <w:r w:rsidRPr="00A50DBE">
        <w:rPr>
          <w:szCs w:val="26"/>
        </w:rPr>
        <w:t>at 21.</w:t>
      </w:r>
    </w:p>
  </w:footnote>
  <w:footnote w:id="228">
    <w:p w:rsidRPr="00A50DBE" w:rsidR="00FB7F86" w:rsidP="00F43846" w:rsidRDefault="00FB7F86" w14:paraId="1F99EA81" w14:textId="77777777">
      <w:pPr>
        <w:pStyle w:val="FootnoteText"/>
        <w:rPr>
          <w:szCs w:val="26"/>
        </w:rPr>
      </w:pPr>
      <w:r w:rsidRPr="00A50DBE">
        <w:rPr>
          <w:rStyle w:val="FootnoteReference"/>
          <w:szCs w:val="26"/>
        </w:rPr>
        <w:footnoteRef/>
      </w:r>
      <w:r w:rsidRPr="00A50DBE">
        <w:rPr>
          <w:szCs w:val="26"/>
        </w:rPr>
        <w:t xml:space="preserve"> Indiana Commission </w:t>
      </w:r>
      <w:r>
        <w:rPr>
          <w:szCs w:val="26"/>
        </w:rPr>
        <w:t xml:space="preserve">Comments (2018 RM18-9) </w:t>
      </w:r>
      <w:r w:rsidRPr="00A50DBE">
        <w:rPr>
          <w:szCs w:val="26"/>
        </w:rPr>
        <w:t>at 8.</w:t>
      </w:r>
    </w:p>
  </w:footnote>
  <w:footnote w:id="229">
    <w:p w:rsidRPr="00D377EB" w:rsidR="00FB7F86" w:rsidP="00F43846" w:rsidRDefault="00FB7F86" w14:paraId="42BD6CC8" w14:textId="50C3F41F">
      <w:pPr>
        <w:pStyle w:val="FootnoteText"/>
      </w:pPr>
      <w:r w:rsidRPr="00D377EB">
        <w:rPr>
          <w:b/>
          <w:vertAlign w:val="superscript"/>
        </w:rPr>
        <w:footnoteRef/>
      </w:r>
      <w:r w:rsidRPr="00D377EB">
        <w:t xml:space="preserve"> Icetec </w:t>
      </w:r>
      <w:r>
        <w:t>Comments (2018 RM18-9</w:t>
      </w:r>
      <w:r w:rsidRPr="00D377EB">
        <w:t xml:space="preserve">) at 12 (citing </w:t>
      </w:r>
      <w:r w:rsidRPr="00D377EB">
        <w:rPr>
          <w:i/>
        </w:rPr>
        <w:t>PJM Interconnection, LLC</w:t>
      </w:r>
      <w:r w:rsidRPr="00D377EB">
        <w:t>, 149 FERC ¶</w:t>
      </w:r>
      <w:r>
        <w:t> </w:t>
      </w:r>
      <w:r w:rsidRPr="00D377EB">
        <w:t>61,185</w:t>
      </w:r>
      <w:r>
        <w:t>,</w:t>
      </w:r>
      <w:r w:rsidRPr="0015493D">
        <w:rPr>
          <w:i/>
        </w:rPr>
        <w:t xml:space="preserve"> </w:t>
      </w:r>
      <w:r w:rsidRPr="00D377EB">
        <w:rPr>
          <w:i/>
        </w:rPr>
        <w:t>order on reh’g</w:t>
      </w:r>
      <w:r w:rsidRPr="00D377EB">
        <w:t>, 151 FERC ¶</w:t>
      </w:r>
      <w:r>
        <w:t> </w:t>
      </w:r>
      <w:r w:rsidRPr="00D377EB">
        <w:t xml:space="preserve">61,231); SoCal Edison Comments </w:t>
      </w:r>
      <w:r>
        <w:rPr>
          <w:szCs w:val="26"/>
        </w:rPr>
        <w:t xml:space="preserve">(2018 RM18-9) </w:t>
      </w:r>
      <w:r w:rsidRPr="00D377EB">
        <w:t xml:space="preserve">at 6 (citing </w:t>
      </w:r>
      <w:r w:rsidRPr="00D377EB">
        <w:rPr>
          <w:i/>
        </w:rPr>
        <w:t>Detroit Edison Co.</w:t>
      </w:r>
      <w:r w:rsidRPr="00D377EB">
        <w:t>, 334 F.3d 48 (D.C. Cir. 2003)).</w:t>
      </w:r>
    </w:p>
  </w:footnote>
  <w:footnote w:id="230">
    <w:p w:rsidRPr="00D377EB" w:rsidR="00FB7F86" w:rsidP="00F43846" w:rsidRDefault="00FB7F86" w14:paraId="78030341" w14:textId="77777777">
      <w:pPr>
        <w:pStyle w:val="FootnoteText"/>
      </w:pPr>
      <w:r w:rsidRPr="00D377EB">
        <w:rPr>
          <w:b/>
          <w:vertAlign w:val="superscript"/>
        </w:rPr>
        <w:footnoteRef/>
      </w:r>
      <w:r w:rsidRPr="00D377EB">
        <w:t xml:space="preserve"> A</w:t>
      </w:r>
      <w:r>
        <w:t xml:space="preserve">dvanced </w:t>
      </w:r>
      <w:r w:rsidRPr="00D377EB">
        <w:t>E</w:t>
      </w:r>
      <w:r>
        <w:t xml:space="preserve">nergy </w:t>
      </w:r>
      <w:r w:rsidRPr="00D377EB">
        <w:t>E</w:t>
      </w:r>
      <w:r>
        <w:t>conomy</w:t>
      </w:r>
      <w:r w:rsidRPr="00D377EB">
        <w:t xml:space="preserve"> </w:t>
      </w:r>
      <w:r>
        <w:t>Comments (2018 RM18-9</w:t>
      </w:r>
      <w:r w:rsidRPr="00D377EB">
        <w:t>) at 18 (citing</w:t>
      </w:r>
      <w:r>
        <w:t xml:space="preserve"> Order No. 841, 162 FERC ¶ 61,127 at P 301)</w:t>
      </w:r>
      <w:r w:rsidRPr="00D377EB">
        <w:t xml:space="preserve">; Icetec </w:t>
      </w:r>
      <w:r>
        <w:t>Comments (2018 RM18-9</w:t>
      </w:r>
      <w:r w:rsidRPr="00D377EB">
        <w:t xml:space="preserve">) at 12; Stem </w:t>
      </w:r>
      <w:r>
        <w:t>Comments (2018 RM18-9</w:t>
      </w:r>
      <w:r w:rsidRPr="00D377EB">
        <w:t>) at 3.</w:t>
      </w:r>
    </w:p>
  </w:footnote>
  <w:footnote w:id="231">
    <w:p w:rsidR="00FB7F86" w:rsidP="00F43846" w:rsidRDefault="00FB7F86" w14:paraId="26A0C336" w14:textId="77777777">
      <w:pPr>
        <w:pStyle w:val="FootnoteText"/>
      </w:pPr>
      <w:r>
        <w:rPr>
          <w:rStyle w:val="FootnoteReference"/>
        </w:rPr>
        <w:footnoteRef/>
      </w:r>
      <w:r>
        <w:t xml:space="preserve"> NRECA Comments (2019 RM18-9) at 6-7.</w:t>
      </w:r>
    </w:p>
  </w:footnote>
  <w:footnote w:id="232">
    <w:p w:rsidR="00FB7F86" w:rsidP="00F43846" w:rsidRDefault="00FB7F86" w14:paraId="006DA5FE" w14:textId="1F2DA3EF">
      <w:pPr>
        <w:pStyle w:val="FootnoteText"/>
      </w:pPr>
      <w:r>
        <w:rPr>
          <w:rStyle w:val="FootnoteReference"/>
        </w:rPr>
        <w:footnoteRef/>
      </w:r>
      <w:r>
        <w:t xml:space="preserve"> </w:t>
      </w:r>
      <w:r>
        <w:rPr>
          <w:i/>
          <w:iCs/>
        </w:rPr>
        <w:t>Id.</w:t>
      </w:r>
      <w:r>
        <w:t xml:space="preserve"> at 7.</w:t>
      </w:r>
    </w:p>
  </w:footnote>
  <w:footnote w:id="233">
    <w:p w:rsidRPr="000D4984" w:rsidR="00FB7F86" w:rsidP="006B591B" w:rsidRDefault="00FB7F86" w14:paraId="6017F737" w14:textId="350E484F">
      <w:pPr>
        <w:pStyle w:val="FootnoteText"/>
      </w:pPr>
      <w:r w:rsidRPr="00A862CF">
        <w:rPr>
          <w:rStyle w:val="FootnoteReference"/>
        </w:rPr>
        <w:footnoteRef/>
      </w:r>
      <w:r w:rsidRPr="00A862CF">
        <w:t xml:space="preserve"> Order No. 2003, 104 FERC ¶ 61,103 at P 804; </w:t>
      </w:r>
      <w:r w:rsidRPr="00A862CF">
        <w:rPr>
          <w:i/>
          <w:iCs/>
        </w:rPr>
        <w:t xml:space="preserve">see also </w:t>
      </w:r>
      <w:r w:rsidRPr="00A862CF">
        <w:t>Order No. 845, 163 FERC ¶ 61,043</w:t>
      </w:r>
      <w:r w:rsidRPr="00A862CF">
        <w:rPr>
          <w:iCs/>
        </w:rPr>
        <w:t>.</w:t>
      </w:r>
    </w:p>
  </w:footnote>
  <w:footnote w:id="234">
    <w:p w:rsidR="00FB7F86" w:rsidP="006B591B" w:rsidRDefault="00FB7F86" w14:paraId="1273E9C0" w14:textId="40698EA1">
      <w:pPr>
        <w:pStyle w:val="FootnoteText"/>
      </w:pPr>
      <w:r>
        <w:rPr>
          <w:rStyle w:val="FootnoteReference"/>
        </w:rPr>
        <w:footnoteRef/>
      </w:r>
      <w:r>
        <w:t xml:space="preserve"> The Commission defined “Transmission System” as “[t]he facilities owned, controlled or operated by the Transmission Provider or the Transmission Owner that are used to provide transmission service under the Tariff.”  Order No. 2006, </w:t>
      </w:r>
      <w:r w:rsidRPr="00B479D1">
        <w:t>111 FERC ¶</w:t>
      </w:r>
      <w:r>
        <w:t> </w:t>
      </w:r>
      <w:r w:rsidRPr="00B479D1">
        <w:t>61,220</w:t>
      </w:r>
      <w:r>
        <w:t xml:space="preserve"> at P 6.</w:t>
      </w:r>
    </w:p>
  </w:footnote>
  <w:footnote w:id="235">
    <w:p w:rsidR="00FB7F86" w:rsidP="006B591B" w:rsidRDefault="00FB7F86" w14:paraId="03DB2C64" w14:textId="09D3788D">
      <w:pPr>
        <w:pStyle w:val="FootnoteText"/>
      </w:pPr>
      <w:r>
        <w:rPr>
          <w:rStyle w:val="FootnoteReference"/>
        </w:rPr>
        <w:footnoteRef/>
      </w:r>
      <w:r>
        <w:t xml:space="preserve"> The Commission defined “Distribution System” as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  </w:t>
      </w:r>
      <w:r>
        <w:rPr>
          <w:i/>
          <w:iCs/>
        </w:rPr>
        <w:t>Id.</w:t>
      </w:r>
      <w:r>
        <w:t xml:space="preserve"> P 7.</w:t>
      </w:r>
    </w:p>
  </w:footnote>
  <w:footnote w:id="236">
    <w:p w:rsidR="00FB7F86" w:rsidP="006B591B" w:rsidRDefault="00FB7F86" w14:paraId="0A42B04E" w14:textId="0D05F2B2">
      <w:pPr>
        <w:ind w:firstLine="720"/>
        <w:rPr>
          <w:szCs w:val="26"/>
        </w:rPr>
      </w:pPr>
      <w:r>
        <w:rPr>
          <w:rStyle w:val="FootnoteReference"/>
        </w:rPr>
        <w:footnoteRef/>
      </w:r>
      <w:r>
        <w:t xml:space="preserve"> Order No. 2003, </w:t>
      </w:r>
      <w:r w:rsidRPr="00CA08C7">
        <w:t>104 FERC ¶</w:t>
      </w:r>
      <w:r>
        <w:t> </w:t>
      </w:r>
      <w:r w:rsidRPr="00CA08C7">
        <w:t>61,103</w:t>
      </w:r>
      <w:r>
        <w:rPr>
          <w:szCs w:val="26"/>
        </w:rPr>
        <w:t xml:space="preserve"> at P 804; </w:t>
      </w:r>
      <w:r>
        <w:rPr>
          <w:i/>
          <w:szCs w:val="26"/>
        </w:rPr>
        <w:t>see</w:t>
      </w:r>
      <w:r w:rsidRPr="00DE70CD">
        <w:rPr>
          <w:szCs w:val="26"/>
        </w:rPr>
        <w:t xml:space="preserve"> </w:t>
      </w:r>
      <w:r>
        <w:rPr>
          <w:szCs w:val="26"/>
        </w:rPr>
        <w:t xml:space="preserve">Order No. 2006, </w:t>
      </w:r>
      <w:r w:rsidRPr="00B479D1">
        <w:t>111 FERC ¶</w:t>
      </w:r>
      <w:r>
        <w:t> </w:t>
      </w:r>
      <w:r w:rsidRPr="00B479D1">
        <w:t>61,220</w:t>
      </w:r>
      <w:r>
        <w:t xml:space="preserve"> at P 5</w:t>
      </w:r>
      <w:r w:rsidRPr="00A862CF">
        <w:t xml:space="preserve">; </w:t>
      </w:r>
      <w:r w:rsidRPr="00A862CF">
        <w:rPr>
          <w:i/>
          <w:iCs/>
        </w:rPr>
        <w:t xml:space="preserve">see also </w:t>
      </w:r>
      <w:r w:rsidRPr="00A862CF">
        <w:t>Order No. 845, 163 FERC ¶ 61,043</w:t>
      </w:r>
      <w:r>
        <w:t>.</w:t>
      </w:r>
    </w:p>
    <w:p w:rsidR="00FB7F86" w:rsidP="006B591B" w:rsidRDefault="00FB7F86" w14:paraId="3B7247C0" w14:textId="77777777">
      <w:pPr>
        <w:ind w:firstLine="720"/>
      </w:pPr>
    </w:p>
  </w:footnote>
  <w:footnote w:id="237">
    <w:p w:rsidR="00FB7F86" w:rsidP="006B591B" w:rsidRDefault="00FB7F86" w14:paraId="2A37590F" w14:textId="17488799">
      <w:pPr>
        <w:pStyle w:val="FootnoteText"/>
      </w:pPr>
      <w:r>
        <w:rPr>
          <w:rStyle w:val="FootnoteReference"/>
        </w:rPr>
        <w:footnoteRef/>
      </w:r>
      <w:r>
        <w:t xml:space="preserve"> Order No. 2003, </w:t>
      </w:r>
      <w:r w:rsidRPr="00CA08C7">
        <w:t>104 FERC ¶</w:t>
      </w:r>
      <w:r>
        <w:t> </w:t>
      </w:r>
      <w:r w:rsidRPr="00CA08C7">
        <w:t>61,103</w:t>
      </w:r>
      <w:r>
        <w:t xml:space="preserve"> at P 803</w:t>
      </w:r>
      <w:r w:rsidRPr="00A862CF">
        <w:t xml:space="preserve">; </w:t>
      </w:r>
      <w:r w:rsidRPr="00A862CF">
        <w:rPr>
          <w:i/>
          <w:iCs/>
        </w:rPr>
        <w:t xml:space="preserve">see also </w:t>
      </w:r>
      <w:r w:rsidRPr="00A862CF">
        <w:t>Order No. 845, 163 FERC ¶ 61,043</w:t>
      </w:r>
      <w:r>
        <w:t>.</w:t>
      </w:r>
    </w:p>
  </w:footnote>
  <w:footnote w:id="238">
    <w:p w:rsidR="00FB7F86" w:rsidP="006B591B" w:rsidRDefault="00FB7F86" w14:paraId="286052CB" w14:textId="2C16840D">
      <w:pPr>
        <w:pStyle w:val="FootnoteText"/>
      </w:pPr>
      <w:r>
        <w:rPr>
          <w:rStyle w:val="FootnoteReference"/>
        </w:rPr>
        <w:footnoteRef/>
      </w:r>
      <w:r>
        <w:t xml:space="preserve"> Order No. 2003, </w:t>
      </w:r>
      <w:r w:rsidRPr="00CA08C7">
        <w:t>104 FERC ¶</w:t>
      </w:r>
      <w:r>
        <w:t> </w:t>
      </w:r>
      <w:r w:rsidRPr="00CA08C7">
        <w:t>61,103</w:t>
      </w:r>
      <w:r>
        <w:t xml:space="preserve"> at P 697</w:t>
      </w:r>
      <w:r w:rsidRPr="00A862CF">
        <w:t xml:space="preserve">; </w:t>
      </w:r>
      <w:r w:rsidRPr="00A862CF">
        <w:rPr>
          <w:i/>
          <w:iCs/>
        </w:rPr>
        <w:t xml:space="preserve">see also </w:t>
      </w:r>
      <w:r w:rsidRPr="00A862CF">
        <w:t>Order No. 845, 163 FERC ¶ 61,043</w:t>
      </w:r>
      <w:r>
        <w:t>.</w:t>
      </w:r>
    </w:p>
  </w:footnote>
  <w:footnote w:id="239">
    <w:p w:rsidR="00FB7F86" w:rsidP="006B591B" w:rsidRDefault="00FB7F86" w14:paraId="1254EE05" w14:textId="0FE84923">
      <w:pPr>
        <w:pStyle w:val="FootnoteText"/>
      </w:pPr>
      <w:r>
        <w:rPr>
          <w:rStyle w:val="FootnoteReference"/>
        </w:rPr>
        <w:footnoteRef/>
      </w:r>
      <w:r>
        <w:t xml:space="preserve"> Order No. 2003-C, </w:t>
      </w:r>
      <w:r w:rsidRPr="001F7F95">
        <w:t>111 FERC ¶</w:t>
      </w:r>
      <w:r>
        <w:t> </w:t>
      </w:r>
      <w:r w:rsidRPr="001F7F95">
        <w:t>61,401</w:t>
      </w:r>
      <w:r>
        <w:t xml:space="preserve"> at P 53</w:t>
      </w:r>
      <w:r w:rsidRPr="00A862CF">
        <w:t xml:space="preserve">; </w:t>
      </w:r>
      <w:r w:rsidRPr="00A862CF">
        <w:rPr>
          <w:i/>
          <w:iCs/>
        </w:rPr>
        <w:t xml:space="preserve">see also </w:t>
      </w:r>
      <w:r w:rsidRPr="00A862CF">
        <w:t>Order No. 845, 163 FERC ¶ 61,043</w:t>
      </w:r>
      <w:r>
        <w:t xml:space="preserve">.  </w:t>
      </w:r>
    </w:p>
  </w:footnote>
  <w:footnote w:id="240">
    <w:p w:rsidRPr="000D4984" w:rsidR="00FB7F86" w:rsidP="006B591B" w:rsidRDefault="00FB7F86" w14:paraId="41195EB1" w14:textId="204B400F">
      <w:pPr>
        <w:pStyle w:val="FootnoteText"/>
      </w:pPr>
      <w:r>
        <w:rPr>
          <w:rStyle w:val="FootnoteReference"/>
        </w:rPr>
        <w:footnoteRef/>
      </w:r>
      <w:r>
        <w:t xml:space="preserve"> Order No. 2003, </w:t>
      </w:r>
      <w:r>
        <w:rPr>
          <w:szCs w:val="26"/>
        </w:rPr>
        <w:t>104 FERC ¶ 61,103 at P 804</w:t>
      </w:r>
      <w:r w:rsidRPr="00A862CF">
        <w:rPr>
          <w:szCs w:val="26"/>
        </w:rPr>
        <w:t xml:space="preserve">; </w:t>
      </w:r>
      <w:r w:rsidRPr="00A862CF">
        <w:rPr>
          <w:i/>
          <w:iCs/>
        </w:rPr>
        <w:t xml:space="preserve">see also </w:t>
      </w:r>
      <w:r w:rsidRPr="00A862CF">
        <w:t>Order No. 845, 163 FERC ¶ 61,043</w:t>
      </w:r>
      <w:r>
        <w:rPr>
          <w:szCs w:val="26"/>
        </w:rPr>
        <w:t>.</w:t>
      </w:r>
    </w:p>
  </w:footnote>
  <w:footnote w:id="241">
    <w:p w:rsidR="00FB7F86" w:rsidP="006B591B" w:rsidRDefault="00FB7F86" w14:paraId="05527CDA" w14:textId="69C87BB4">
      <w:r>
        <w:tab/>
      </w:r>
      <w:r>
        <w:rPr>
          <w:rStyle w:val="FootnoteReference"/>
        </w:rPr>
        <w:footnoteRef/>
      </w:r>
      <w:r>
        <w:t xml:space="preserve"> </w:t>
      </w:r>
      <w:r>
        <w:rPr>
          <w:i/>
        </w:rPr>
        <w:t>See</w:t>
      </w:r>
      <w:r w:rsidRPr="00DE70CD">
        <w:t xml:space="preserve"> </w:t>
      </w:r>
      <w:r>
        <w:t xml:space="preserve">Order No. 2003-C, </w:t>
      </w:r>
      <w:r w:rsidRPr="00DA6B19">
        <w:t>111 FERC ¶</w:t>
      </w:r>
      <w:r>
        <w:t> </w:t>
      </w:r>
      <w:r w:rsidRPr="00DA6B19">
        <w:t>61,40</w:t>
      </w:r>
      <w:r>
        <w:t xml:space="preserve">1 at P 53; Order No. 2006, </w:t>
      </w:r>
      <w:r w:rsidRPr="00B479D1">
        <w:t>111 FERC ¶</w:t>
      </w:r>
      <w:r>
        <w:t> </w:t>
      </w:r>
      <w:r w:rsidRPr="00B479D1">
        <w:t>61,220</w:t>
      </w:r>
      <w:r>
        <w:t xml:space="preserve"> at P 7</w:t>
      </w:r>
      <w:r>
        <w:rPr>
          <w:i/>
        </w:rPr>
        <w:t xml:space="preserve">; </w:t>
      </w:r>
      <w:r w:rsidRPr="00A862CF">
        <w:t>Order No. 845, 163 FERC ¶ 61,043;</w:t>
      </w:r>
      <w:r>
        <w:t xml:space="preserve"> </w:t>
      </w:r>
      <w:r>
        <w:rPr>
          <w:i/>
        </w:rPr>
        <w:t>see</w:t>
      </w:r>
      <w:r>
        <w:t xml:space="preserve"> </w:t>
      </w:r>
      <w:r>
        <w:rPr>
          <w:i/>
        </w:rPr>
        <w:t>also</w:t>
      </w:r>
      <w:r>
        <w:t xml:space="preserve"> </w:t>
      </w:r>
      <w:r>
        <w:rPr>
          <w:i/>
        </w:rPr>
        <w:t>PJM Interconnection, L.L.C.</w:t>
      </w:r>
      <w:r>
        <w:t>, 114 FERC ¶ 61,191, at P 14,</w:t>
      </w:r>
      <w:r w:rsidRPr="00A843A6">
        <w:rPr>
          <w:i/>
        </w:rPr>
        <w:t xml:space="preserve"> </w:t>
      </w:r>
      <w:r w:rsidRPr="00E40C67">
        <w:rPr>
          <w:i/>
        </w:rPr>
        <w:t>order on reh’g</w:t>
      </w:r>
      <w:r>
        <w:t>,</w:t>
      </w:r>
      <w:r>
        <w:rPr>
          <w:i/>
        </w:rPr>
        <w:t xml:space="preserve"> </w:t>
      </w:r>
      <w:r>
        <w:t>116 FERC ¶ 61,102 (2006).</w:t>
      </w:r>
    </w:p>
    <w:p w:rsidRPr="00BA10EF" w:rsidR="00FB7F86" w:rsidP="006B591B" w:rsidRDefault="00FB7F86" w14:paraId="488C74C9" w14:textId="77777777">
      <w:r>
        <w:t xml:space="preserve"> </w:t>
      </w:r>
    </w:p>
  </w:footnote>
  <w:footnote w:id="242">
    <w:p w:rsidR="00FB7F86" w:rsidP="006B591B" w:rsidRDefault="00FB7F86" w14:paraId="4F6928B2" w14:textId="07C83C85">
      <w:pPr>
        <w:pStyle w:val="FootnoteText"/>
      </w:pPr>
      <w:r>
        <w:rPr>
          <w:rStyle w:val="FootnoteReference"/>
        </w:rPr>
        <w:footnoteRef/>
      </w:r>
      <w:r>
        <w:t xml:space="preserve"> </w:t>
      </w:r>
      <w:r w:rsidRPr="00651D32">
        <w:rPr>
          <w:i/>
        </w:rPr>
        <w:t>See</w:t>
      </w:r>
      <w:r w:rsidRPr="00651D32">
        <w:t xml:space="preserve"> </w:t>
      </w:r>
      <w:r w:rsidRPr="00651D32">
        <w:rPr>
          <w:i/>
        </w:rPr>
        <w:t>Nat’l Ass’n of Regulatory Util. Comm’rs v. FERC</w:t>
      </w:r>
      <w:r w:rsidRPr="00651D32">
        <w:t xml:space="preserve">, 475 F.3d </w:t>
      </w:r>
      <w:r>
        <w:t>at</w:t>
      </w:r>
      <w:r w:rsidRPr="00651D32">
        <w:t xml:space="preserve"> 1280-82 (“By establishing standard agreements FERC has exercised its jurisdiction over the </w:t>
      </w:r>
      <w:r w:rsidRPr="00651D32">
        <w:rPr>
          <w:i/>
          <w:iCs/>
        </w:rPr>
        <w:t>terms</w:t>
      </w:r>
      <w:r w:rsidRPr="00651D32">
        <w:t xml:space="preserve"> of those relationships.”) (citing </w:t>
      </w:r>
      <w:r w:rsidRPr="00651D32">
        <w:rPr>
          <w:i/>
        </w:rPr>
        <w:t xml:space="preserve">Transmission Access Policy Study </w:t>
      </w:r>
      <w:r>
        <w:rPr>
          <w:i/>
        </w:rPr>
        <w:t>Grp.</w:t>
      </w:r>
      <w:r w:rsidRPr="00651D32">
        <w:rPr>
          <w:i/>
        </w:rPr>
        <w:t xml:space="preserve"> v. FERC</w:t>
      </w:r>
      <w:r w:rsidRPr="00651D32">
        <w:t xml:space="preserve">, 225 F.3d 667, 696 (D.C. Cir. 2000) (“FPA </w:t>
      </w:r>
      <w:r>
        <w:t>[section] </w:t>
      </w:r>
      <w:r w:rsidRPr="00651D32">
        <w:t>201 makes clear that </w:t>
      </w:r>
      <w:r w:rsidRPr="00651D32">
        <w:rPr>
          <w:i/>
          <w:iCs/>
        </w:rPr>
        <w:t>all aspects</w:t>
      </w:r>
      <w:r w:rsidRPr="00651D32">
        <w:t> of wholesale sales are subject to federal regulation, regardless of the facilities used.”)</w:t>
      </w:r>
      <w:r>
        <w:t>).</w:t>
      </w:r>
    </w:p>
  </w:footnote>
  <w:footnote w:id="243">
    <w:p w:rsidR="00FB7F86" w:rsidP="00CD651E" w:rsidRDefault="00FB7F86" w14:paraId="0850C340" w14:textId="1E63ECB2">
      <w:pPr>
        <w:pStyle w:val="FootnoteText"/>
      </w:pPr>
      <w:r>
        <w:rPr>
          <w:rStyle w:val="FootnoteReference"/>
        </w:rPr>
        <w:footnoteRef/>
      </w:r>
      <w:r>
        <w:t xml:space="preserve"> Order No. 2003-C, </w:t>
      </w:r>
      <w:r w:rsidRPr="001F7F95">
        <w:t>111 FERC ¶</w:t>
      </w:r>
      <w:r>
        <w:t> </w:t>
      </w:r>
      <w:r w:rsidRPr="001F7F95">
        <w:t>61,401</w:t>
      </w:r>
      <w:r>
        <w:t xml:space="preserve"> at</w:t>
      </w:r>
      <w:r w:rsidRPr="00285A4F">
        <w:t xml:space="preserve"> P</w:t>
      </w:r>
      <w:r>
        <w:t> </w:t>
      </w:r>
      <w:r w:rsidRPr="00285A4F">
        <w:t>51</w:t>
      </w:r>
      <w:r w:rsidRPr="00A862CF">
        <w:t xml:space="preserve">; </w:t>
      </w:r>
      <w:r w:rsidRPr="00A862CF">
        <w:rPr>
          <w:i/>
          <w:iCs/>
        </w:rPr>
        <w:t xml:space="preserve">see also </w:t>
      </w:r>
      <w:r w:rsidRPr="00A862CF">
        <w:t>Order No. 845, 163 FERC ¶ 61,043</w:t>
      </w:r>
      <w:r>
        <w:t>.</w:t>
      </w:r>
    </w:p>
  </w:footnote>
  <w:footnote w:id="244">
    <w:p w:rsidR="00FB7F86" w:rsidP="00CD651E" w:rsidRDefault="00FB7F86" w14:paraId="1D5F2F5D" w14:textId="1B647D67">
      <w:pPr>
        <w:pStyle w:val="FootnoteText"/>
      </w:pPr>
      <w:r>
        <w:rPr>
          <w:rStyle w:val="FootnoteReference"/>
        </w:rPr>
        <w:footnoteRef/>
      </w:r>
      <w:r>
        <w:t xml:space="preserve"> Order No. 2003-A, 106 FERC ¶ 61,220 at P 739; </w:t>
      </w:r>
      <w:r>
        <w:rPr>
          <w:i/>
        </w:rPr>
        <w:t>see also</w:t>
      </w:r>
      <w:r w:rsidRPr="00DE70CD">
        <w:t xml:space="preserve"> </w:t>
      </w:r>
      <w:r>
        <w:t xml:space="preserve">Order No. 2006, </w:t>
      </w:r>
      <w:r w:rsidRPr="00B479D1">
        <w:t>111 FERC ¶</w:t>
      </w:r>
      <w:r>
        <w:t> </w:t>
      </w:r>
      <w:r w:rsidRPr="00B479D1">
        <w:t>61,220</w:t>
      </w:r>
      <w:r>
        <w:t xml:space="preserve"> at P 8 (“Because of the limited applicability of this Final Rule, and because the majority of small generators interconnect with facilities that are not subject to an OATT, this Final Rule will not apply to most small generator interconnections.”)</w:t>
      </w:r>
      <w:r w:rsidRPr="00A862CF">
        <w:t>; Order No. 845, 163 FERC ¶ 61,043</w:t>
      </w:r>
      <w:r>
        <w:t>.</w:t>
      </w:r>
    </w:p>
  </w:footnote>
  <w:footnote w:id="245">
    <w:p w:rsidRPr="00631B0B" w:rsidR="00FB7F86" w:rsidP="006B591B" w:rsidRDefault="00FB7F86" w14:paraId="104B212A" w14:textId="6C3BE4DA">
      <w:pPr>
        <w:pStyle w:val="FootnoteText"/>
      </w:pPr>
      <w:r>
        <w:rPr>
          <w:rStyle w:val="FootnoteReference"/>
        </w:rPr>
        <w:footnoteRef/>
      </w:r>
      <w:r>
        <w:t xml:space="preserve"> </w:t>
      </w:r>
      <w:r>
        <w:rPr>
          <w:i/>
        </w:rPr>
        <w:t>Small Generator Interconnection Agreements &amp; Procedures</w:t>
      </w:r>
      <w:r>
        <w:t xml:space="preserve">, Order No. 792, </w:t>
      </w:r>
      <w:r w:rsidRPr="00B634E9">
        <w:t xml:space="preserve">145 FERC ¶ 61,159, at P 23 (2013), </w:t>
      </w:r>
      <w:r w:rsidRPr="00B634E9">
        <w:rPr>
          <w:i/>
        </w:rPr>
        <w:t>as modified, errata notice</w:t>
      </w:r>
      <w:r w:rsidRPr="00B634E9">
        <w:t xml:space="preserve">, 146 FERC ¶ 61,019, </w:t>
      </w:r>
      <w:r w:rsidRPr="00B634E9">
        <w:rPr>
          <w:i/>
        </w:rPr>
        <w:t>as modified, errata notice</w:t>
      </w:r>
      <w:r w:rsidRPr="00B634E9">
        <w:t xml:space="preserve">, 148 FERC ¶ 61,215, </w:t>
      </w:r>
      <w:r w:rsidRPr="00B634E9">
        <w:rPr>
          <w:i/>
        </w:rPr>
        <w:t>clarified</w:t>
      </w:r>
      <w:r w:rsidRPr="00B634E9">
        <w:t>, Order No. 792-A, 146 FERC</w:t>
      </w:r>
      <w:r w:rsidRPr="00631B0B">
        <w:t xml:space="preserve"> ¶</w:t>
      </w:r>
      <w:r>
        <w:t> </w:t>
      </w:r>
      <w:r w:rsidRPr="00631B0B">
        <w:t>61,214 (2014).</w:t>
      </w:r>
    </w:p>
  </w:footnote>
  <w:footnote w:id="246">
    <w:p w:rsidR="00FB7F86" w:rsidP="006B591B" w:rsidRDefault="00FB7F86" w14:paraId="2D43FC56" w14:textId="74157D3C">
      <w:pPr>
        <w:pStyle w:val="FootnoteText"/>
      </w:pPr>
      <w:r>
        <w:rPr>
          <w:rStyle w:val="FootnoteReference"/>
        </w:rPr>
        <w:footnoteRef/>
      </w:r>
      <w:r>
        <w:t xml:space="preserve"> </w:t>
      </w:r>
      <w:r>
        <w:rPr>
          <w:i/>
          <w:iCs/>
        </w:rPr>
        <w:t>See</w:t>
      </w:r>
      <w:r w:rsidRPr="00DE70CD">
        <w:t xml:space="preserve"> </w:t>
      </w:r>
      <w:r>
        <w:t xml:space="preserve">Public Interest Organizations Comments (2019 RM18-9) at 6-7.  </w:t>
      </w:r>
      <w:r w:rsidRPr="00B40DE0">
        <w:rPr>
          <w:i/>
        </w:rPr>
        <w:t>See also</w:t>
      </w:r>
      <w:r w:rsidRPr="00DE70CD">
        <w:t xml:space="preserve"> </w:t>
      </w:r>
      <w:r w:rsidRPr="008C171D">
        <w:rPr>
          <w:rFonts w:eastAsia="Times New Roman"/>
          <w:szCs w:val="26"/>
        </w:rPr>
        <w:t xml:space="preserve">EIA, </w:t>
      </w:r>
      <w:r w:rsidRPr="008C171D">
        <w:rPr>
          <w:rFonts w:eastAsia="Times New Roman"/>
          <w:i/>
          <w:szCs w:val="26"/>
        </w:rPr>
        <w:t>August 2019 Monthly Energy Review</w:t>
      </w:r>
      <w:r w:rsidRPr="008C171D">
        <w:rPr>
          <w:rFonts w:eastAsia="Times New Roman"/>
          <w:szCs w:val="26"/>
        </w:rPr>
        <w:t xml:space="preserve"> at Figure 7.2a,</w:t>
      </w:r>
      <w:r>
        <w:rPr>
          <w:rFonts w:eastAsia="Times New Roman"/>
          <w:szCs w:val="26"/>
        </w:rPr>
        <w:t xml:space="preserve"> </w:t>
      </w:r>
      <w:hyperlink w:history="1" r:id="rId3">
        <w:r w:rsidRPr="00490D57">
          <w:rPr>
            <w:rStyle w:val="Hyperlink"/>
          </w:rPr>
          <w:t>https://www.eia.gov/total</w:t>
        </w:r>
        <w:r w:rsidRPr="00490D57">
          <w:rPr>
            <w:rStyle w:val="Hyperlink"/>
          </w:rPr>
          <w:br/>
        </w:r>
        <w:r w:rsidRPr="00490D57">
          <w:rPr>
            <w:rStyle w:val="Hyperlink"/>
          </w:rPr>
          <w:t>energy/data/monthly</w:t>
        </w:r>
      </w:hyperlink>
      <w:r w:rsidRPr="00B634E9">
        <w:rPr>
          <w:rFonts w:eastAsia="Times New Roman"/>
          <w:szCs w:val="26"/>
        </w:rPr>
        <w:t>;</w:t>
      </w:r>
      <w:r w:rsidRPr="008C171D">
        <w:rPr>
          <w:rFonts w:eastAsia="Times New Roman"/>
          <w:szCs w:val="26"/>
        </w:rPr>
        <w:t xml:space="preserve"> </w:t>
      </w:r>
      <w:r w:rsidRPr="008C171D">
        <w:rPr>
          <w:rFonts w:eastAsia="Times New Roman"/>
          <w:szCs w:val="24"/>
        </w:rPr>
        <w:t xml:space="preserve">Office of Energy Projects, </w:t>
      </w:r>
      <w:r w:rsidRPr="008C171D">
        <w:rPr>
          <w:rFonts w:eastAsia="Times New Roman"/>
          <w:i/>
          <w:szCs w:val="24"/>
        </w:rPr>
        <w:t>Energy Infrastructure Update For July2019</w:t>
      </w:r>
      <w:r w:rsidRPr="008C171D">
        <w:rPr>
          <w:rFonts w:eastAsia="Times New Roman"/>
          <w:szCs w:val="24"/>
        </w:rPr>
        <w:t xml:space="preserve"> at 4 (July 2019), </w:t>
      </w:r>
      <w:hyperlink w:history="1" r:id="rId4">
        <w:r w:rsidRPr="00B634E9">
          <w:rPr>
            <w:rStyle w:val="Hyperlink"/>
          </w:rPr>
          <w:t>https://www.ferc.gov/legal/staff-reports/2019/july-energy-infrastructure.pdf</w:t>
        </w:r>
      </w:hyperlink>
      <w:r w:rsidRPr="00B634E9">
        <w:rPr>
          <w:rFonts w:eastAsia="Times New Roman"/>
          <w:color w:val="0000FF"/>
          <w:szCs w:val="24"/>
        </w:rPr>
        <w:t>)</w:t>
      </w:r>
      <w:r w:rsidRPr="008C171D">
        <w:rPr>
          <w:rFonts w:eastAsia="Times New Roman"/>
          <w:szCs w:val="24"/>
        </w:rPr>
        <w:t>.</w:t>
      </w:r>
    </w:p>
  </w:footnote>
  <w:footnote w:id="247">
    <w:p w:rsidRPr="002671F9" w:rsidR="00FB7F86" w:rsidP="006B591B" w:rsidRDefault="00FB7F86" w14:paraId="24342BF0" w14:textId="15C6E543">
      <w:pPr>
        <w:pStyle w:val="FootnoteText"/>
      </w:pPr>
      <w:r>
        <w:rPr>
          <w:rStyle w:val="FootnoteReference"/>
        </w:rPr>
        <w:footnoteRef/>
      </w:r>
      <w:r>
        <w:t xml:space="preserve"> Public Interest Organizations Comments (2019 RM18-9) at 9.</w:t>
      </w:r>
    </w:p>
  </w:footnote>
  <w:footnote w:id="248">
    <w:p w:rsidRPr="0005756D" w:rsidR="00FB7F86" w:rsidP="006B591B" w:rsidRDefault="00FB7F86" w14:paraId="00864E9D" w14:textId="0233277C">
      <w:pPr>
        <w:pStyle w:val="FootnoteText"/>
      </w:pPr>
      <w:r>
        <w:rPr>
          <w:rStyle w:val="FootnoteReference"/>
        </w:rPr>
        <w:footnoteRef/>
      </w:r>
      <w:r>
        <w:t xml:space="preserve"> </w:t>
      </w:r>
      <w:r>
        <w:rPr>
          <w:i/>
          <w:iCs/>
        </w:rPr>
        <w:t>Id.</w:t>
      </w:r>
      <w:r>
        <w:t xml:space="preserve"> at 5.</w:t>
      </w:r>
    </w:p>
  </w:footnote>
  <w:footnote w:id="249">
    <w:p w:rsidRPr="004B7421" w:rsidR="00FB7F86" w:rsidP="006B591B" w:rsidRDefault="00FB7F86" w14:paraId="19A43223" w14:textId="28448B31">
      <w:pPr>
        <w:pStyle w:val="FootnoteText"/>
      </w:pPr>
      <w:r>
        <w:rPr>
          <w:rStyle w:val="FootnoteReference"/>
        </w:rPr>
        <w:footnoteRef/>
      </w:r>
      <w:r>
        <w:t xml:space="preserve"> </w:t>
      </w:r>
      <w:r>
        <w:rPr>
          <w:i/>
        </w:rPr>
        <w:t>See</w:t>
      </w:r>
      <w:r w:rsidRPr="00DE70CD">
        <w:t xml:space="preserve"> </w:t>
      </w:r>
      <w:r>
        <w:t xml:space="preserve">Order No. 2003, </w:t>
      </w:r>
      <w:r w:rsidRPr="00CA08C7">
        <w:t>104 FERC ¶</w:t>
      </w:r>
      <w:r>
        <w:t> </w:t>
      </w:r>
      <w:r w:rsidRPr="00CA08C7">
        <w:t>61,103</w:t>
      </w:r>
      <w:r>
        <w:t xml:space="preserve"> at P 1; Order No. 2006, </w:t>
      </w:r>
      <w:r w:rsidRPr="00B479D1">
        <w:t>111 FERC ¶</w:t>
      </w:r>
      <w:r>
        <w:t> </w:t>
      </w:r>
      <w:r w:rsidRPr="00B479D1">
        <w:t>61,220</w:t>
      </w:r>
      <w:r>
        <w:t xml:space="preserve"> at P 1</w:t>
      </w:r>
      <w:r w:rsidRPr="00A862CF">
        <w:t>; Order No. 845, 163 FERC ¶ 61,043</w:t>
      </w:r>
      <w:r w:rsidR="001D6812">
        <w:t xml:space="preserve">; </w:t>
      </w:r>
      <w:r w:rsidRPr="001D6812" w:rsidR="001D6812">
        <w:rPr>
          <w:i/>
          <w:iCs/>
        </w:rPr>
        <w:t>see also New York v. FERC</w:t>
      </w:r>
      <w:r w:rsidR="001D6812">
        <w:t xml:space="preserve">, 535 </w:t>
      </w:r>
      <w:r w:rsidR="001B294B">
        <w:t>U.S. 1, 26-27 (2002) (upholding the Commission’s discretion to issue a tailored remedy wh</w:t>
      </w:r>
      <w:r w:rsidR="001D6812">
        <w:t>ere “the remedy it ordered constituted a sufficient response to the problem</w:t>
      </w:r>
      <w:r w:rsidR="001B294B">
        <w:t>s</w:t>
      </w:r>
      <w:r w:rsidR="001D6812">
        <w:t xml:space="preserve">…identified in the wholesale market”).  </w:t>
      </w:r>
      <w:r>
        <w:t xml:space="preserve">In issuing Order Nos. 2003 and 2006, the Commission acknowledged that their requirements would rarely apply to the interconnections of distributed energy resources.  </w:t>
      </w:r>
      <w:r>
        <w:rPr>
          <w:i/>
        </w:rPr>
        <w:t>See</w:t>
      </w:r>
      <w:r w:rsidRPr="00DE70CD">
        <w:t xml:space="preserve"> </w:t>
      </w:r>
      <w:r>
        <w:t>Order No. 2003-A, 106 FERC ¶ 61,220 at P 739;</w:t>
      </w:r>
      <w:r w:rsidRPr="00DE70CD">
        <w:t xml:space="preserve"> </w:t>
      </w:r>
      <w:r>
        <w:t xml:space="preserve">Order No. 2006, </w:t>
      </w:r>
      <w:r w:rsidRPr="00B479D1">
        <w:t>111 FERC ¶</w:t>
      </w:r>
      <w:r>
        <w:t> </w:t>
      </w:r>
      <w:r w:rsidRPr="00B479D1">
        <w:t>61,220</w:t>
      </w:r>
      <w:r>
        <w:t xml:space="preserve"> at P 8</w:t>
      </w:r>
      <w:r w:rsidRPr="00A862CF">
        <w:t>; Order No. 845, 163 FERC ¶ 61,043</w:t>
      </w:r>
      <w:r>
        <w:t>.</w:t>
      </w:r>
    </w:p>
  </w:footnote>
  <w:footnote w:id="250">
    <w:p w:rsidRPr="004B7421" w:rsidR="00FB7F86" w:rsidP="006B591B" w:rsidRDefault="00FB7F86" w14:paraId="4B2434C4" w14:textId="1A5D5125">
      <w:pPr>
        <w:pStyle w:val="FootnoteText"/>
      </w:pPr>
      <w:r>
        <w:rPr>
          <w:rStyle w:val="FootnoteReference"/>
        </w:rPr>
        <w:footnoteRef/>
      </w:r>
      <w:r>
        <w:t xml:space="preserve"> </w:t>
      </w:r>
      <w:r>
        <w:rPr>
          <w:i/>
        </w:rPr>
        <w:t>See</w:t>
      </w:r>
      <w:r>
        <w:t xml:space="preserve"> Order No. 2003, </w:t>
      </w:r>
      <w:r w:rsidRPr="00CA08C7">
        <w:t>104 FERC ¶</w:t>
      </w:r>
      <w:r>
        <w:t> </w:t>
      </w:r>
      <w:r w:rsidRPr="00CA08C7">
        <w:t>61,103</w:t>
      </w:r>
      <w:r>
        <w:t xml:space="preserve"> at PP 813-815; Order No. 2006, </w:t>
      </w:r>
      <w:r w:rsidRPr="00B479D1">
        <w:t xml:space="preserve">111 </w:t>
      </w:r>
      <w:r w:rsidRPr="00782D3C">
        <w:t>FERC ¶ 61,220 at PP 516-518; Order No. 845, 163 FERC ¶ 61,043.</w:t>
      </w:r>
      <w:r>
        <w:t xml:space="preserve">  </w:t>
      </w:r>
    </w:p>
  </w:footnote>
  <w:footnote w:id="251">
    <w:p w:rsidRPr="00AC2C0A" w:rsidR="00FB7F86" w:rsidP="006B591B" w:rsidRDefault="00FB7F86" w14:paraId="45C5887C" w14:textId="003A67D9">
      <w:pPr>
        <w:pStyle w:val="FootnoteText"/>
      </w:pPr>
      <w:r>
        <w:rPr>
          <w:rStyle w:val="FootnoteReference"/>
        </w:rPr>
        <w:footnoteRef/>
      </w:r>
      <w:r>
        <w:t xml:space="preserve"> </w:t>
      </w:r>
      <w:r>
        <w:rPr>
          <w:i/>
          <w:iCs/>
        </w:rPr>
        <w:t>See infra</w:t>
      </w:r>
      <w:r w:rsidRPr="00DE70CD">
        <w:t xml:space="preserve"> </w:t>
      </w:r>
      <w:r w:rsidRPr="00BC2632">
        <w:t>Section IV.I (Modifications to List of Resources in Aggregation).</w:t>
      </w:r>
    </w:p>
  </w:footnote>
  <w:footnote w:id="252">
    <w:p w:rsidR="00FB7F86" w:rsidRDefault="00FB7F86" w14:paraId="7C110553" w14:textId="0D1109B8">
      <w:pPr>
        <w:pStyle w:val="FootnoteText"/>
      </w:pPr>
      <w:r>
        <w:rPr>
          <w:rStyle w:val="FootnoteReference"/>
        </w:rPr>
        <w:footnoteRef/>
      </w:r>
      <w:r>
        <w:t xml:space="preserve"> However, as explained earlier, RTOs/ISOs may still need to study individually those distributed energy resources intending to individually participate in RTO/ISO markets rather than through aggregations.</w:t>
      </w:r>
    </w:p>
  </w:footnote>
  <w:footnote w:id="253">
    <w:p w:rsidRPr="00A50DBE" w:rsidR="00FB7F86" w:rsidP="00A34068" w:rsidRDefault="00FB7F86" w14:paraId="22871DCF" w14:textId="39F80642">
      <w:pPr>
        <w:pStyle w:val="FootnoteText"/>
      </w:pPr>
      <w:r w:rsidRPr="00A50DBE">
        <w:rPr>
          <w:rStyle w:val="FootnoteReference"/>
          <w:szCs w:val="26"/>
        </w:rPr>
        <w:footnoteRef/>
      </w:r>
      <w:r w:rsidRPr="00A50DBE">
        <w:t xml:space="preserve"> </w:t>
      </w:r>
      <w:r>
        <w:t xml:space="preserve">NOPR, </w:t>
      </w:r>
      <w:r w:rsidRPr="00102604">
        <w:rPr>
          <w:szCs w:val="26"/>
        </w:rPr>
        <w:t>157 FERC ¶</w:t>
      </w:r>
      <w:r>
        <w:rPr>
          <w:szCs w:val="26"/>
        </w:rPr>
        <w:t> </w:t>
      </w:r>
      <w:r w:rsidRPr="00102604">
        <w:rPr>
          <w:szCs w:val="26"/>
        </w:rPr>
        <w:t>61,121</w:t>
      </w:r>
      <w:r w:rsidRPr="004917DD">
        <w:rPr>
          <w:szCs w:val="26"/>
        </w:rPr>
        <w:t xml:space="preserve"> </w:t>
      </w:r>
      <w:r>
        <w:rPr>
          <w:szCs w:val="26"/>
        </w:rPr>
        <w:t>at</w:t>
      </w:r>
      <w:r w:rsidRPr="00A50DBE">
        <w:t xml:space="preserve"> </w:t>
      </w:r>
      <w:r>
        <w:t xml:space="preserve">PP 1 </w:t>
      </w:r>
      <w:r w:rsidRPr="00A50DBE">
        <w:t>n.2</w:t>
      </w:r>
      <w:r>
        <w:t>, 104</w:t>
      </w:r>
      <w:r w:rsidRPr="00A50DBE">
        <w:t>.</w:t>
      </w:r>
    </w:p>
  </w:footnote>
  <w:footnote w:id="254">
    <w:p w:rsidRPr="00AD1758" w:rsidR="00FB7F86" w:rsidP="00A34068" w:rsidRDefault="00FB7F86" w14:paraId="40C5A87A" w14:textId="71986D58">
      <w:pPr>
        <w:pStyle w:val="FootnoteText"/>
      </w:pPr>
      <w:r>
        <w:rPr>
          <w:rStyle w:val="FootnoteReference"/>
        </w:rPr>
        <w:footnoteRef/>
      </w:r>
      <w:r>
        <w:t xml:space="preserve"> </w:t>
      </w:r>
      <w:r>
        <w:rPr>
          <w:i/>
          <w:iCs/>
          <w:szCs w:val="26"/>
        </w:rPr>
        <w:t>Id.</w:t>
      </w:r>
      <w:r w:rsidRPr="00A50DBE">
        <w:t xml:space="preserve"> </w:t>
      </w:r>
      <w:r>
        <w:t>P 5 n.13.</w:t>
      </w:r>
    </w:p>
  </w:footnote>
  <w:footnote w:id="255">
    <w:p w:rsidRPr="00407052" w:rsidR="00FB7F86" w:rsidP="00A34068" w:rsidRDefault="00FB7F86" w14:paraId="72A3ABDB" w14:textId="77777777">
      <w:pPr>
        <w:pStyle w:val="FootnoteText"/>
      </w:pPr>
      <w:r w:rsidRPr="00407052">
        <w:rPr>
          <w:rStyle w:val="FootnoteReference"/>
        </w:rPr>
        <w:footnoteRef/>
      </w:r>
      <w:r w:rsidRPr="00407052">
        <w:t xml:space="preserve"> EEI </w:t>
      </w:r>
      <w:r>
        <w:t>Comments (RM16-23) at</w:t>
      </w:r>
      <w:r w:rsidRPr="00407052">
        <w:t xml:space="preserve"> </w:t>
      </w:r>
      <w:r>
        <w:t xml:space="preserve">16 </w:t>
      </w:r>
      <w:r w:rsidRPr="00407052">
        <w:t>n.23.</w:t>
      </w:r>
    </w:p>
  </w:footnote>
  <w:footnote w:id="256">
    <w:p w:rsidR="00FB7F86" w:rsidP="00A34068" w:rsidRDefault="00FB7F86" w14:paraId="0C04EB12" w14:textId="77777777">
      <w:pPr>
        <w:pStyle w:val="FootnoteText"/>
      </w:pPr>
      <w:r>
        <w:rPr>
          <w:rStyle w:val="FootnoteReference"/>
        </w:rPr>
        <w:footnoteRef/>
      </w:r>
      <w:r>
        <w:t xml:space="preserve"> </w:t>
      </w:r>
      <w:r w:rsidRPr="00716CDF">
        <w:rPr>
          <w:rFonts w:eastAsia="Cambria"/>
          <w:szCs w:val="26"/>
        </w:rPr>
        <w:t xml:space="preserve">AES Companies </w:t>
      </w:r>
      <w:r>
        <w:rPr>
          <w:rFonts w:eastAsia="Cambria"/>
          <w:szCs w:val="26"/>
        </w:rPr>
        <w:t>Comments (RM16-23) at</w:t>
      </w:r>
      <w:r w:rsidRPr="00716CDF">
        <w:rPr>
          <w:rFonts w:eastAsia="Cambria"/>
          <w:szCs w:val="26"/>
        </w:rPr>
        <w:t xml:space="preserve"> 40-41</w:t>
      </w:r>
      <w:r>
        <w:rPr>
          <w:rFonts w:eastAsia="Cambria"/>
          <w:szCs w:val="26"/>
        </w:rPr>
        <w:t>; NYISO Indicated Transmission Owners Comments (RM16-23) at 13</w:t>
      </w:r>
      <w:r w:rsidRPr="00716CDF">
        <w:rPr>
          <w:rFonts w:eastAsia="Cambria"/>
          <w:szCs w:val="26"/>
        </w:rPr>
        <w:t>.</w:t>
      </w:r>
    </w:p>
  </w:footnote>
  <w:footnote w:id="257">
    <w:p w:rsidR="00FB7F86" w:rsidRDefault="00FB7F86" w14:paraId="6CD3A653" w14:textId="20255D3A">
      <w:pPr>
        <w:pStyle w:val="FootnoteText"/>
      </w:pPr>
      <w:r w:rsidRPr="00C0389A">
        <w:rPr>
          <w:rStyle w:val="FootnoteReference"/>
        </w:rPr>
        <w:footnoteRef/>
      </w:r>
      <w:r w:rsidRPr="00887C45">
        <w:t xml:space="preserve"> </w:t>
      </w:r>
      <w:r>
        <w:t>NYISO Indicated Transmission Owner Comments (RM16-23) at 15.</w:t>
      </w:r>
    </w:p>
  </w:footnote>
  <w:footnote w:id="258">
    <w:p w:rsidRPr="00716CDF" w:rsidR="00FB7F86" w:rsidP="005640BF" w:rsidRDefault="00FB7F86" w14:paraId="76B5E1E3" w14:textId="6F041B58">
      <w:pPr>
        <w:pStyle w:val="FootnoteText"/>
        <w:rPr>
          <w:szCs w:val="26"/>
        </w:rPr>
      </w:pPr>
      <w:r w:rsidRPr="00716CDF">
        <w:rPr>
          <w:rStyle w:val="FootnoteReference"/>
          <w:szCs w:val="26"/>
        </w:rPr>
        <w:footnoteRef/>
      </w:r>
      <w:r w:rsidRPr="00716CDF">
        <w:rPr>
          <w:rFonts w:eastAsia="Cambria"/>
          <w:szCs w:val="26"/>
        </w:rPr>
        <w:t xml:space="preserve"> NYISO </w:t>
      </w:r>
      <w:r>
        <w:rPr>
          <w:rFonts w:eastAsia="Cambria"/>
          <w:szCs w:val="26"/>
        </w:rPr>
        <w:t>Comments (RM16-23) at</w:t>
      </w:r>
      <w:r w:rsidRPr="00716CDF">
        <w:rPr>
          <w:rFonts w:eastAsia="Cambria"/>
          <w:szCs w:val="26"/>
        </w:rPr>
        <w:t xml:space="preserve"> </w:t>
      </w:r>
      <w:r>
        <w:rPr>
          <w:rFonts w:eastAsia="Cambria"/>
          <w:szCs w:val="26"/>
        </w:rPr>
        <w:t xml:space="preserve">11 (stating it defines distributed energy resource as </w:t>
      </w:r>
      <w:r w:rsidRPr="008333DC">
        <w:rPr>
          <w:rFonts w:eastAsia="Cambria"/>
          <w:szCs w:val="26"/>
        </w:rPr>
        <w:t>“a resource, or a set of resources, typically located on an end-use customer’s premises that can provide wholesale market services but are usually operated for the purpose of supplying the customer’s electric load</w:t>
      </w:r>
      <w:r>
        <w:rPr>
          <w:rFonts w:eastAsia="Cambria"/>
          <w:szCs w:val="26"/>
        </w:rPr>
        <w:t>”)</w:t>
      </w:r>
      <w:r w:rsidRPr="00716CDF">
        <w:rPr>
          <w:rFonts w:eastAsia="Cambria"/>
          <w:szCs w:val="26"/>
        </w:rPr>
        <w:t>.</w:t>
      </w:r>
      <w:r>
        <w:rPr>
          <w:rFonts w:eastAsia="Cambria"/>
          <w:szCs w:val="26"/>
        </w:rPr>
        <w:t xml:space="preserve">  We note that, on </w:t>
      </w:r>
      <w:r w:rsidRPr="000C7B91">
        <w:rPr>
          <w:rFonts w:eastAsia="Cambria"/>
          <w:szCs w:val="26"/>
        </w:rPr>
        <w:t>January 23, 2020</w:t>
      </w:r>
      <w:r>
        <w:rPr>
          <w:rFonts w:eastAsia="Cambria"/>
          <w:szCs w:val="26"/>
        </w:rPr>
        <w:t xml:space="preserve">, the Commission accepted NYISO’s </w:t>
      </w:r>
      <w:r w:rsidRPr="00065F0A">
        <w:rPr>
          <w:rFonts w:eastAsia="Cambria"/>
          <w:szCs w:val="26"/>
        </w:rPr>
        <w:t>proposed tariff revisions related to aggregations</w:t>
      </w:r>
      <w:r>
        <w:rPr>
          <w:rFonts w:eastAsia="Cambria"/>
          <w:szCs w:val="26"/>
        </w:rPr>
        <w:t xml:space="preserve">, including its proposal to define Distributed Energy Resource as:  </w:t>
      </w:r>
      <w:r w:rsidRPr="005C7B22">
        <w:rPr>
          <w:rFonts w:eastAsia="Cambria"/>
          <w:szCs w:val="26"/>
        </w:rPr>
        <w:t xml:space="preserve">(i) a facility comprising two or more Resource types behind a single point of interconnection with an Injection Limit of 20 MW or less; or (ii) a Demand Side Resource; or (iii) a Generator with an Injection Limit of 20 MW or less, that is electrically located in the </w:t>
      </w:r>
      <w:r>
        <w:rPr>
          <w:rFonts w:eastAsia="Cambria"/>
          <w:szCs w:val="26"/>
        </w:rPr>
        <w:t>[</w:t>
      </w:r>
      <w:r w:rsidRPr="005C7B22">
        <w:rPr>
          <w:rFonts w:eastAsia="Cambria"/>
          <w:szCs w:val="26"/>
        </w:rPr>
        <w:t>N</w:t>
      </w:r>
      <w:r>
        <w:rPr>
          <w:rFonts w:eastAsia="Cambria"/>
          <w:szCs w:val="26"/>
        </w:rPr>
        <w:t xml:space="preserve">ew </w:t>
      </w:r>
      <w:r w:rsidRPr="005C7B22">
        <w:rPr>
          <w:rFonts w:eastAsia="Cambria"/>
          <w:szCs w:val="26"/>
        </w:rPr>
        <w:t>Y</w:t>
      </w:r>
      <w:r>
        <w:rPr>
          <w:rFonts w:eastAsia="Cambria"/>
          <w:szCs w:val="26"/>
        </w:rPr>
        <w:t xml:space="preserve">ork </w:t>
      </w:r>
      <w:r w:rsidRPr="005C7B22">
        <w:rPr>
          <w:rFonts w:eastAsia="Cambria"/>
          <w:szCs w:val="26"/>
        </w:rPr>
        <w:t>C</w:t>
      </w:r>
      <w:r>
        <w:rPr>
          <w:rFonts w:eastAsia="Cambria"/>
          <w:szCs w:val="26"/>
        </w:rPr>
        <w:t xml:space="preserve">ontrol </w:t>
      </w:r>
      <w:r w:rsidRPr="005C7B22">
        <w:rPr>
          <w:rFonts w:eastAsia="Cambria"/>
          <w:szCs w:val="26"/>
        </w:rPr>
        <w:t>A</w:t>
      </w:r>
      <w:r>
        <w:rPr>
          <w:rFonts w:eastAsia="Cambria"/>
          <w:szCs w:val="26"/>
        </w:rPr>
        <w:t>rea]</w:t>
      </w:r>
      <w:r w:rsidRPr="005C7B22">
        <w:rPr>
          <w:rFonts w:eastAsia="Cambria"/>
          <w:szCs w:val="26"/>
        </w:rPr>
        <w:t>.</w:t>
      </w:r>
      <w:r>
        <w:rPr>
          <w:rFonts w:eastAsia="Cambria"/>
          <w:szCs w:val="26"/>
        </w:rPr>
        <w:t xml:space="preserve">  </w:t>
      </w:r>
      <w:r>
        <w:rPr>
          <w:rFonts w:eastAsia="Cambria"/>
          <w:iCs/>
          <w:szCs w:val="26"/>
        </w:rPr>
        <w:t>NYISO Aggregation Order</w:t>
      </w:r>
      <w:r w:rsidRPr="00065F0A">
        <w:rPr>
          <w:rFonts w:eastAsia="Cambria"/>
          <w:szCs w:val="26"/>
        </w:rPr>
        <w:t>, 170 FERC ¶</w:t>
      </w:r>
      <w:r>
        <w:rPr>
          <w:rFonts w:eastAsia="Cambria"/>
          <w:szCs w:val="26"/>
        </w:rPr>
        <w:t> </w:t>
      </w:r>
      <w:r w:rsidRPr="00065F0A">
        <w:rPr>
          <w:rFonts w:eastAsia="Cambria"/>
          <w:szCs w:val="26"/>
        </w:rPr>
        <w:t>61,033</w:t>
      </w:r>
      <w:r>
        <w:rPr>
          <w:rFonts w:eastAsia="Cambria"/>
          <w:szCs w:val="26"/>
        </w:rPr>
        <w:t xml:space="preserve">; </w:t>
      </w:r>
      <w:r>
        <w:rPr>
          <w:rFonts w:eastAsia="Cambria"/>
          <w:i/>
          <w:iCs/>
          <w:szCs w:val="26"/>
        </w:rPr>
        <w:t>s</w:t>
      </w:r>
      <w:r w:rsidRPr="00AC20F1">
        <w:rPr>
          <w:rFonts w:eastAsia="Cambria"/>
          <w:i/>
          <w:iCs/>
          <w:szCs w:val="26"/>
        </w:rPr>
        <w:t>ee</w:t>
      </w:r>
      <w:r w:rsidRPr="00DE70CD">
        <w:rPr>
          <w:rFonts w:eastAsia="Cambria"/>
          <w:szCs w:val="26"/>
        </w:rPr>
        <w:t xml:space="preserve"> </w:t>
      </w:r>
      <w:r w:rsidRPr="00AC20F1">
        <w:rPr>
          <w:rFonts w:eastAsia="Cambria"/>
          <w:szCs w:val="26"/>
        </w:rPr>
        <w:t xml:space="preserve">NYISO, NYISO Tariffs, NYISO MST, </w:t>
      </w:r>
      <w:r>
        <w:rPr>
          <w:rFonts w:eastAsia="Cambria"/>
          <w:szCs w:val="26"/>
        </w:rPr>
        <w:t>Section </w:t>
      </w:r>
      <w:r w:rsidRPr="00AC20F1">
        <w:rPr>
          <w:rFonts w:eastAsia="Cambria"/>
          <w:szCs w:val="26"/>
        </w:rPr>
        <w:t>2.4 MST Definitions – D (15.0.0)</w:t>
      </w:r>
      <w:r w:rsidRPr="002D51B6">
        <w:rPr>
          <w:rFonts w:eastAsia="Cambria"/>
          <w:szCs w:val="26"/>
        </w:rPr>
        <w:t>.</w:t>
      </w:r>
      <w:r>
        <w:rPr>
          <w:rFonts w:eastAsia="Cambria"/>
          <w:szCs w:val="26"/>
        </w:rPr>
        <w:t xml:space="preserve"> </w:t>
      </w:r>
    </w:p>
  </w:footnote>
  <w:footnote w:id="259">
    <w:p w:rsidRPr="00716CDF" w:rsidR="00FB7F86" w:rsidP="00A34068" w:rsidRDefault="00FB7F86" w14:paraId="3AA7B30F" w14:textId="53C9DCD7">
      <w:pPr>
        <w:pStyle w:val="FootnoteText"/>
        <w:rPr>
          <w:szCs w:val="26"/>
        </w:rPr>
      </w:pPr>
      <w:r w:rsidRPr="00716CDF">
        <w:rPr>
          <w:rStyle w:val="FootnoteReference"/>
          <w:szCs w:val="26"/>
        </w:rPr>
        <w:footnoteRef/>
      </w:r>
      <w:r w:rsidRPr="00716CDF">
        <w:rPr>
          <w:rFonts w:eastAsia="Cambria"/>
          <w:szCs w:val="26"/>
        </w:rPr>
        <w:t xml:space="preserve"> NYISO </w:t>
      </w:r>
      <w:r>
        <w:rPr>
          <w:rFonts w:eastAsia="Cambria"/>
          <w:szCs w:val="26"/>
        </w:rPr>
        <w:t>Comments (RM16-23) at</w:t>
      </w:r>
      <w:r w:rsidRPr="00716CDF">
        <w:rPr>
          <w:rFonts w:eastAsia="Cambria"/>
          <w:szCs w:val="26"/>
        </w:rPr>
        <w:t xml:space="preserve"> </w:t>
      </w:r>
      <w:r>
        <w:rPr>
          <w:rFonts w:eastAsia="Cambria"/>
          <w:szCs w:val="26"/>
        </w:rPr>
        <w:t>11</w:t>
      </w:r>
      <w:r w:rsidRPr="00716CDF">
        <w:rPr>
          <w:rFonts w:eastAsia="Cambria"/>
          <w:szCs w:val="26"/>
        </w:rPr>
        <w:t>.</w:t>
      </w:r>
      <w:r>
        <w:rPr>
          <w:rFonts w:eastAsia="Cambria"/>
          <w:szCs w:val="26"/>
        </w:rPr>
        <w:t xml:space="preserve">  </w:t>
      </w:r>
    </w:p>
  </w:footnote>
  <w:footnote w:id="260">
    <w:p w:rsidRPr="00A50DBE" w:rsidR="00FB7F86" w:rsidP="00A34068" w:rsidRDefault="00FB7F86" w14:paraId="4E8D0803" w14:textId="77777777">
      <w:pPr>
        <w:pStyle w:val="FootnoteText"/>
        <w:rPr>
          <w:szCs w:val="26"/>
        </w:rPr>
      </w:pPr>
      <w:r w:rsidRPr="00A50DBE">
        <w:rPr>
          <w:rStyle w:val="FootnoteReference"/>
        </w:rPr>
        <w:footnoteRef/>
      </w:r>
      <w:r w:rsidRPr="00A50DBE">
        <w:rPr>
          <w:szCs w:val="26"/>
        </w:rPr>
        <w:t xml:space="preserve"> NRG </w:t>
      </w:r>
      <w:r>
        <w:rPr>
          <w:szCs w:val="26"/>
        </w:rPr>
        <w:t>Comments (2018 RM18-9)</w:t>
      </w:r>
      <w:r w:rsidRPr="00A50DBE">
        <w:rPr>
          <w:szCs w:val="26"/>
        </w:rPr>
        <w:t xml:space="preserve"> at 3.</w:t>
      </w:r>
    </w:p>
  </w:footnote>
  <w:footnote w:id="261">
    <w:p w:rsidRPr="00A50DBE" w:rsidR="00FB7F86" w:rsidP="00A34068" w:rsidRDefault="00FB7F86" w14:paraId="13793276" w14:textId="5FEC509D">
      <w:pPr>
        <w:pStyle w:val="FootnoteText"/>
        <w:rPr>
          <w:szCs w:val="26"/>
        </w:rPr>
      </w:pPr>
      <w:r w:rsidRPr="00A50DBE">
        <w:rPr>
          <w:rStyle w:val="FootnoteReference"/>
        </w:rPr>
        <w:footnoteRef/>
      </w:r>
      <w:r w:rsidRPr="00A50DBE">
        <w:rPr>
          <w:szCs w:val="26"/>
        </w:rPr>
        <w:t xml:space="preserve"> </w:t>
      </w:r>
      <w:r>
        <w:rPr>
          <w:i/>
          <w:iCs/>
          <w:szCs w:val="26"/>
        </w:rPr>
        <w:t>Id.</w:t>
      </w:r>
      <w:r w:rsidRPr="00A50DBE">
        <w:rPr>
          <w:szCs w:val="26"/>
        </w:rPr>
        <w:t xml:space="preserve"> at 5-6.</w:t>
      </w:r>
    </w:p>
  </w:footnote>
  <w:footnote w:id="262">
    <w:p w:rsidRPr="00407052" w:rsidR="00FB7F86" w:rsidP="00A34068" w:rsidRDefault="00FB7F86" w14:paraId="2B918467" w14:textId="77777777">
      <w:pPr>
        <w:pStyle w:val="FootnoteText"/>
      </w:pPr>
      <w:r w:rsidRPr="00407052">
        <w:rPr>
          <w:rStyle w:val="FootnoteReference"/>
        </w:rPr>
        <w:footnoteRef/>
      </w:r>
      <w:r w:rsidRPr="00407052">
        <w:t xml:space="preserve"> EEI </w:t>
      </w:r>
      <w:r>
        <w:t>Comments (RM16-23) at</w:t>
      </w:r>
      <w:r w:rsidRPr="00407052">
        <w:t xml:space="preserve"> </w:t>
      </w:r>
      <w:r>
        <w:t xml:space="preserve">16 </w:t>
      </w:r>
      <w:r w:rsidRPr="00407052">
        <w:t>n.23.</w:t>
      </w:r>
    </w:p>
  </w:footnote>
  <w:footnote w:id="263">
    <w:p w:rsidRPr="00407052" w:rsidR="00FB7F86" w:rsidP="00A34068" w:rsidRDefault="00FB7F86" w14:paraId="08912B5A" w14:textId="77777777">
      <w:pPr>
        <w:pStyle w:val="FootnoteText"/>
      </w:pPr>
      <w:r w:rsidRPr="00407052">
        <w:rPr>
          <w:rStyle w:val="FootnoteReference"/>
        </w:rPr>
        <w:footnoteRef/>
      </w:r>
      <w:r w:rsidRPr="00407052">
        <w:t xml:space="preserve"> Public Interest Organizations </w:t>
      </w:r>
      <w:r>
        <w:t>Comments (RM16-23) at</w:t>
      </w:r>
      <w:r w:rsidRPr="00407052">
        <w:t xml:space="preserve"> 1</w:t>
      </w:r>
      <w:r>
        <w:t>5</w:t>
      </w:r>
      <w:r w:rsidRPr="00407052">
        <w:t>-1</w:t>
      </w:r>
      <w:r>
        <w:t>6 &amp;</w:t>
      </w:r>
      <w:r w:rsidRPr="00407052">
        <w:t xml:space="preserve"> n</w:t>
      </w:r>
      <w:r>
        <w:t>n</w:t>
      </w:r>
      <w:r w:rsidRPr="00407052">
        <w:t>.4</w:t>
      </w:r>
      <w:r>
        <w:t>5</w:t>
      </w:r>
      <w:r w:rsidRPr="00407052">
        <w:t>-4</w:t>
      </w:r>
      <w:r>
        <w:t>6</w:t>
      </w:r>
      <w:r w:rsidRPr="00407052">
        <w:t>.</w:t>
      </w:r>
    </w:p>
  </w:footnote>
  <w:footnote w:id="264">
    <w:p w:rsidRPr="00407052" w:rsidR="00FB7F86" w:rsidP="00A34068" w:rsidRDefault="00FB7F86" w14:paraId="4438DD8F" w14:textId="77777777">
      <w:pPr>
        <w:pStyle w:val="FootnoteText"/>
      </w:pPr>
      <w:r w:rsidRPr="00407052">
        <w:rPr>
          <w:rStyle w:val="FootnoteReference"/>
        </w:rPr>
        <w:footnoteRef/>
      </w:r>
      <w:r w:rsidRPr="00407052">
        <w:t xml:space="preserve"> Advanced Energy Economy </w:t>
      </w:r>
      <w:r>
        <w:t>Comments (RM16-23) at</w:t>
      </w:r>
      <w:r w:rsidRPr="00407052">
        <w:t xml:space="preserve"> 21.</w:t>
      </w:r>
    </w:p>
  </w:footnote>
  <w:footnote w:id="265">
    <w:p w:rsidRPr="00407052" w:rsidR="00FB7F86" w:rsidP="00A34068" w:rsidRDefault="00FB7F86" w14:paraId="549883D3" w14:textId="77777777">
      <w:pPr>
        <w:pStyle w:val="FootnoteText"/>
      </w:pPr>
      <w:r w:rsidRPr="00407052">
        <w:rPr>
          <w:rStyle w:val="FootnoteReference"/>
        </w:rPr>
        <w:footnoteRef/>
      </w:r>
      <w:r w:rsidRPr="00407052">
        <w:t xml:space="preserve"> </w:t>
      </w:r>
      <w:r>
        <w:t xml:space="preserve">E4TheFuture Comments (RM16-23) at 1; </w:t>
      </w:r>
      <w:r w:rsidRPr="00407052">
        <w:t xml:space="preserve">Efficient Holdings </w:t>
      </w:r>
      <w:r>
        <w:t>Comments (RM16-23) at</w:t>
      </w:r>
      <w:r w:rsidRPr="00407052">
        <w:t xml:space="preserve"> 6-7</w:t>
      </w:r>
      <w:r>
        <w:t xml:space="preserve">; </w:t>
      </w:r>
      <w:r w:rsidRPr="00407052">
        <w:t xml:space="preserve">Public Interest Organizations </w:t>
      </w:r>
      <w:r>
        <w:t>Comments (RM16-23) at</w:t>
      </w:r>
      <w:r w:rsidRPr="00407052">
        <w:t xml:space="preserve"> 15-16.</w:t>
      </w:r>
    </w:p>
  </w:footnote>
  <w:footnote w:id="266">
    <w:p w:rsidR="00FB7F86" w:rsidP="00A34068" w:rsidRDefault="00FB7F86" w14:paraId="7A061D6D" w14:textId="77777777">
      <w:pPr>
        <w:pStyle w:val="FootnoteText"/>
      </w:pPr>
      <w:r>
        <w:rPr>
          <w:rStyle w:val="FootnoteReference"/>
        </w:rPr>
        <w:footnoteRef/>
      </w:r>
      <w:r>
        <w:t xml:space="preserve"> </w:t>
      </w:r>
      <w:r w:rsidRPr="00716CDF">
        <w:rPr>
          <w:rFonts w:eastAsia="Cambria"/>
          <w:szCs w:val="26"/>
        </w:rPr>
        <w:t xml:space="preserve">NYISO Indicated Transmission Owners </w:t>
      </w:r>
      <w:r>
        <w:rPr>
          <w:rFonts w:eastAsia="Cambria"/>
          <w:szCs w:val="26"/>
        </w:rPr>
        <w:t>Comments (RM16-23) at</w:t>
      </w:r>
      <w:r w:rsidRPr="00716CDF">
        <w:rPr>
          <w:rFonts w:eastAsia="Cambria"/>
          <w:szCs w:val="26"/>
        </w:rPr>
        <w:t xml:space="preserve"> 15.</w:t>
      </w:r>
    </w:p>
  </w:footnote>
  <w:footnote w:id="267">
    <w:p w:rsidR="00FB7F86" w:rsidP="00A34068" w:rsidRDefault="00FB7F86" w14:paraId="57A3CE64" w14:textId="624FDF59">
      <w:pPr>
        <w:pStyle w:val="FootnoteText"/>
      </w:pPr>
      <w:r>
        <w:rPr>
          <w:rStyle w:val="FootnoteReference"/>
        </w:rPr>
        <w:footnoteRef/>
      </w:r>
      <w:r>
        <w:t xml:space="preserve"> </w:t>
      </w:r>
      <w:r>
        <w:rPr>
          <w:rFonts w:eastAsia="Cambria"/>
          <w:i/>
          <w:iCs/>
          <w:szCs w:val="26"/>
        </w:rPr>
        <w:t>Id.</w:t>
      </w:r>
      <w:r>
        <w:rPr>
          <w:rFonts w:eastAsia="Cambria"/>
          <w:szCs w:val="26"/>
        </w:rPr>
        <w:t xml:space="preserve"> </w:t>
      </w:r>
      <w:r w:rsidRPr="001838B5">
        <w:rPr>
          <w:rFonts w:eastAsia="Cambria"/>
          <w:szCs w:val="26"/>
        </w:rPr>
        <w:t>at n.17.</w:t>
      </w:r>
    </w:p>
  </w:footnote>
  <w:footnote w:id="268">
    <w:p w:rsidRPr="00716CDF" w:rsidR="00FB7F86" w:rsidP="00A34068" w:rsidRDefault="00FB7F86" w14:paraId="4231AC78" w14:textId="77777777">
      <w:pPr>
        <w:pStyle w:val="FootnoteText"/>
        <w:rPr>
          <w:szCs w:val="26"/>
        </w:rPr>
      </w:pPr>
      <w:r w:rsidRPr="00716CDF">
        <w:rPr>
          <w:rStyle w:val="FootnoteReference"/>
          <w:szCs w:val="26"/>
        </w:rPr>
        <w:footnoteRef/>
      </w:r>
      <w:r w:rsidRPr="00716CDF">
        <w:rPr>
          <w:szCs w:val="26"/>
        </w:rPr>
        <w:t xml:space="preserve"> Advanced Energy Management </w:t>
      </w:r>
      <w:r>
        <w:rPr>
          <w:szCs w:val="26"/>
        </w:rPr>
        <w:t>Comments (RM16-23) at</w:t>
      </w:r>
      <w:r w:rsidRPr="00716CDF">
        <w:rPr>
          <w:szCs w:val="26"/>
        </w:rPr>
        <w:t xml:space="preserve"> 8-10.</w:t>
      </w:r>
    </w:p>
  </w:footnote>
  <w:footnote w:id="269">
    <w:p w:rsidR="00FB7F86" w:rsidP="00A34068" w:rsidRDefault="00FB7F86" w14:paraId="06B23EC8" w14:textId="3AC4C77E">
      <w:pPr>
        <w:pStyle w:val="FootnoteText"/>
      </w:pPr>
      <w:r>
        <w:rPr>
          <w:rStyle w:val="FootnoteReference"/>
        </w:rPr>
        <w:footnoteRef/>
      </w:r>
      <w:r>
        <w:t xml:space="preserve"> </w:t>
      </w:r>
      <w:r w:rsidRPr="00A50DBE">
        <w:rPr>
          <w:rFonts w:eastAsia="Calibri"/>
          <w:szCs w:val="26"/>
        </w:rPr>
        <w:t xml:space="preserve">Advanced Energy Economy </w:t>
      </w:r>
      <w:r>
        <w:rPr>
          <w:rFonts w:eastAsia="Calibri"/>
          <w:szCs w:val="26"/>
        </w:rPr>
        <w:t>Comments (RM16-23) at</w:t>
      </w:r>
      <w:r w:rsidRPr="00A50DBE">
        <w:rPr>
          <w:rFonts w:eastAsia="Calibri"/>
          <w:szCs w:val="26"/>
        </w:rPr>
        <w:t xml:space="preserve"> 50-51 (noting that existing market rules recognize a distinction between demand response and distributed energy resource aggregations</w:t>
      </w:r>
      <w:r>
        <w:rPr>
          <w:rFonts w:eastAsia="Calibri"/>
          <w:szCs w:val="26"/>
        </w:rPr>
        <w:t>, such as in</w:t>
      </w:r>
      <w:r w:rsidRPr="00A50DBE">
        <w:rPr>
          <w:rFonts w:eastAsia="Calibri"/>
          <w:szCs w:val="26"/>
        </w:rPr>
        <w:t xml:space="preserve"> CAISO</w:t>
      </w:r>
      <w:r>
        <w:rPr>
          <w:rFonts w:eastAsia="Calibri"/>
          <w:szCs w:val="26"/>
        </w:rPr>
        <w:t>, where there are</w:t>
      </w:r>
      <w:r w:rsidRPr="00A50DBE">
        <w:rPr>
          <w:rFonts w:eastAsia="Calibri"/>
          <w:szCs w:val="26"/>
        </w:rPr>
        <w:t xml:space="preserve"> separate programs for exporting distributed energy resources and non-exporting distributed energy resources that operate as demand response); </w:t>
      </w:r>
      <w:r w:rsidRPr="00A50DBE">
        <w:rPr>
          <w:rFonts w:eastAsia="Times New Roman"/>
          <w:color w:val="000000"/>
          <w:szCs w:val="26"/>
        </w:rPr>
        <w:t xml:space="preserve">Advanced Energy Management </w:t>
      </w:r>
      <w:r>
        <w:rPr>
          <w:rFonts w:eastAsia="Times New Roman"/>
          <w:color w:val="000000"/>
          <w:szCs w:val="26"/>
        </w:rPr>
        <w:t>Comments (RM16-23) at</w:t>
      </w:r>
      <w:r w:rsidRPr="00A50DBE">
        <w:rPr>
          <w:rFonts w:eastAsia="Times New Roman"/>
          <w:color w:val="000000"/>
          <w:szCs w:val="26"/>
        </w:rPr>
        <w:t xml:space="preserve"> 6</w:t>
      </w:r>
      <w:r>
        <w:rPr>
          <w:rFonts w:eastAsia="Times New Roman"/>
          <w:color w:val="000000"/>
          <w:szCs w:val="26"/>
        </w:rPr>
        <w:t xml:space="preserve"> (</w:t>
      </w:r>
      <w:r w:rsidRPr="00A50DBE">
        <w:rPr>
          <w:rFonts w:eastAsia="Times New Roman"/>
          <w:color w:val="000000"/>
          <w:szCs w:val="26"/>
        </w:rPr>
        <w:t xml:space="preserve">noting specifically the reforms in Section III.B.4 of the NOPR for </w:t>
      </w:r>
      <w:r>
        <w:rPr>
          <w:rFonts w:eastAsia="Times New Roman"/>
          <w:color w:val="000000"/>
          <w:szCs w:val="26"/>
        </w:rPr>
        <w:t>distributed energy resource</w:t>
      </w:r>
      <w:r w:rsidRPr="00A50DBE">
        <w:rPr>
          <w:rFonts w:eastAsia="Times New Roman"/>
          <w:color w:val="000000"/>
          <w:szCs w:val="26"/>
        </w:rPr>
        <w:t xml:space="preserve"> aggregators as it applies to </w:t>
      </w:r>
      <w:r w:rsidRPr="00C81103">
        <w:rPr>
          <w:rFonts w:eastAsia="Times New Roman"/>
          <w:color w:val="000000"/>
          <w:szCs w:val="26"/>
        </w:rPr>
        <w:t>commercial and industrial demand response</w:t>
      </w:r>
      <w:r w:rsidRPr="003F7219">
        <w:rPr>
          <w:rFonts w:eastAsia="Times New Roman"/>
          <w:color w:val="000000"/>
          <w:szCs w:val="26"/>
        </w:rPr>
        <w:t>)</w:t>
      </w:r>
      <w:r>
        <w:rPr>
          <w:rFonts w:eastAsia="Times New Roman"/>
          <w:color w:val="000000"/>
          <w:szCs w:val="26"/>
        </w:rPr>
        <w:t xml:space="preserve">; </w:t>
      </w:r>
      <w:r w:rsidRPr="00A50DBE">
        <w:rPr>
          <w:szCs w:val="26"/>
        </w:rPr>
        <w:t xml:space="preserve">IRC </w:t>
      </w:r>
      <w:r>
        <w:rPr>
          <w:szCs w:val="26"/>
        </w:rPr>
        <w:t>Comments (RM16-23) at</w:t>
      </w:r>
      <w:r w:rsidRPr="00A50DBE">
        <w:rPr>
          <w:szCs w:val="26"/>
        </w:rPr>
        <w:t xml:space="preserve"> 7</w:t>
      </w:r>
      <w:r>
        <w:rPr>
          <w:szCs w:val="26"/>
        </w:rPr>
        <w:t>;</w:t>
      </w:r>
      <w:r w:rsidRPr="00A50DBE">
        <w:rPr>
          <w:szCs w:val="26"/>
        </w:rPr>
        <w:t xml:space="preserve"> PJM </w:t>
      </w:r>
      <w:r>
        <w:rPr>
          <w:szCs w:val="26"/>
        </w:rPr>
        <w:t>Comments (RM16-23) at</w:t>
      </w:r>
      <w:r w:rsidRPr="00A50DBE">
        <w:rPr>
          <w:szCs w:val="26"/>
        </w:rPr>
        <w:t xml:space="preserve"> 6</w:t>
      </w:r>
      <w:r w:rsidRPr="003F7219">
        <w:rPr>
          <w:rFonts w:eastAsia="Times New Roman"/>
          <w:color w:val="000000"/>
          <w:szCs w:val="26"/>
        </w:rPr>
        <w:t>.</w:t>
      </w:r>
    </w:p>
  </w:footnote>
  <w:footnote w:id="270">
    <w:p w:rsidRPr="00A50DBE" w:rsidR="00FB7F86" w:rsidP="00A34068" w:rsidRDefault="00FB7F86" w14:paraId="7F1F2132" w14:textId="77777777">
      <w:pPr>
        <w:pStyle w:val="FootnoteText"/>
        <w:rPr>
          <w:szCs w:val="26"/>
        </w:rPr>
      </w:pPr>
      <w:r w:rsidRPr="00A50DBE">
        <w:rPr>
          <w:rStyle w:val="FootnoteReference"/>
          <w:szCs w:val="26"/>
        </w:rPr>
        <w:footnoteRef/>
      </w:r>
      <w:r w:rsidRPr="00A50DBE">
        <w:rPr>
          <w:szCs w:val="26"/>
        </w:rPr>
        <w:t xml:space="preserve"> </w:t>
      </w:r>
      <w:r w:rsidRPr="00A50DBE">
        <w:rPr>
          <w:rFonts w:eastAsia="Times New Roman"/>
          <w:color w:val="000000"/>
          <w:szCs w:val="26"/>
        </w:rPr>
        <w:t xml:space="preserve">Advanced Energy Management </w:t>
      </w:r>
      <w:r>
        <w:rPr>
          <w:rFonts w:eastAsia="Times New Roman"/>
          <w:color w:val="000000"/>
          <w:szCs w:val="26"/>
        </w:rPr>
        <w:t>Comments (RM16-23) at</w:t>
      </w:r>
      <w:r w:rsidRPr="00A50DBE">
        <w:rPr>
          <w:rFonts w:eastAsia="Times New Roman"/>
          <w:color w:val="000000"/>
          <w:szCs w:val="26"/>
        </w:rPr>
        <w:t xml:space="preserve"> 7.</w:t>
      </w:r>
    </w:p>
  </w:footnote>
  <w:footnote w:id="271">
    <w:p w:rsidRPr="00A50DBE" w:rsidR="00FB7F86" w:rsidP="00A34068" w:rsidRDefault="00FB7F86" w14:paraId="68497140" w14:textId="0D96C0B4">
      <w:pPr>
        <w:pStyle w:val="FootnoteText"/>
        <w:rPr>
          <w:szCs w:val="26"/>
        </w:rPr>
      </w:pPr>
      <w:r w:rsidRPr="00A50DBE">
        <w:rPr>
          <w:rStyle w:val="FootnoteReference"/>
          <w:szCs w:val="26"/>
        </w:rPr>
        <w:footnoteRef/>
      </w:r>
      <w:r w:rsidRPr="00A50DBE">
        <w:rPr>
          <w:szCs w:val="26"/>
        </w:rPr>
        <w:t xml:space="preserve"> </w:t>
      </w:r>
      <w:r>
        <w:rPr>
          <w:rFonts w:eastAsia="Times New Roman"/>
          <w:i/>
          <w:iCs/>
          <w:color w:val="000000"/>
          <w:szCs w:val="26"/>
        </w:rPr>
        <w:t>Id.</w:t>
      </w:r>
      <w:r>
        <w:rPr>
          <w:rFonts w:eastAsia="Times New Roman"/>
          <w:color w:val="000000"/>
          <w:szCs w:val="26"/>
        </w:rPr>
        <w:t xml:space="preserve"> at</w:t>
      </w:r>
      <w:r w:rsidRPr="00A50DBE">
        <w:rPr>
          <w:rFonts w:eastAsia="Times New Roman"/>
          <w:color w:val="000000"/>
          <w:szCs w:val="26"/>
        </w:rPr>
        <w:t xml:space="preserve"> </w:t>
      </w:r>
      <w:r>
        <w:rPr>
          <w:rFonts w:eastAsia="Times New Roman"/>
          <w:color w:val="000000"/>
          <w:szCs w:val="26"/>
        </w:rPr>
        <w:t>6-</w:t>
      </w:r>
      <w:r w:rsidRPr="00A50DBE">
        <w:rPr>
          <w:rFonts w:eastAsia="Times New Roman"/>
          <w:color w:val="000000"/>
          <w:szCs w:val="26"/>
        </w:rPr>
        <w:t>8.</w:t>
      </w:r>
    </w:p>
  </w:footnote>
  <w:footnote w:id="272">
    <w:p w:rsidRPr="00A50DBE" w:rsidR="00FB7F86" w:rsidP="00A34068" w:rsidRDefault="00FB7F86" w14:paraId="648A8847" w14:textId="77777777">
      <w:pPr>
        <w:pStyle w:val="FootnoteText"/>
        <w:rPr>
          <w:szCs w:val="26"/>
        </w:rPr>
      </w:pPr>
      <w:r w:rsidRPr="00A50DBE">
        <w:rPr>
          <w:rStyle w:val="FootnoteReference"/>
        </w:rPr>
        <w:footnoteRef/>
      </w:r>
      <w:r w:rsidRPr="00A50DBE">
        <w:rPr>
          <w:szCs w:val="26"/>
        </w:rPr>
        <w:t xml:space="preserve"> PJM </w:t>
      </w:r>
      <w:r>
        <w:rPr>
          <w:szCs w:val="26"/>
        </w:rPr>
        <w:t>Comments (2018 RM18-9)</w:t>
      </w:r>
      <w:r w:rsidRPr="00A50DBE">
        <w:rPr>
          <w:szCs w:val="26"/>
        </w:rPr>
        <w:t xml:space="preserve"> at </w:t>
      </w:r>
      <w:r>
        <w:rPr>
          <w:szCs w:val="26"/>
        </w:rPr>
        <w:t>1</w:t>
      </w:r>
      <w:r w:rsidRPr="00A50DBE">
        <w:rPr>
          <w:szCs w:val="26"/>
        </w:rPr>
        <w:t xml:space="preserve">. </w:t>
      </w:r>
    </w:p>
  </w:footnote>
  <w:footnote w:id="273">
    <w:p w:rsidRPr="00A50DBE" w:rsidR="00FB7F86" w:rsidP="00A34068" w:rsidRDefault="00FB7F86" w14:paraId="319AF871" w14:textId="16920BEA">
      <w:pPr>
        <w:pStyle w:val="FootnoteText"/>
        <w:rPr>
          <w:szCs w:val="26"/>
        </w:rPr>
      </w:pPr>
      <w:r w:rsidRPr="00A50DBE">
        <w:rPr>
          <w:rStyle w:val="FootnoteReference"/>
        </w:rPr>
        <w:footnoteRef/>
      </w:r>
      <w:r w:rsidRPr="00A50DBE">
        <w:rPr>
          <w:szCs w:val="26"/>
        </w:rPr>
        <w:t xml:space="preserve"> </w:t>
      </w:r>
      <w:r>
        <w:rPr>
          <w:i/>
          <w:iCs/>
          <w:szCs w:val="26"/>
        </w:rPr>
        <w:t>Id.</w:t>
      </w:r>
      <w:r w:rsidRPr="00A50DBE">
        <w:rPr>
          <w:szCs w:val="26"/>
        </w:rPr>
        <w:t xml:space="preserve"> at 2.</w:t>
      </w:r>
    </w:p>
  </w:footnote>
  <w:footnote w:id="274">
    <w:p w:rsidRPr="00716CDF" w:rsidR="00FB7F86" w:rsidP="00A34068" w:rsidRDefault="00FB7F86" w14:paraId="2139C911" w14:textId="77777777">
      <w:pPr>
        <w:pStyle w:val="FootnoteText"/>
        <w:rPr>
          <w:szCs w:val="26"/>
        </w:rPr>
      </w:pPr>
      <w:r w:rsidRPr="00716CDF">
        <w:rPr>
          <w:rStyle w:val="FootnoteReference"/>
          <w:szCs w:val="26"/>
        </w:rPr>
        <w:footnoteRef/>
      </w:r>
      <w:r w:rsidRPr="00716CDF">
        <w:rPr>
          <w:szCs w:val="26"/>
        </w:rPr>
        <w:t xml:space="preserve"> </w:t>
      </w:r>
      <w:r w:rsidRPr="00716CDF">
        <w:rPr>
          <w:color w:val="000000"/>
          <w:szCs w:val="26"/>
        </w:rPr>
        <w:t xml:space="preserve">E4TheFuture </w:t>
      </w:r>
      <w:r>
        <w:rPr>
          <w:color w:val="000000"/>
          <w:szCs w:val="26"/>
        </w:rPr>
        <w:t>Comments (RM16-23) at</w:t>
      </w:r>
      <w:r w:rsidRPr="00716CDF">
        <w:rPr>
          <w:color w:val="000000"/>
          <w:szCs w:val="26"/>
        </w:rPr>
        <w:t xml:space="preserve"> 2.  </w:t>
      </w:r>
    </w:p>
  </w:footnote>
  <w:footnote w:id="275">
    <w:p w:rsidRPr="00716CDF" w:rsidR="00FB7F86" w:rsidP="00A34068" w:rsidRDefault="00FB7F86" w14:paraId="40E345A0" w14:textId="77777777">
      <w:pPr>
        <w:pStyle w:val="FootnoteText"/>
        <w:rPr>
          <w:szCs w:val="26"/>
        </w:rPr>
      </w:pPr>
      <w:r w:rsidRPr="00716CDF">
        <w:rPr>
          <w:rStyle w:val="FootnoteReference"/>
          <w:szCs w:val="26"/>
        </w:rPr>
        <w:footnoteRef/>
      </w:r>
      <w:r w:rsidRPr="00716CDF">
        <w:rPr>
          <w:rFonts w:eastAsia="Cambria"/>
          <w:color w:val="000000"/>
          <w:szCs w:val="26"/>
        </w:rPr>
        <w:t xml:space="preserve"> Efficient Holdings </w:t>
      </w:r>
      <w:r>
        <w:rPr>
          <w:rFonts w:eastAsia="Cambria"/>
          <w:color w:val="000000"/>
          <w:szCs w:val="26"/>
        </w:rPr>
        <w:t>Comments (RM16-23) at</w:t>
      </w:r>
      <w:r w:rsidRPr="00716CDF">
        <w:rPr>
          <w:rFonts w:eastAsia="Cambria"/>
          <w:color w:val="000000"/>
          <w:szCs w:val="26"/>
        </w:rPr>
        <w:t xml:space="preserve"> 7.</w:t>
      </w:r>
      <w:r w:rsidRPr="00716CDF">
        <w:rPr>
          <w:szCs w:val="26"/>
        </w:rPr>
        <w:t xml:space="preserve"> </w:t>
      </w:r>
    </w:p>
  </w:footnote>
  <w:footnote w:id="276">
    <w:p w:rsidR="00FB7F86" w:rsidRDefault="00FB7F86" w14:paraId="3FE02E4A" w14:textId="2D11D7A6">
      <w:pPr>
        <w:pStyle w:val="FootnoteText"/>
      </w:pPr>
      <w:r>
        <w:rPr>
          <w:rStyle w:val="FootnoteReference"/>
        </w:rPr>
        <w:footnoteRef/>
      </w:r>
      <w:r>
        <w:t xml:space="preserve"> MISO Transmission Owners Comments (RM16-23) at 17-18.</w:t>
      </w:r>
    </w:p>
  </w:footnote>
  <w:footnote w:id="277">
    <w:p w:rsidRPr="00A50DBE" w:rsidR="00FB7F86" w:rsidP="00A34068" w:rsidRDefault="00FB7F86" w14:paraId="2EC47B13" w14:textId="77777777">
      <w:pPr>
        <w:pStyle w:val="FootnoteText"/>
        <w:rPr>
          <w:szCs w:val="26"/>
        </w:rPr>
      </w:pPr>
      <w:r w:rsidRPr="00A50DBE">
        <w:rPr>
          <w:rStyle w:val="FootnoteReference"/>
          <w:szCs w:val="26"/>
        </w:rPr>
        <w:footnoteRef/>
      </w:r>
      <w:r w:rsidRPr="00A50DBE">
        <w:rPr>
          <w:szCs w:val="26"/>
        </w:rPr>
        <w:t xml:space="preserve"> </w:t>
      </w:r>
      <w:r w:rsidRPr="00A50DBE">
        <w:rPr>
          <w:rFonts w:eastAsia="Times New Roman"/>
          <w:color w:val="000000"/>
          <w:szCs w:val="26"/>
        </w:rPr>
        <w:t xml:space="preserve">Advanced Energy Management </w:t>
      </w:r>
      <w:r>
        <w:rPr>
          <w:rFonts w:eastAsia="Times New Roman"/>
          <w:color w:val="000000"/>
          <w:szCs w:val="26"/>
        </w:rPr>
        <w:t>Comments (RM16-23) at</w:t>
      </w:r>
      <w:r w:rsidRPr="00A50DBE">
        <w:rPr>
          <w:rFonts w:eastAsia="Times New Roman"/>
          <w:color w:val="000000"/>
          <w:szCs w:val="26"/>
        </w:rPr>
        <w:t xml:space="preserve"> 6.  </w:t>
      </w:r>
    </w:p>
  </w:footnote>
  <w:footnote w:id="278">
    <w:p w:rsidR="00FB7F86" w:rsidP="003A7282" w:rsidRDefault="00FB7F86" w14:paraId="37FF81E7" w14:textId="044C09C8">
      <w:pPr>
        <w:pStyle w:val="FootnoteText"/>
      </w:pPr>
      <w:r>
        <w:rPr>
          <w:rStyle w:val="FootnoteReference"/>
        </w:rPr>
        <w:footnoteRef/>
      </w:r>
      <w:r>
        <w:t xml:space="preserve"> As discussed further in </w:t>
      </w:r>
      <w:r w:rsidRPr="003E69B9">
        <w:t xml:space="preserve">Section IV.C.2 </w:t>
      </w:r>
      <w:r>
        <w:t xml:space="preserve">below, we find that RTOs/ISOs may not </w:t>
      </w:r>
      <w:r w:rsidRPr="007011D0">
        <w:t>prohibit any particular type of distributed energy resource technology from participating in distributed energy resource aggregations</w:t>
      </w:r>
      <w:r>
        <w:t xml:space="preserve">.  We note that the types of thermal storage described by EEI and Public Interest Organizations may qualify as demand response or energy efficiency resources under RTO/ISO market rules. </w:t>
      </w:r>
    </w:p>
  </w:footnote>
  <w:footnote w:id="279">
    <w:p w:rsidRPr="00A50DBE" w:rsidR="00FB7F86" w:rsidP="00C85C59" w:rsidRDefault="00FB7F86" w14:paraId="33C7472C" w14:textId="5ED45028">
      <w:pPr>
        <w:pStyle w:val="FootnoteText"/>
      </w:pPr>
      <w:r w:rsidRPr="00A50DBE">
        <w:rPr>
          <w:rStyle w:val="FootnoteReference"/>
        </w:rPr>
        <w:footnoteRef/>
      </w:r>
      <w:r w:rsidRPr="00A50DBE">
        <w:t xml:space="preserve"> </w:t>
      </w:r>
      <w:r w:rsidRPr="00A50DBE">
        <w:rPr>
          <w:i/>
        </w:rPr>
        <w:t>See</w:t>
      </w:r>
      <w:r w:rsidRPr="00A50DBE">
        <w:t xml:space="preserve"> </w:t>
      </w:r>
      <w:r>
        <w:rPr>
          <w:i/>
          <w:iCs/>
        </w:rPr>
        <w:t>infra</w:t>
      </w:r>
      <w:r w:rsidRPr="00DE70CD">
        <w:t xml:space="preserve"> </w:t>
      </w:r>
      <w:r w:rsidRPr="003E69B9">
        <w:t>Section IV.C.2 (Types of Technologies).</w:t>
      </w:r>
    </w:p>
  </w:footnote>
  <w:footnote w:id="280">
    <w:p w:rsidRPr="00D5588C" w:rsidR="00FB7F86" w:rsidRDefault="00FB7F86" w14:paraId="79F600B5" w14:textId="214A0557">
      <w:pPr>
        <w:pStyle w:val="FootnoteText"/>
      </w:pPr>
      <w:r>
        <w:rPr>
          <w:rStyle w:val="FootnoteReference"/>
        </w:rPr>
        <w:footnoteRef/>
      </w:r>
      <w:r>
        <w:t xml:space="preserve"> </w:t>
      </w:r>
      <w:r>
        <w:rPr>
          <w:i/>
          <w:iCs/>
        </w:rPr>
        <w:t xml:space="preserve">See </w:t>
      </w:r>
      <w:r>
        <w:t>Advanced Energy Economy Comments (RM16-23) at 21.</w:t>
      </w:r>
    </w:p>
  </w:footnote>
  <w:footnote w:id="281">
    <w:p w:rsidR="00FB7F86" w:rsidRDefault="00FB7F86" w14:paraId="4F756E4F" w14:textId="1FCA0213">
      <w:pPr>
        <w:pStyle w:val="FootnoteText"/>
      </w:pPr>
      <w:r w:rsidRPr="00A862CF">
        <w:rPr>
          <w:rStyle w:val="FootnoteReference"/>
        </w:rPr>
        <w:footnoteRef/>
      </w:r>
      <w:r w:rsidRPr="00A862CF">
        <w:t xml:space="preserve"> As discussed further in Section IV.C.6, consistent with Order No. 719, we require each RTO/ISO to allow a single qualifying distributed energy resource to serve as its own distributed energy resource aggregator.  </w:t>
      </w:r>
      <w:r w:rsidRPr="00A862CF">
        <w:rPr>
          <w:i/>
          <w:iCs/>
        </w:rPr>
        <w:t xml:space="preserve">See </w:t>
      </w:r>
      <w:r w:rsidRPr="00A862CF">
        <w:t>Order No. 719, 125 FERC ¶ 61,071 at P 158(d) (“An [aggregator of retail customers] can bid demand response either on behalf of only one retail customer or multiple retail customers.”).</w:t>
      </w:r>
    </w:p>
  </w:footnote>
  <w:footnote w:id="282">
    <w:p w:rsidR="00FB7F86" w:rsidRDefault="00FB7F86" w14:paraId="73E3203B" w14:textId="69255013">
      <w:pPr>
        <w:pStyle w:val="FootnoteText"/>
      </w:pPr>
      <w:r>
        <w:rPr>
          <w:rStyle w:val="FootnoteReference"/>
        </w:rPr>
        <w:footnoteRef/>
      </w:r>
      <w:r>
        <w:t xml:space="preserve"> NOPR, </w:t>
      </w:r>
      <w:r w:rsidRPr="00102604">
        <w:rPr>
          <w:szCs w:val="26"/>
        </w:rPr>
        <w:t>157 FERC ¶</w:t>
      </w:r>
      <w:r>
        <w:rPr>
          <w:szCs w:val="26"/>
        </w:rPr>
        <w:t> </w:t>
      </w:r>
      <w:r w:rsidRPr="00102604">
        <w:rPr>
          <w:szCs w:val="26"/>
        </w:rPr>
        <w:t>61,121</w:t>
      </w:r>
      <w:r>
        <w:t xml:space="preserve"> at P 124.</w:t>
      </w:r>
    </w:p>
  </w:footnote>
  <w:footnote w:id="283">
    <w:p w:rsidRPr="00A961B9" w:rsidR="00FB7F86" w:rsidRDefault="00FB7F86" w14:paraId="6B587B88" w14:textId="31871F17">
      <w:pPr>
        <w:pStyle w:val="FootnoteText"/>
      </w:pPr>
      <w:r>
        <w:rPr>
          <w:rStyle w:val="FootnoteReference"/>
        </w:rPr>
        <w:footnoteRef/>
      </w:r>
      <w:r>
        <w:t xml:space="preserve"> </w:t>
      </w:r>
      <w:r>
        <w:rPr>
          <w:i/>
          <w:iCs/>
        </w:rPr>
        <w:t>Id.</w:t>
      </w:r>
      <w:r w:rsidRPr="00DE70CD">
        <w:t xml:space="preserve"> </w:t>
      </w:r>
      <w:r>
        <w:t>P 128.</w:t>
      </w:r>
    </w:p>
  </w:footnote>
  <w:footnote w:id="284">
    <w:p w:rsidRPr="00BE71BD" w:rsidR="00FB7F86" w:rsidP="00E95583" w:rsidRDefault="00FB7F86" w14:paraId="2B4E3767" w14:textId="77777777">
      <w:pPr>
        <w:pStyle w:val="FootnoteText"/>
      </w:pPr>
      <w:r>
        <w:rPr>
          <w:rStyle w:val="FootnoteReference"/>
        </w:rPr>
        <w:footnoteRef/>
      </w:r>
      <w:r>
        <w:t xml:space="preserve"> </w:t>
      </w:r>
      <w:r>
        <w:rPr>
          <w:i/>
          <w:iCs/>
        </w:rPr>
        <w:t>See, e.g.</w:t>
      </w:r>
      <w:r>
        <w:t xml:space="preserve">, </w:t>
      </w:r>
      <w:r w:rsidRPr="00A50DBE">
        <w:rPr>
          <w:szCs w:val="26"/>
        </w:rPr>
        <w:t xml:space="preserve">Microsoft </w:t>
      </w:r>
      <w:r>
        <w:rPr>
          <w:szCs w:val="26"/>
        </w:rPr>
        <w:t>Comments (2018 RM18-9)</w:t>
      </w:r>
      <w:r w:rsidRPr="00A50DBE">
        <w:rPr>
          <w:szCs w:val="26"/>
        </w:rPr>
        <w:t xml:space="preserve"> at 15; NRG </w:t>
      </w:r>
      <w:r>
        <w:rPr>
          <w:szCs w:val="26"/>
        </w:rPr>
        <w:t>Comments (2018 RM18-9)</w:t>
      </w:r>
      <w:r w:rsidRPr="00A50DBE">
        <w:rPr>
          <w:szCs w:val="26"/>
        </w:rPr>
        <w:t xml:space="preserve"> at 4.</w:t>
      </w:r>
    </w:p>
  </w:footnote>
  <w:footnote w:id="285">
    <w:p w:rsidRPr="00A50DBE" w:rsidR="00FB7F86" w:rsidP="00E95583" w:rsidRDefault="00FB7F86" w14:paraId="72B02A2E" w14:textId="65ACE6FC">
      <w:pPr>
        <w:pStyle w:val="FootnoteText"/>
        <w:rPr>
          <w:szCs w:val="26"/>
        </w:rPr>
      </w:pPr>
      <w:r w:rsidRPr="00A50DBE">
        <w:rPr>
          <w:rStyle w:val="FootnoteReference"/>
        </w:rPr>
        <w:footnoteRef/>
      </w:r>
      <w:r w:rsidRPr="00A50DBE">
        <w:rPr>
          <w:color w:val="000000"/>
          <w:szCs w:val="26"/>
        </w:rPr>
        <w:t xml:space="preserve"> Ohio Commission </w:t>
      </w:r>
      <w:r>
        <w:rPr>
          <w:color w:val="000000"/>
          <w:szCs w:val="26"/>
        </w:rPr>
        <w:t>Comments (RM16-23) at</w:t>
      </w:r>
      <w:r w:rsidRPr="00A50DBE">
        <w:rPr>
          <w:color w:val="000000"/>
          <w:szCs w:val="26"/>
        </w:rPr>
        <w:t xml:space="preserve"> 4</w:t>
      </w:r>
      <w:r>
        <w:rPr>
          <w:color w:val="000000"/>
          <w:szCs w:val="26"/>
        </w:rPr>
        <w:t xml:space="preserve">; </w:t>
      </w:r>
      <w:r w:rsidRPr="00A50DBE">
        <w:rPr>
          <w:szCs w:val="26"/>
        </w:rPr>
        <w:t xml:space="preserve">Public Interest Organizations </w:t>
      </w:r>
      <w:r>
        <w:rPr>
          <w:szCs w:val="26"/>
        </w:rPr>
        <w:t>Comments (RM16-23) at</w:t>
      </w:r>
      <w:r w:rsidRPr="00A50DBE">
        <w:rPr>
          <w:szCs w:val="26"/>
        </w:rPr>
        <w:t xml:space="preserve"> 21</w:t>
      </w:r>
      <w:r>
        <w:rPr>
          <w:szCs w:val="26"/>
        </w:rPr>
        <w:t xml:space="preserve">; </w:t>
      </w:r>
      <w:r w:rsidRPr="00A50DBE">
        <w:rPr>
          <w:color w:val="000000"/>
          <w:szCs w:val="26"/>
        </w:rPr>
        <w:t xml:space="preserve">Tesla/SolarCity </w:t>
      </w:r>
      <w:r>
        <w:rPr>
          <w:color w:val="000000"/>
          <w:szCs w:val="26"/>
        </w:rPr>
        <w:t>Comments (RM16-23) at</w:t>
      </w:r>
      <w:r w:rsidRPr="00A50DBE">
        <w:rPr>
          <w:color w:val="000000"/>
          <w:szCs w:val="26"/>
        </w:rPr>
        <w:t xml:space="preserve"> 20.</w:t>
      </w:r>
    </w:p>
  </w:footnote>
  <w:footnote w:id="286">
    <w:p w:rsidRPr="00A50DBE" w:rsidR="00FB7F86" w:rsidP="00E95583" w:rsidRDefault="00FB7F86" w14:paraId="6B4F16A7" w14:textId="77777777">
      <w:pPr>
        <w:pStyle w:val="FootnoteText"/>
        <w:rPr>
          <w:szCs w:val="26"/>
        </w:rPr>
      </w:pPr>
      <w:r w:rsidRPr="00A50DBE">
        <w:rPr>
          <w:rStyle w:val="FootnoteReference"/>
        </w:rPr>
        <w:footnoteRef/>
      </w:r>
      <w:r w:rsidRPr="00A50DBE">
        <w:rPr>
          <w:rFonts w:eastAsia="Cambria"/>
          <w:szCs w:val="26"/>
        </w:rPr>
        <w:t xml:space="preserve"> AES Companies </w:t>
      </w:r>
      <w:r>
        <w:rPr>
          <w:rFonts w:eastAsia="Cambria"/>
          <w:szCs w:val="26"/>
        </w:rPr>
        <w:t>Comments (RM16-23) at</w:t>
      </w:r>
      <w:r w:rsidRPr="00A50DBE">
        <w:rPr>
          <w:rFonts w:eastAsia="Cambria"/>
          <w:szCs w:val="26"/>
        </w:rPr>
        <w:t xml:space="preserve"> 32 (noting that, because the proposed definition of a </w:t>
      </w:r>
      <w:r w:rsidRPr="00A50DBE">
        <w:rPr>
          <w:szCs w:val="26"/>
        </w:rPr>
        <w:t>distributed energy resource aggregation</w:t>
      </w:r>
      <w:r w:rsidRPr="00A50DBE">
        <w:rPr>
          <w:rFonts w:eastAsia="Cambria"/>
          <w:szCs w:val="26"/>
        </w:rPr>
        <w:t xml:space="preserve"> includes resources that are both a source and a sink, the aggregation can be a distributed generation entity or a micro grid (includes generation, load, and distribution lines)).</w:t>
      </w:r>
    </w:p>
  </w:footnote>
  <w:footnote w:id="287">
    <w:p w:rsidRPr="00A50DBE" w:rsidR="00FB7F86" w:rsidP="00E95583" w:rsidRDefault="00FB7F86" w14:paraId="5424ECE4" w14:textId="77777777">
      <w:pPr>
        <w:pStyle w:val="FootnoteText"/>
        <w:rPr>
          <w:szCs w:val="26"/>
        </w:rPr>
      </w:pPr>
      <w:r w:rsidRPr="00A50DBE">
        <w:rPr>
          <w:rStyle w:val="FootnoteReference"/>
        </w:rPr>
        <w:footnoteRef/>
      </w:r>
      <w:r w:rsidRPr="00A50DBE">
        <w:rPr>
          <w:szCs w:val="26"/>
        </w:rPr>
        <w:t xml:space="preserve"> Stem </w:t>
      </w:r>
      <w:r>
        <w:rPr>
          <w:szCs w:val="26"/>
        </w:rPr>
        <w:t>Comments (RM16-23) at</w:t>
      </w:r>
      <w:r w:rsidRPr="00A50DBE">
        <w:rPr>
          <w:szCs w:val="26"/>
        </w:rPr>
        <w:t xml:space="preserve"> 12-13.</w:t>
      </w:r>
    </w:p>
  </w:footnote>
  <w:footnote w:id="288">
    <w:p w:rsidR="00FB7F86" w:rsidRDefault="00FB7F86" w14:paraId="2ADCED6D" w14:textId="029F985F">
      <w:pPr>
        <w:pStyle w:val="FootnoteText"/>
      </w:pPr>
      <w:r>
        <w:rPr>
          <w:rStyle w:val="FootnoteReference"/>
        </w:rPr>
        <w:footnoteRef/>
      </w:r>
      <w:r>
        <w:t xml:space="preserve"> </w:t>
      </w:r>
      <w:r w:rsidRPr="000B2C7A">
        <w:t>Microgrid Resources Coalition Comments (2018 RM18-9) at 3, 4-5.</w:t>
      </w:r>
    </w:p>
  </w:footnote>
  <w:footnote w:id="289">
    <w:p w:rsidR="00FB7F86" w:rsidDel="001E600C" w:rsidP="00CB7468" w:rsidRDefault="00FB7F86" w14:paraId="1176FE1A" w14:textId="35264490">
      <w:pPr>
        <w:pStyle w:val="FootnoteText"/>
        <w:rPr>
          <w:szCs w:val="26"/>
        </w:rPr>
      </w:pPr>
      <w:r>
        <w:rPr>
          <w:rStyle w:val="FootnoteReference"/>
        </w:rPr>
        <w:footnoteRef/>
      </w:r>
      <w:r>
        <w:t xml:space="preserve"> </w:t>
      </w:r>
      <w:r w:rsidRPr="00327782">
        <w:t>NYISO Comments (RM16-23) at 13</w:t>
      </w:r>
      <w:r>
        <w:t>;</w:t>
      </w:r>
      <w:r w:rsidRPr="00327782">
        <w:t xml:space="preserve"> PJM Comments (RM16-23) at </w:t>
      </w:r>
      <w:r>
        <w:t>5-</w:t>
      </w:r>
      <w:r w:rsidRPr="00327782">
        <w:t>6</w:t>
      </w:r>
      <w:r>
        <w:t>.</w:t>
      </w:r>
    </w:p>
  </w:footnote>
  <w:footnote w:id="290">
    <w:p w:rsidR="00FB7F86" w:rsidDel="00066A1E" w:rsidP="00CB7468" w:rsidRDefault="00FB7F86" w14:paraId="1CFEEB96" w14:textId="0D4D12FE">
      <w:pPr>
        <w:pStyle w:val="FootnoteText"/>
        <w:rPr>
          <w:szCs w:val="26"/>
        </w:rPr>
      </w:pPr>
      <w:r>
        <w:rPr>
          <w:rStyle w:val="FootnoteReference"/>
        </w:rPr>
        <w:footnoteRef/>
      </w:r>
      <w:r>
        <w:t xml:space="preserve"> </w:t>
      </w:r>
      <w:bookmarkStart w:name="_Hlk34729277" w:id="48"/>
      <w:r w:rsidRPr="00327782">
        <w:t>AES Companies Comments (RM16-23) at 39; Avangrid Comments (RM16-23) at 10; Tesla/SolarCity Comments (RM16-23) at 20</w:t>
      </w:r>
      <w:r>
        <w:t xml:space="preserve">; </w:t>
      </w:r>
      <w:r w:rsidRPr="00A50DBE">
        <w:rPr>
          <w:rFonts w:eastAsia="Calibri"/>
          <w:szCs w:val="26"/>
        </w:rPr>
        <w:t xml:space="preserve">Xcel Energy Services </w:t>
      </w:r>
      <w:r>
        <w:rPr>
          <w:rFonts w:eastAsia="Calibri"/>
          <w:szCs w:val="26"/>
        </w:rPr>
        <w:t xml:space="preserve">Comments (RM16-23) </w:t>
      </w:r>
      <w:r w:rsidRPr="00A50DBE">
        <w:rPr>
          <w:rFonts w:eastAsia="Calibri"/>
          <w:szCs w:val="26"/>
        </w:rPr>
        <w:t>at 12-13</w:t>
      </w:r>
      <w:r w:rsidRPr="00327782">
        <w:t>.</w:t>
      </w:r>
      <w:r>
        <w:t xml:space="preserve"> </w:t>
      </w:r>
      <w:bookmarkEnd w:id="48"/>
    </w:p>
  </w:footnote>
  <w:footnote w:id="291">
    <w:p w:rsidRPr="00A50DBE" w:rsidR="00FB7F86" w:rsidP="008111CA" w:rsidRDefault="00FB7F86" w14:paraId="2E8BA15C" w14:textId="77777777">
      <w:pPr>
        <w:pStyle w:val="FootnoteText"/>
        <w:rPr>
          <w:szCs w:val="26"/>
        </w:rPr>
      </w:pPr>
      <w:r w:rsidRPr="00A50DBE">
        <w:rPr>
          <w:rStyle w:val="FootnoteReference"/>
        </w:rPr>
        <w:footnoteRef/>
      </w:r>
      <w:r w:rsidRPr="00A50DBE">
        <w:rPr>
          <w:szCs w:val="26"/>
        </w:rPr>
        <w:t xml:space="preserve"> </w:t>
      </w:r>
      <w:r w:rsidRPr="00A50DBE">
        <w:rPr>
          <w:rFonts w:eastAsia="Calibri"/>
          <w:szCs w:val="26"/>
        </w:rPr>
        <w:t xml:space="preserve">Xcel Energy Services </w:t>
      </w:r>
      <w:r>
        <w:rPr>
          <w:rFonts w:eastAsia="Calibri"/>
          <w:szCs w:val="26"/>
        </w:rPr>
        <w:t xml:space="preserve">Comments (RM16-23) </w:t>
      </w:r>
      <w:r w:rsidRPr="00A50DBE">
        <w:rPr>
          <w:rFonts w:eastAsia="Calibri"/>
          <w:szCs w:val="26"/>
        </w:rPr>
        <w:t>at 12-13.</w:t>
      </w:r>
    </w:p>
  </w:footnote>
  <w:footnote w:id="292">
    <w:p w:rsidR="00FB7F86" w:rsidP="00CB7468" w:rsidRDefault="00FB7F86" w14:paraId="05D77E09" w14:textId="1BF0AC5B">
      <w:pPr>
        <w:pStyle w:val="FootnoteText"/>
      </w:pPr>
      <w:r>
        <w:rPr>
          <w:rStyle w:val="FootnoteReference"/>
        </w:rPr>
        <w:footnoteRef/>
      </w:r>
      <w:r w:rsidDel="0091355A">
        <w:t xml:space="preserve"> </w:t>
      </w:r>
      <w:r w:rsidRPr="00A50DBE">
        <w:rPr>
          <w:rFonts w:eastAsia="Times New Roman"/>
          <w:color w:val="000000"/>
          <w:szCs w:val="26"/>
        </w:rPr>
        <w:t xml:space="preserve">Advanced Microgrid Solutions </w:t>
      </w:r>
      <w:r>
        <w:rPr>
          <w:rFonts w:eastAsia="Times New Roman"/>
          <w:color w:val="000000"/>
          <w:szCs w:val="26"/>
        </w:rPr>
        <w:t>Comments (RM16-23) at</w:t>
      </w:r>
      <w:r w:rsidRPr="00A50DBE">
        <w:rPr>
          <w:rFonts w:eastAsia="Times New Roman"/>
          <w:color w:val="000000"/>
          <w:szCs w:val="26"/>
        </w:rPr>
        <w:t xml:space="preserve"> 7</w:t>
      </w:r>
      <w:r w:rsidRPr="00A50DBE">
        <w:rPr>
          <w:rFonts w:eastAsia="Cambria"/>
          <w:szCs w:val="26"/>
        </w:rPr>
        <w:t xml:space="preserve">; </w:t>
      </w:r>
      <w:r w:rsidRPr="00A50DBE">
        <w:rPr>
          <w:szCs w:val="26"/>
        </w:rPr>
        <w:t xml:space="preserve">NRG </w:t>
      </w:r>
      <w:r>
        <w:rPr>
          <w:szCs w:val="26"/>
        </w:rPr>
        <w:t>Comments (RM16-23) at</w:t>
      </w:r>
      <w:r w:rsidRPr="00A50DBE">
        <w:rPr>
          <w:szCs w:val="26"/>
        </w:rPr>
        <w:t xml:space="preserve"> 10;</w:t>
      </w:r>
      <w:r w:rsidRPr="00A50DBE">
        <w:rPr>
          <w:color w:val="000000"/>
          <w:szCs w:val="26"/>
        </w:rPr>
        <w:t xml:space="preserve"> </w:t>
      </w:r>
      <w:r w:rsidRPr="00A50DBE">
        <w:rPr>
          <w:rFonts w:eastAsia="Cambria"/>
          <w:szCs w:val="26"/>
        </w:rPr>
        <w:t xml:space="preserve">Stem </w:t>
      </w:r>
      <w:r>
        <w:rPr>
          <w:rFonts w:eastAsia="Cambria"/>
          <w:szCs w:val="26"/>
        </w:rPr>
        <w:t>Comments (RM16-23) at</w:t>
      </w:r>
      <w:r w:rsidRPr="00A50DBE">
        <w:rPr>
          <w:rFonts w:eastAsia="Cambria"/>
          <w:szCs w:val="26"/>
        </w:rPr>
        <w:t xml:space="preserve"> 5;</w:t>
      </w:r>
      <w:r w:rsidRPr="00A50DBE">
        <w:rPr>
          <w:rFonts w:eastAsia="Times New Roman"/>
          <w:b/>
          <w:color w:val="000000"/>
          <w:szCs w:val="26"/>
        </w:rPr>
        <w:t xml:space="preserve"> </w:t>
      </w:r>
      <w:r w:rsidRPr="00A50DBE">
        <w:rPr>
          <w:color w:val="000000"/>
          <w:szCs w:val="26"/>
        </w:rPr>
        <w:t xml:space="preserve">Tesla/SolarCity </w:t>
      </w:r>
      <w:r>
        <w:rPr>
          <w:color w:val="000000"/>
          <w:szCs w:val="26"/>
        </w:rPr>
        <w:t>Comments (RM16-23) at</w:t>
      </w:r>
      <w:r w:rsidRPr="00A50DBE">
        <w:rPr>
          <w:color w:val="000000"/>
          <w:szCs w:val="26"/>
        </w:rPr>
        <w:t xml:space="preserve"> 20</w:t>
      </w:r>
      <w:r>
        <w:rPr>
          <w:color w:val="000000"/>
          <w:szCs w:val="26"/>
        </w:rPr>
        <w:t>-21</w:t>
      </w:r>
      <w:r w:rsidRPr="00A50DBE">
        <w:rPr>
          <w:rFonts w:eastAsia="Times New Roman"/>
          <w:color w:val="000000"/>
          <w:szCs w:val="26"/>
        </w:rPr>
        <w:t>.</w:t>
      </w:r>
    </w:p>
  </w:footnote>
  <w:footnote w:id="293">
    <w:p w:rsidRPr="00A50DBE" w:rsidR="00FB7F86" w:rsidP="00CB7468" w:rsidRDefault="00FB7F86" w14:paraId="370AC2F0" w14:textId="77777777">
      <w:pPr>
        <w:pStyle w:val="FootnoteText"/>
        <w:rPr>
          <w:szCs w:val="26"/>
        </w:rPr>
      </w:pPr>
      <w:r w:rsidRPr="00A50DBE">
        <w:rPr>
          <w:rStyle w:val="FootnoteReference"/>
          <w:szCs w:val="26"/>
        </w:rPr>
        <w:footnoteRef/>
      </w:r>
      <w:r w:rsidRPr="00A50DBE">
        <w:rPr>
          <w:szCs w:val="26"/>
        </w:rPr>
        <w:t xml:space="preserve"> </w:t>
      </w:r>
      <w:r w:rsidRPr="00A50DBE">
        <w:rPr>
          <w:rFonts w:eastAsia="Cambria"/>
          <w:color w:val="000000"/>
          <w:szCs w:val="26"/>
        </w:rPr>
        <w:t xml:space="preserve">Mosaic Power </w:t>
      </w:r>
      <w:r>
        <w:rPr>
          <w:rFonts w:eastAsia="Cambria"/>
          <w:color w:val="000000"/>
          <w:szCs w:val="26"/>
        </w:rPr>
        <w:t>Comments (RM16-23) at</w:t>
      </w:r>
      <w:r w:rsidRPr="00A50DBE">
        <w:rPr>
          <w:rFonts w:eastAsia="Cambria"/>
          <w:color w:val="000000"/>
          <w:szCs w:val="26"/>
        </w:rPr>
        <w:t xml:space="preserve"> 5.</w:t>
      </w:r>
    </w:p>
  </w:footnote>
  <w:footnote w:id="294">
    <w:p w:rsidRPr="00A50DBE" w:rsidR="00FB7F86" w:rsidP="00CB7468" w:rsidRDefault="00FB7F86" w14:paraId="6FF54CD0" w14:textId="77777777">
      <w:pPr>
        <w:pStyle w:val="FootnoteText"/>
        <w:rPr>
          <w:szCs w:val="26"/>
        </w:rPr>
      </w:pPr>
      <w:r w:rsidRPr="00A50DBE">
        <w:rPr>
          <w:rStyle w:val="FootnoteReference"/>
          <w:szCs w:val="26"/>
        </w:rPr>
        <w:footnoteRef/>
      </w:r>
      <w:r w:rsidRPr="00A50DBE">
        <w:rPr>
          <w:szCs w:val="26"/>
        </w:rPr>
        <w:t xml:space="preserve"> </w:t>
      </w:r>
      <w:r w:rsidRPr="00A50DBE">
        <w:rPr>
          <w:bCs/>
          <w:szCs w:val="26"/>
        </w:rPr>
        <w:t xml:space="preserve">Advanced Energy Economy </w:t>
      </w:r>
      <w:r>
        <w:rPr>
          <w:bCs/>
          <w:szCs w:val="26"/>
        </w:rPr>
        <w:t>Comments (RM16-23) at</w:t>
      </w:r>
      <w:r w:rsidRPr="00A50DBE">
        <w:rPr>
          <w:szCs w:val="26"/>
        </w:rPr>
        <w:t xml:space="preserve"> 21.</w:t>
      </w:r>
    </w:p>
  </w:footnote>
  <w:footnote w:id="295">
    <w:p w:rsidRPr="00A50DBE" w:rsidR="00FB7F86" w:rsidP="00CB7468" w:rsidRDefault="00FB7F86" w14:paraId="3090AA18" w14:textId="77777777">
      <w:pPr>
        <w:pStyle w:val="FootnoteText"/>
        <w:rPr>
          <w:szCs w:val="26"/>
        </w:rPr>
      </w:pPr>
      <w:r w:rsidRPr="00A50DBE">
        <w:rPr>
          <w:rStyle w:val="FootnoteReference"/>
          <w:szCs w:val="26"/>
        </w:rPr>
        <w:footnoteRef/>
      </w:r>
      <w:r w:rsidRPr="00A50DBE">
        <w:rPr>
          <w:szCs w:val="26"/>
        </w:rPr>
        <w:t xml:space="preserve"> </w:t>
      </w:r>
      <w:r w:rsidRPr="00A50DBE">
        <w:rPr>
          <w:rFonts w:eastAsia="Cambria"/>
          <w:color w:val="000000"/>
          <w:szCs w:val="26"/>
        </w:rPr>
        <w:t xml:space="preserve">Microgrid Resources Coalition </w:t>
      </w:r>
      <w:r>
        <w:rPr>
          <w:rFonts w:eastAsia="Cambria"/>
          <w:color w:val="000000"/>
          <w:szCs w:val="26"/>
        </w:rPr>
        <w:t>Comments (RM16-23) at</w:t>
      </w:r>
      <w:r w:rsidRPr="00A50DBE">
        <w:rPr>
          <w:rFonts w:eastAsia="Cambria"/>
          <w:color w:val="000000"/>
          <w:szCs w:val="26"/>
        </w:rPr>
        <w:t xml:space="preserve"> 6.</w:t>
      </w:r>
    </w:p>
  </w:footnote>
  <w:footnote w:id="296">
    <w:p w:rsidRPr="00A50DBE" w:rsidR="00FB7F86" w:rsidP="00CB7468" w:rsidRDefault="00FB7F86" w14:paraId="38DA2F2A" w14:textId="77777777">
      <w:pPr>
        <w:pStyle w:val="FootnoteText"/>
        <w:rPr>
          <w:szCs w:val="26"/>
        </w:rPr>
      </w:pPr>
      <w:r w:rsidRPr="00A50DBE">
        <w:rPr>
          <w:rStyle w:val="FootnoteReference"/>
          <w:szCs w:val="26"/>
        </w:rPr>
        <w:footnoteRef/>
      </w:r>
      <w:r w:rsidRPr="00A50DBE">
        <w:rPr>
          <w:szCs w:val="26"/>
        </w:rPr>
        <w:t xml:space="preserve"> </w:t>
      </w:r>
      <w:r w:rsidRPr="00A50DBE">
        <w:rPr>
          <w:bCs/>
          <w:szCs w:val="26"/>
        </w:rPr>
        <w:t xml:space="preserve">Advanced Energy Economy </w:t>
      </w:r>
      <w:r>
        <w:rPr>
          <w:bCs/>
          <w:szCs w:val="26"/>
        </w:rPr>
        <w:t>Comments (RM16-23) at</w:t>
      </w:r>
      <w:r w:rsidRPr="00A50DBE">
        <w:rPr>
          <w:szCs w:val="26"/>
        </w:rPr>
        <w:t xml:space="preserve"> 21.</w:t>
      </w:r>
    </w:p>
  </w:footnote>
  <w:footnote w:id="297">
    <w:p w:rsidRPr="00A50DBE" w:rsidR="00FB7F86" w:rsidP="00CB7468" w:rsidRDefault="00FB7F86" w14:paraId="25502CEF" w14:textId="77777777">
      <w:pPr>
        <w:pStyle w:val="FootnoteText"/>
        <w:rPr>
          <w:szCs w:val="26"/>
        </w:rPr>
      </w:pPr>
      <w:r w:rsidRPr="00A50DBE">
        <w:rPr>
          <w:rStyle w:val="FootnoteReference"/>
          <w:szCs w:val="26"/>
        </w:rPr>
        <w:footnoteRef/>
      </w:r>
      <w:r w:rsidRPr="00A50DBE">
        <w:rPr>
          <w:szCs w:val="26"/>
        </w:rPr>
        <w:t xml:space="preserve"> </w:t>
      </w:r>
      <w:r w:rsidRPr="00A50DBE">
        <w:rPr>
          <w:rFonts w:eastAsia="Cambria"/>
          <w:szCs w:val="26"/>
        </w:rPr>
        <w:t xml:space="preserve">NextEra </w:t>
      </w:r>
      <w:r>
        <w:rPr>
          <w:rFonts w:eastAsia="Cambria"/>
          <w:szCs w:val="26"/>
        </w:rPr>
        <w:t>Comments (RM16-23) at</w:t>
      </w:r>
      <w:r w:rsidRPr="00A50DBE">
        <w:rPr>
          <w:rFonts w:eastAsia="Cambria"/>
          <w:szCs w:val="26"/>
        </w:rPr>
        <w:t xml:space="preserve"> 14</w:t>
      </w:r>
      <w:r>
        <w:rPr>
          <w:rFonts w:eastAsia="Cambria"/>
          <w:szCs w:val="26"/>
        </w:rPr>
        <w:t>;</w:t>
      </w:r>
      <w:r w:rsidRPr="00A50DBE">
        <w:rPr>
          <w:rFonts w:eastAsia="Cambria"/>
          <w:szCs w:val="26"/>
        </w:rPr>
        <w:t xml:space="preserve"> Public Interest Organizations </w:t>
      </w:r>
      <w:r>
        <w:rPr>
          <w:rFonts w:eastAsia="Cambria"/>
          <w:szCs w:val="26"/>
        </w:rPr>
        <w:t>Comments (RM16-23) at</w:t>
      </w:r>
      <w:r w:rsidRPr="00A50DBE">
        <w:rPr>
          <w:rFonts w:eastAsia="Cambria"/>
          <w:szCs w:val="26"/>
        </w:rPr>
        <w:t xml:space="preserve"> </w:t>
      </w:r>
      <w:r>
        <w:rPr>
          <w:rFonts w:eastAsia="Cambria"/>
          <w:szCs w:val="26"/>
        </w:rPr>
        <w:t>16</w:t>
      </w:r>
      <w:r w:rsidRPr="00A50DBE">
        <w:rPr>
          <w:rFonts w:eastAsia="Cambria"/>
          <w:szCs w:val="26"/>
        </w:rPr>
        <w:t xml:space="preserve">.   </w:t>
      </w:r>
    </w:p>
  </w:footnote>
  <w:footnote w:id="298">
    <w:p w:rsidR="00FB7F86" w:rsidP="0051771F" w:rsidRDefault="00FB7F86" w14:paraId="0FD89C07" w14:textId="77777777">
      <w:pPr>
        <w:pStyle w:val="FootnoteText"/>
      </w:pPr>
      <w:r>
        <w:rPr>
          <w:rStyle w:val="FootnoteReference"/>
        </w:rPr>
        <w:footnoteRef/>
      </w:r>
      <w:r>
        <w:t xml:space="preserve"> Stem Comments (RM16-23) at 13.</w:t>
      </w:r>
    </w:p>
  </w:footnote>
  <w:footnote w:id="299">
    <w:p w:rsidRPr="00716CDF" w:rsidR="00FB7F86" w:rsidDel="006B7F31" w:rsidP="00CB7468" w:rsidRDefault="00FB7F86" w14:paraId="619F1F74" w14:textId="77777777">
      <w:pPr>
        <w:pStyle w:val="FootnoteText"/>
        <w:rPr>
          <w:szCs w:val="26"/>
        </w:rPr>
      </w:pPr>
      <w:r w:rsidRPr="00716CDF" w:rsidDel="006B7F31">
        <w:rPr>
          <w:rStyle w:val="FootnoteReference"/>
          <w:szCs w:val="26"/>
        </w:rPr>
        <w:footnoteRef/>
      </w:r>
      <w:r w:rsidRPr="00716CDF" w:rsidDel="006B7F31">
        <w:rPr>
          <w:szCs w:val="26"/>
        </w:rPr>
        <w:t xml:space="preserve"> Advanced En</w:t>
      </w:r>
      <w:r w:rsidDel="006B7F31">
        <w:rPr>
          <w:szCs w:val="26"/>
        </w:rPr>
        <w:t>ergy Management Comments (RM16-23) at 9.</w:t>
      </w:r>
    </w:p>
  </w:footnote>
  <w:footnote w:id="300">
    <w:p w:rsidRPr="00A50DBE" w:rsidR="00FB7F86" w:rsidP="00D8566D" w:rsidRDefault="00FB7F86" w14:paraId="30868427" w14:textId="77777777">
      <w:pPr>
        <w:pStyle w:val="FootnoteText"/>
        <w:rPr>
          <w:szCs w:val="26"/>
        </w:rPr>
      </w:pPr>
      <w:r w:rsidRPr="00A50DBE">
        <w:rPr>
          <w:rStyle w:val="FootnoteReference"/>
          <w:szCs w:val="26"/>
        </w:rPr>
        <w:footnoteRef/>
      </w:r>
      <w:r w:rsidRPr="00A50DBE">
        <w:rPr>
          <w:szCs w:val="26"/>
        </w:rPr>
        <w:t xml:space="preserve"> </w:t>
      </w:r>
      <w:r w:rsidRPr="00A50DBE">
        <w:rPr>
          <w:rFonts w:eastAsia="Cambria"/>
          <w:color w:val="000000"/>
          <w:szCs w:val="26"/>
        </w:rPr>
        <w:t xml:space="preserve">MISO Transmission Owners </w:t>
      </w:r>
      <w:r>
        <w:rPr>
          <w:rFonts w:eastAsia="Cambria"/>
          <w:color w:val="000000"/>
          <w:szCs w:val="26"/>
        </w:rPr>
        <w:t xml:space="preserve">Comments (RM16-23) </w:t>
      </w:r>
      <w:r w:rsidRPr="00A50DBE">
        <w:rPr>
          <w:rFonts w:eastAsia="Cambria"/>
          <w:color w:val="000000"/>
          <w:szCs w:val="26"/>
        </w:rPr>
        <w:t>at 20.</w:t>
      </w:r>
    </w:p>
  </w:footnote>
  <w:footnote w:id="301">
    <w:p w:rsidR="00FB7F86" w:rsidP="009667BC" w:rsidRDefault="00FB7F86" w14:paraId="7A91B704" w14:textId="4E6B63CA">
      <w:pPr>
        <w:pStyle w:val="FootnoteText"/>
      </w:pPr>
      <w:r>
        <w:rPr>
          <w:rStyle w:val="FootnoteReference"/>
        </w:rPr>
        <w:footnoteRef/>
      </w:r>
      <w:r>
        <w:t xml:space="preserve"> </w:t>
      </w:r>
      <w:r w:rsidRPr="000B2C7A">
        <w:t>Microgrid Resources Coalition Comments (2018 RM18-9) at 8.</w:t>
      </w:r>
    </w:p>
  </w:footnote>
  <w:footnote w:id="302">
    <w:p w:rsidR="00FB7F86" w:rsidP="009667BC" w:rsidRDefault="00FB7F86" w14:paraId="1AAA7B8C" w14:textId="491CAFDE">
      <w:pPr>
        <w:pStyle w:val="FootnoteText"/>
      </w:pPr>
      <w:r>
        <w:rPr>
          <w:rStyle w:val="FootnoteReference"/>
        </w:rPr>
        <w:footnoteRef/>
      </w:r>
      <w:r>
        <w:t xml:space="preserve"> </w:t>
      </w:r>
      <w:r w:rsidRPr="000B2C7A">
        <w:t>E</w:t>
      </w:r>
      <w:r>
        <w:t xml:space="preserve">nergy </w:t>
      </w:r>
      <w:r w:rsidRPr="000B2C7A">
        <w:t>S</w:t>
      </w:r>
      <w:r>
        <w:t xml:space="preserve">torage Association </w:t>
      </w:r>
      <w:r w:rsidRPr="000B2C7A">
        <w:t>Comments (2018 RM18-9) at 2.</w:t>
      </w:r>
    </w:p>
  </w:footnote>
  <w:footnote w:id="303">
    <w:p w:rsidR="00FB7F86" w:rsidP="009667BC" w:rsidRDefault="00FB7F86" w14:paraId="03ED6889" w14:textId="0599A8B4">
      <w:pPr>
        <w:pStyle w:val="FootnoteText"/>
      </w:pPr>
      <w:r>
        <w:rPr>
          <w:rStyle w:val="FootnoteReference"/>
        </w:rPr>
        <w:footnoteRef/>
      </w:r>
      <w:r>
        <w:t xml:space="preserve"> </w:t>
      </w:r>
      <w:r w:rsidRPr="000B2C7A">
        <w:t>Icetec Energy Services Comments (2018 RM18-9) at 6.</w:t>
      </w:r>
    </w:p>
  </w:footnote>
  <w:footnote w:id="304">
    <w:p w:rsidRPr="00A50DBE" w:rsidR="00FB7F86" w:rsidP="00CB7468" w:rsidRDefault="00FB7F86" w14:paraId="1755F093" w14:textId="77777777">
      <w:pPr>
        <w:pStyle w:val="FootnoteText"/>
        <w:rPr>
          <w:szCs w:val="26"/>
        </w:rPr>
      </w:pPr>
      <w:r w:rsidRPr="00A50DBE">
        <w:rPr>
          <w:rStyle w:val="FootnoteReference"/>
        </w:rPr>
        <w:footnoteRef/>
      </w:r>
      <w:r w:rsidRPr="00A50DBE">
        <w:rPr>
          <w:szCs w:val="26"/>
        </w:rPr>
        <w:t xml:space="preserve"> </w:t>
      </w:r>
      <w:r w:rsidRPr="00A50DBE">
        <w:rPr>
          <w:rFonts w:eastAsia="Cambria"/>
          <w:color w:val="000000"/>
          <w:szCs w:val="26"/>
        </w:rPr>
        <w:t xml:space="preserve">Microgrid Resources Coalition </w:t>
      </w:r>
      <w:r>
        <w:rPr>
          <w:rFonts w:eastAsia="Cambria"/>
          <w:color w:val="000000"/>
          <w:szCs w:val="26"/>
        </w:rPr>
        <w:t>Comments (RM16-23) at</w:t>
      </w:r>
      <w:r w:rsidRPr="00A50DBE">
        <w:rPr>
          <w:rFonts w:eastAsia="Cambria"/>
          <w:color w:val="000000"/>
          <w:szCs w:val="26"/>
        </w:rPr>
        <w:t xml:space="preserve"> 5-6 (noting that </w:t>
      </w:r>
      <w:r w:rsidRPr="00A50DBE">
        <w:rPr>
          <w:szCs w:val="26"/>
        </w:rPr>
        <w:t xml:space="preserve">demand response participation models that are based on shutting down an industrial process or activating a seldom used generator are not appropriate for resources like a microgrid that </w:t>
      </w:r>
      <w:r w:rsidRPr="00A50DBE">
        <w:rPr>
          <w:color w:val="000000"/>
          <w:szCs w:val="26"/>
        </w:rPr>
        <w:t>uses</w:t>
      </w:r>
      <w:r w:rsidRPr="00A50DBE">
        <w:rPr>
          <w:rFonts w:eastAsia="Times New Roman"/>
          <w:color w:val="000000"/>
          <w:szCs w:val="26"/>
        </w:rPr>
        <w:t xml:space="preserve"> multiple conventional and unconventional resources to manage multiple loads of varying flexibility</w:t>
      </w:r>
      <w:r>
        <w:rPr>
          <w:rFonts w:eastAsia="Times New Roman"/>
          <w:color w:val="000000"/>
          <w:szCs w:val="26"/>
        </w:rPr>
        <w:t xml:space="preserve"> and is optimized by sophisticated controls</w:t>
      </w:r>
      <w:r w:rsidRPr="00A50DBE">
        <w:rPr>
          <w:szCs w:val="26"/>
        </w:rPr>
        <w:t>)</w:t>
      </w:r>
      <w:r w:rsidRPr="00A50DBE">
        <w:rPr>
          <w:rFonts w:eastAsia="Cambria"/>
          <w:color w:val="000000"/>
          <w:szCs w:val="26"/>
        </w:rPr>
        <w:t>.</w:t>
      </w:r>
    </w:p>
  </w:footnote>
  <w:footnote w:id="305">
    <w:p w:rsidR="00FB7F86" w:rsidRDefault="00FB7F86" w14:paraId="1B2EA411" w14:textId="3317C719">
      <w:pPr>
        <w:pStyle w:val="FootnoteText"/>
      </w:pPr>
      <w:r>
        <w:rPr>
          <w:rStyle w:val="FootnoteReference"/>
        </w:rPr>
        <w:footnoteRef/>
      </w:r>
      <w:r>
        <w:t xml:space="preserve"> </w:t>
      </w:r>
      <w:r w:rsidRPr="00A50DBE">
        <w:rPr>
          <w:szCs w:val="26"/>
        </w:rPr>
        <w:t xml:space="preserve">Public Interest Organizations </w:t>
      </w:r>
      <w:r>
        <w:rPr>
          <w:szCs w:val="26"/>
        </w:rPr>
        <w:t>Comments (RM16-23) at</w:t>
      </w:r>
      <w:r w:rsidRPr="00A50DBE">
        <w:rPr>
          <w:szCs w:val="26"/>
        </w:rPr>
        <w:t xml:space="preserve"> </w:t>
      </w:r>
      <w:r>
        <w:rPr>
          <w:szCs w:val="26"/>
        </w:rPr>
        <w:t>19</w:t>
      </w:r>
      <w:r w:rsidRPr="00A50DBE">
        <w:rPr>
          <w:szCs w:val="26"/>
        </w:rPr>
        <w:t>.</w:t>
      </w:r>
    </w:p>
  </w:footnote>
  <w:footnote w:id="306">
    <w:p w:rsidRPr="00A50DBE" w:rsidR="00FB7F86" w:rsidP="00CB7468" w:rsidRDefault="00FB7F86" w14:paraId="56FAE39C" w14:textId="77777777">
      <w:pPr>
        <w:pStyle w:val="FootnoteText"/>
        <w:rPr>
          <w:szCs w:val="26"/>
        </w:rPr>
      </w:pPr>
      <w:r w:rsidRPr="00A50DBE">
        <w:rPr>
          <w:rStyle w:val="FootnoteReference"/>
        </w:rPr>
        <w:footnoteRef/>
      </w:r>
      <w:r w:rsidRPr="00A50DBE">
        <w:rPr>
          <w:szCs w:val="26"/>
        </w:rPr>
        <w:t xml:space="preserve"> </w:t>
      </w:r>
      <w:r w:rsidRPr="00A50DBE">
        <w:rPr>
          <w:rFonts w:eastAsia="Cambria"/>
          <w:color w:val="000000"/>
          <w:szCs w:val="26"/>
        </w:rPr>
        <w:t xml:space="preserve">Efficient Holdings </w:t>
      </w:r>
      <w:r>
        <w:rPr>
          <w:rFonts w:eastAsia="Cambria"/>
          <w:color w:val="000000"/>
          <w:szCs w:val="26"/>
        </w:rPr>
        <w:t>Comments (RM16-23) at</w:t>
      </w:r>
      <w:r w:rsidRPr="00A50DBE">
        <w:rPr>
          <w:rFonts w:eastAsia="Cambria"/>
          <w:color w:val="000000"/>
          <w:szCs w:val="26"/>
        </w:rPr>
        <w:t xml:space="preserve"> 7-8.</w:t>
      </w:r>
    </w:p>
  </w:footnote>
  <w:footnote w:id="307">
    <w:p w:rsidRPr="00A50DBE" w:rsidR="00FB7F86" w:rsidP="009111BA" w:rsidRDefault="00FB7F86" w14:paraId="4E0802A0" w14:textId="77777777">
      <w:pPr>
        <w:pStyle w:val="FootnoteText"/>
        <w:rPr>
          <w:szCs w:val="26"/>
        </w:rPr>
      </w:pPr>
      <w:r w:rsidRPr="00A50DBE">
        <w:rPr>
          <w:rStyle w:val="FootnoteReference"/>
        </w:rPr>
        <w:footnoteRef/>
      </w:r>
      <w:r w:rsidRPr="00A50DBE">
        <w:rPr>
          <w:szCs w:val="26"/>
        </w:rPr>
        <w:t xml:space="preserve"> NYISO Indicated Transmission Owners </w:t>
      </w:r>
      <w:r>
        <w:rPr>
          <w:szCs w:val="26"/>
        </w:rPr>
        <w:t>Comments (RM16-23) at</w:t>
      </w:r>
      <w:r w:rsidRPr="00A50DBE">
        <w:rPr>
          <w:szCs w:val="26"/>
        </w:rPr>
        <w:t xml:space="preserve"> 10-11 (citing </w:t>
      </w:r>
      <w:r w:rsidRPr="00A50DBE">
        <w:rPr>
          <w:i/>
          <w:iCs/>
          <w:szCs w:val="26"/>
        </w:rPr>
        <w:t>Cal. Indep. Sys. Operator Corp.</w:t>
      </w:r>
      <w:r w:rsidRPr="00A50DBE">
        <w:rPr>
          <w:szCs w:val="26"/>
        </w:rPr>
        <w:t>, 155 FERC ¶</w:t>
      </w:r>
      <w:r>
        <w:rPr>
          <w:szCs w:val="26"/>
        </w:rPr>
        <w:t> </w:t>
      </w:r>
      <w:r w:rsidRPr="00A50DBE">
        <w:rPr>
          <w:szCs w:val="26"/>
        </w:rPr>
        <w:t>61,229 at P</w:t>
      </w:r>
      <w:r>
        <w:rPr>
          <w:szCs w:val="26"/>
        </w:rPr>
        <w:t> </w:t>
      </w:r>
      <w:r w:rsidRPr="00A50DBE">
        <w:rPr>
          <w:szCs w:val="26"/>
        </w:rPr>
        <w:t>11 (accepting CAISO model that allows intermittent resources to participate in a dispatchable aggregation)).</w:t>
      </w:r>
    </w:p>
  </w:footnote>
  <w:footnote w:id="308">
    <w:p w:rsidRPr="00716CDF" w:rsidR="00FB7F86" w:rsidP="002628B2" w:rsidRDefault="00FB7F86" w14:paraId="5FD21542" w14:textId="77777777">
      <w:pPr>
        <w:pStyle w:val="FootnoteText"/>
        <w:rPr>
          <w:szCs w:val="26"/>
        </w:rPr>
      </w:pPr>
      <w:r w:rsidRPr="00716CDF">
        <w:rPr>
          <w:rStyle w:val="FootnoteReference"/>
          <w:szCs w:val="26"/>
        </w:rPr>
        <w:footnoteRef/>
      </w:r>
      <w:r w:rsidRPr="00716CDF">
        <w:rPr>
          <w:rFonts w:eastAsia="Cambria"/>
          <w:szCs w:val="26"/>
        </w:rPr>
        <w:t xml:space="preserve"> NYISO </w:t>
      </w:r>
      <w:r>
        <w:rPr>
          <w:rFonts w:eastAsia="Cambria"/>
          <w:szCs w:val="26"/>
        </w:rPr>
        <w:t>Comments (RM16-23) at</w:t>
      </w:r>
      <w:r w:rsidRPr="00716CDF">
        <w:rPr>
          <w:rFonts w:eastAsia="Cambria"/>
          <w:szCs w:val="26"/>
        </w:rPr>
        <w:t xml:space="preserve"> </w:t>
      </w:r>
      <w:r>
        <w:rPr>
          <w:rFonts w:eastAsia="Cambria"/>
          <w:szCs w:val="26"/>
        </w:rPr>
        <w:t>11</w:t>
      </w:r>
      <w:r w:rsidRPr="00716CDF">
        <w:rPr>
          <w:rFonts w:eastAsia="Cambria"/>
          <w:szCs w:val="26"/>
        </w:rPr>
        <w:t>.</w:t>
      </w:r>
    </w:p>
  </w:footnote>
  <w:footnote w:id="309">
    <w:p w:rsidRPr="00A50DBE" w:rsidR="00FB7F86" w:rsidP="00CB7468" w:rsidRDefault="00FB7F86" w14:paraId="31CD817D" w14:textId="0B9A04CB">
      <w:pPr>
        <w:pStyle w:val="FootnoteText"/>
        <w:rPr>
          <w:szCs w:val="26"/>
        </w:rPr>
      </w:pPr>
      <w:r w:rsidRPr="00A50DBE">
        <w:rPr>
          <w:rStyle w:val="FootnoteReference"/>
        </w:rPr>
        <w:footnoteRef/>
      </w:r>
      <w:r w:rsidRPr="00A50DBE">
        <w:rPr>
          <w:szCs w:val="26"/>
        </w:rPr>
        <w:t xml:space="preserve"> </w:t>
      </w:r>
      <w:r w:rsidRPr="00A50DBE">
        <w:rPr>
          <w:rFonts w:eastAsia="Cambria"/>
          <w:szCs w:val="26"/>
        </w:rPr>
        <w:t xml:space="preserve">New York State Entities </w:t>
      </w:r>
      <w:r>
        <w:rPr>
          <w:rFonts w:eastAsia="Cambria"/>
          <w:szCs w:val="26"/>
        </w:rPr>
        <w:t>Comments (RM16-23) at</w:t>
      </w:r>
      <w:r w:rsidRPr="00A50DBE">
        <w:rPr>
          <w:rFonts w:eastAsia="Cambria"/>
          <w:szCs w:val="26"/>
        </w:rPr>
        <w:t xml:space="preserve"> 12, 13</w:t>
      </w:r>
      <w:r>
        <w:rPr>
          <w:rFonts w:eastAsia="Cambria"/>
          <w:szCs w:val="26"/>
        </w:rPr>
        <w:t xml:space="preserve"> (citing</w:t>
      </w:r>
      <w:r>
        <w:rPr>
          <w:rFonts w:eastAsia="Cambria"/>
          <w:i/>
          <w:iCs/>
          <w:szCs w:val="26"/>
        </w:rPr>
        <w:t xml:space="preserve"> </w:t>
      </w:r>
      <w:r w:rsidRPr="008216B0">
        <w:rPr>
          <w:i/>
          <w:iCs/>
        </w:rPr>
        <w:t>Distributed Energy Resources Roadmap for New York’s Wholesale Electricity Markets</w:t>
      </w:r>
      <w:r w:rsidRPr="00596B65">
        <w:t>,</w:t>
      </w:r>
      <w:r w:rsidRPr="00DE70CD">
        <w:t xml:space="preserve"> </w:t>
      </w:r>
      <w:r w:rsidRPr="008216B0">
        <w:t>(January 2017), New York Independent Syste</w:t>
      </w:r>
      <w:r>
        <w:t xml:space="preserve">m Operator, Inc.) (Distributed Energy Resource Roadmap); </w:t>
      </w:r>
      <w:r>
        <w:rPr>
          <w:rFonts w:eastAsia="Cambria"/>
          <w:i/>
          <w:iCs/>
          <w:szCs w:val="26"/>
        </w:rPr>
        <w:t xml:space="preserve">see </w:t>
      </w:r>
      <w:r w:rsidRPr="00F34044">
        <w:rPr>
          <w:rFonts w:eastAsia="Cambria"/>
          <w:i/>
          <w:iCs/>
          <w:szCs w:val="26"/>
        </w:rPr>
        <w:t>supra</w:t>
      </w:r>
      <w:r w:rsidRPr="00F34044">
        <w:rPr>
          <w:rFonts w:eastAsia="Cambria"/>
          <w:szCs w:val="26"/>
        </w:rPr>
        <w:t xml:space="preserve"> </w:t>
      </w:r>
      <w:r w:rsidRPr="00FA595F">
        <w:rPr>
          <w:rFonts w:eastAsia="Cambria"/>
          <w:szCs w:val="26"/>
        </w:rPr>
        <w:t>note 2</w:t>
      </w:r>
      <w:r w:rsidRPr="00F34044">
        <w:rPr>
          <w:rFonts w:eastAsia="Cambria"/>
          <w:szCs w:val="26"/>
        </w:rPr>
        <w:t>1.</w:t>
      </w:r>
      <w:r w:rsidRPr="00A50DBE">
        <w:rPr>
          <w:rFonts w:eastAsia="Cambria"/>
          <w:szCs w:val="26"/>
        </w:rPr>
        <w:t xml:space="preserve">  </w:t>
      </w:r>
    </w:p>
  </w:footnote>
  <w:footnote w:id="310">
    <w:p w:rsidRPr="00716CDF" w:rsidR="00FB7F86" w:rsidP="00CB7468" w:rsidRDefault="00FB7F86" w14:paraId="33ED6D74" w14:textId="64E4901C">
      <w:pPr>
        <w:pStyle w:val="FootnoteText"/>
        <w:rPr>
          <w:szCs w:val="26"/>
        </w:rPr>
      </w:pPr>
      <w:r w:rsidRPr="00242FA5">
        <w:rPr>
          <w:rStyle w:val="FootnoteReference"/>
        </w:rPr>
        <w:footnoteRef/>
      </w:r>
      <w:r w:rsidRPr="00242FA5">
        <w:rPr>
          <w:rFonts w:eastAsia="Cambria"/>
          <w:szCs w:val="26"/>
        </w:rPr>
        <w:t xml:space="preserve"> New York State Entities </w:t>
      </w:r>
      <w:r>
        <w:rPr>
          <w:rFonts w:eastAsia="Cambria"/>
          <w:szCs w:val="26"/>
        </w:rPr>
        <w:t>Comments (RM16-23) at</w:t>
      </w:r>
      <w:r w:rsidRPr="00242FA5">
        <w:rPr>
          <w:rFonts w:eastAsia="Cambria"/>
          <w:szCs w:val="26"/>
        </w:rPr>
        <w:t xml:space="preserve"> 13 (citing D</w:t>
      </w:r>
      <w:r>
        <w:rPr>
          <w:rFonts w:eastAsia="Cambria"/>
          <w:szCs w:val="26"/>
        </w:rPr>
        <w:t>istributed Energy Resource</w:t>
      </w:r>
      <w:r w:rsidRPr="00242FA5">
        <w:rPr>
          <w:rFonts w:eastAsia="Cambria"/>
          <w:szCs w:val="26"/>
        </w:rPr>
        <w:t xml:space="preserve"> Roadmap at 4-6).</w:t>
      </w:r>
    </w:p>
  </w:footnote>
  <w:footnote w:id="311">
    <w:p w:rsidRPr="00A50DBE" w:rsidR="00FB7F86" w:rsidP="00CB7468" w:rsidRDefault="00FB7F86" w14:paraId="6DB8F0CD" w14:textId="51E16950">
      <w:pPr>
        <w:pStyle w:val="FootnoteText"/>
        <w:rPr>
          <w:szCs w:val="26"/>
        </w:rPr>
      </w:pPr>
      <w:r w:rsidRPr="00A50DBE">
        <w:rPr>
          <w:rStyle w:val="FootnoteReference"/>
          <w:szCs w:val="26"/>
        </w:rPr>
        <w:footnoteRef/>
      </w:r>
      <w:r w:rsidRPr="00A50DBE">
        <w:rPr>
          <w:szCs w:val="26"/>
        </w:rPr>
        <w:t xml:space="preserve"> Advanced Energy Economy </w:t>
      </w:r>
      <w:r>
        <w:rPr>
          <w:szCs w:val="26"/>
        </w:rPr>
        <w:t>Comments (2018 RM18-9)</w:t>
      </w:r>
      <w:r w:rsidRPr="00A50DBE">
        <w:rPr>
          <w:szCs w:val="26"/>
        </w:rPr>
        <w:t xml:space="preserve"> at 5-6; Advanced Energy Management </w:t>
      </w:r>
      <w:r>
        <w:rPr>
          <w:szCs w:val="26"/>
        </w:rPr>
        <w:t>Comments (2018 RM18-9)</w:t>
      </w:r>
      <w:r w:rsidRPr="00A50DBE">
        <w:rPr>
          <w:szCs w:val="26"/>
        </w:rPr>
        <w:t xml:space="preserve"> at 3; Icetec Energy </w:t>
      </w:r>
      <w:r>
        <w:rPr>
          <w:szCs w:val="26"/>
        </w:rPr>
        <w:t>Comments (2018 RM18-9)</w:t>
      </w:r>
      <w:r w:rsidRPr="00A50DBE">
        <w:rPr>
          <w:szCs w:val="26"/>
        </w:rPr>
        <w:t xml:space="preserve"> at </w:t>
      </w:r>
      <w:r>
        <w:rPr>
          <w:szCs w:val="26"/>
        </w:rPr>
        <w:t xml:space="preserve">3-4, </w:t>
      </w:r>
      <w:r w:rsidRPr="00A50DBE">
        <w:rPr>
          <w:szCs w:val="26"/>
        </w:rPr>
        <w:t>6; NYISO Indicated Transmission</w:t>
      </w:r>
      <w:r>
        <w:rPr>
          <w:szCs w:val="26"/>
        </w:rPr>
        <w:t xml:space="preserve"> Owners Comments</w:t>
      </w:r>
      <w:r w:rsidRPr="00A50DBE">
        <w:rPr>
          <w:szCs w:val="26"/>
        </w:rPr>
        <w:t xml:space="preserve"> (</w:t>
      </w:r>
      <w:r>
        <w:rPr>
          <w:szCs w:val="26"/>
        </w:rPr>
        <w:t xml:space="preserve">2018 </w:t>
      </w:r>
      <w:r w:rsidRPr="00A50DBE">
        <w:rPr>
          <w:szCs w:val="26"/>
        </w:rPr>
        <w:t>RM18-9) at 5.</w:t>
      </w:r>
    </w:p>
  </w:footnote>
  <w:footnote w:id="312">
    <w:p w:rsidRPr="00A50DBE" w:rsidR="00FB7F86" w:rsidP="00CB7468" w:rsidRDefault="00FB7F86" w14:paraId="6AFADC4F" w14:textId="77777777">
      <w:pPr>
        <w:pStyle w:val="FootnoteText"/>
        <w:rPr>
          <w:szCs w:val="26"/>
        </w:rPr>
      </w:pPr>
      <w:r w:rsidRPr="00A50DBE">
        <w:rPr>
          <w:rStyle w:val="FootnoteReference"/>
          <w:szCs w:val="26"/>
        </w:rPr>
        <w:footnoteRef/>
      </w:r>
      <w:r w:rsidRPr="00A50DBE">
        <w:rPr>
          <w:szCs w:val="26"/>
        </w:rPr>
        <w:t xml:space="preserve"> ISO-NE </w:t>
      </w:r>
      <w:r>
        <w:rPr>
          <w:szCs w:val="26"/>
        </w:rPr>
        <w:t>Comments (2018 RM18-9)</w:t>
      </w:r>
      <w:r w:rsidRPr="00A50DBE">
        <w:rPr>
          <w:szCs w:val="26"/>
        </w:rPr>
        <w:t xml:space="preserve"> at 2-4</w:t>
      </w:r>
      <w:r>
        <w:rPr>
          <w:szCs w:val="26"/>
        </w:rPr>
        <w:t>.</w:t>
      </w:r>
    </w:p>
  </w:footnote>
  <w:footnote w:id="313">
    <w:p w:rsidRPr="00A50DBE" w:rsidR="00FB7F86" w:rsidP="00CB7468" w:rsidRDefault="00FB7F86" w14:paraId="40E7269C" w14:textId="77777777">
      <w:pPr>
        <w:pStyle w:val="FootnoteText"/>
        <w:rPr>
          <w:szCs w:val="26"/>
        </w:rPr>
      </w:pPr>
      <w:r w:rsidRPr="00A50DBE">
        <w:rPr>
          <w:rStyle w:val="FootnoteReference"/>
          <w:szCs w:val="26"/>
        </w:rPr>
        <w:footnoteRef/>
      </w:r>
      <w:r w:rsidRPr="00A50DBE">
        <w:rPr>
          <w:szCs w:val="26"/>
        </w:rPr>
        <w:t xml:space="preserve"> Advanced Energy Management </w:t>
      </w:r>
      <w:r>
        <w:rPr>
          <w:szCs w:val="26"/>
        </w:rPr>
        <w:t>Comments (2018 RM18-9)</w:t>
      </w:r>
      <w:r w:rsidRPr="00A50DBE">
        <w:rPr>
          <w:szCs w:val="26"/>
        </w:rPr>
        <w:t xml:space="preserve"> at 3.</w:t>
      </w:r>
    </w:p>
  </w:footnote>
  <w:footnote w:id="314">
    <w:p w:rsidRPr="00A50DBE" w:rsidR="00FB7F86" w:rsidP="00CB7468" w:rsidRDefault="00FB7F86" w14:paraId="7EC11193" w14:textId="77777777">
      <w:pPr>
        <w:pStyle w:val="FootnoteText"/>
        <w:rPr>
          <w:szCs w:val="26"/>
        </w:rPr>
      </w:pPr>
      <w:r w:rsidRPr="00A50DBE">
        <w:rPr>
          <w:rStyle w:val="FootnoteReference"/>
          <w:szCs w:val="26"/>
        </w:rPr>
        <w:footnoteRef/>
      </w:r>
      <w:r w:rsidRPr="00A50DBE">
        <w:rPr>
          <w:szCs w:val="26"/>
        </w:rPr>
        <w:t xml:space="preserve"> Icetec </w:t>
      </w:r>
      <w:r>
        <w:rPr>
          <w:szCs w:val="26"/>
        </w:rPr>
        <w:t>Comments (2018 RM18-9)</w:t>
      </w:r>
      <w:r w:rsidRPr="00A50DBE">
        <w:rPr>
          <w:szCs w:val="26"/>
        </w:rPr>
        <w:t xml:space="preserve"> at 5</w:t>
      </w:r>
    </w:p>
  </w:footnote>
  <w:footnote w:id="315">
    <w:p w:rsidRPr="00A50DBE" w:rsidR="00FB7F86" w:rsidP="00CB7468" w:rsidRDefault="00FB7F86" w14:paraId="4FCC2B9D" w14:textId="597BC8C1">
      <w:pPr>
        <w:pStyle w:val="FootnoteText"/>
        <w:rPr>
          <w:szCs w:val="26"/>
        </w:rPr>
      </w:pPr>
      <w:r w:rsidRPr="00A50DBE">
        <w:rPr>
          <w:rStyle w:val="FootnoteReference"/>
          <w:szCs w:val="26"/>
        </w:rPr>
        <w:footnoteRef/>
      </w:r>
      <w:r w:rsidRPr="00A50DBE">
        <w:rPr>
          <w:szCs w:val="26"/>
        </w:rPr>
        <w:t xml:space="preserve"> Tes</w:t>
      </w:r>
      <w:r>
        <w:rPr>
          <w:szCs w:val="26"/>
        </w:rPr>
        <w:t>l</w:t>
      </w:r>
      <w:r w:rsidRPr="00A50DBE">
        <w:rPr>
          <w:szCs w:val="26"/>
        </w:rPr>
        <w:t xml:space="preserve">a </w:t>
      </w:r>
      <w:r>
        <w:rPr>
          <w:szCs w:val="26"/>
        </w:rPr>
        <w:t>Comments (2018 RM18-9)</w:t>
      </w:r>
      <w:r w:rsidRPr="00A50DBE">
        <w:rPr>
          <w:szCs w:val="26"/>
        </w:rPr>
        <w:t xml:space="preserve"> at 1, 9.</w:t>
      </w:r>
    </w:p>
  </w:footnote>
  <w:footnote w:id="316">
    <w:p w:rsidR="00FB7F86" w:rsidRDefault="00FB7F86" w14:paraId="21C6D1FE" w14:textId="2D10670C">
      <w:pPr>
        <w:pStyle w:val="FootnoteText"/>
      </w:pPr>
      <w:r>
        <w:rPr>
          <w:rStyle w:val="FootnoteReference"/>
        </w:rPr>
        <w:footnoteRef/>
      </w:r>
      <w:r>
        <w:t xml:space="preserve"> NOPR, </w:t>
      </w:r>
      <w:r w:rsidRPr="00102604">
        <w:rPr>
          <w:szCs w:val="26"/>
        </w:rPr>
        <w:t>157 FERC ¶</w:t>
      </w:r>
      <w:r>
        <w:rPr>
          <w:szCs w:val="26"/>
        </w:rPr>
        <w:t> </w:t>
      </w:r>
      <w:r w:rsidRPr="00102604">
        <w:rPr>
          <w:szCs w:val="26"/>
        </w:rPr>
        <w:t>61,121</w:t>
      </w:r>
      <w:r>
        <w:t xml:space="preserve"> at P 104</w:t>
      </w:r>
      <w:r>
        <w:rPr>
          <w:i/>
        </w:rPr>
        <w:t>; s</w:t>
      </w:r>
      <w:r w:rsidRPr="0070500C">
        <w:rPr>
          <w:i/>
        </w:rPr>
        <w:t>ee supra</w:t>
      </w:r>
      <w:r>
        <w:t xml:space="preserve"> </w:t>
      </w:r>
      <w:r w:rsidRPr="0021276F">
        <w:t>Section IV.B. (Definitions of Distributed Energy Resource and Distributed Energy Resource Aggregation</w:t>
      </w:r>
      <w:r>
        <w:t>).</w:t>
      </w:r>
    </w:p>
  </w:footnote>
  <w:footnote w:id="317">
    <w:p w:rsidR="00FB7F86" w:rsidRDefault="00FB7F86" w14:paraId="021A470B" w14:textId="6BEDDEEA">
      <w:pPr>
        <w:pStyle w:val="FootnoteText"/>
      </w:pPr>
      <w:r>
        <w:rPr>
          <w:rStyle w:val="FootnoteReference"/>
        </w:rPr>
        <w:footnoteRef/>
      </w:r>
      <w:r>
        <w:t xml:space="preserve"> NOPR, </w:t>
      </w:r>
      <w:r w:rsidRPr="00102604">
        <w:rPr>
          <w:szCs w:val="26"/>
        </w:rPr>
        <w:t>157 FERC ¶</w:t>
      </w:r>
      <w:r>
        <w:rPr>
          <w:szCs w:val="26"/>
        </w:rPr>
        <w:t> </w:t>
      </w:r>
      <w:r w:rsidRPr="00102604">
        <w:rPr>
          <w:szCs w:val="26"/>
        </w:rPr>
        <w:t>61,121</w:t>
      </w:r>
      <w:r>
        <w:t xml:space="preserve"> at P 133.</w:t>
      </w:r>
    </w:p>
  </w:footnote>
  <w:footnote w:id="318">
    <w:p w:rsidRPr="00407052" w:rsidR="00FB7F86" w:rsidP="008D1463" w:rsidRDefault="00FB7F86" w14:paraId="7ED547B1" w14:textId="29EBA81C">
      <w:pPr>
        <w:pStyle w:val="FootnoteText"/>
      </w:pPr>
      <w:r w:rsidRPr="00407052">
        <w:rPr>
          <w:rStyle w:val="FootnoteReference"/>
        </w:rPr>
        <w:footnoteRef/>
      </w:r>
      <w:r w:rsidRPr="00407052">
        <w:t xml:space="preserve"> </w:t>
      </w:r>
      <w:r>
        <w:rPr>
          <w:i/>
          <w:iCs/>
        </w:rPr>
        <w:t>Id.</w:t>
      </w:r>
      <w:r>
        <w:t xml:space="preserve"> P 133 </w:t>
      </w:r>
      <w:r w:rsidRPr="00407052">
        <w:t>n.231.</w:t>
      </w:r>
    </w:p>
  </w:footnote>
  <w:footnote w:id="319">
    <w:p w:rsidRPr="00FF61B5" w:rsidR="00FB7F86" w:rsidRDefault="00FB7F86" w14:paraId="08FFB13F" w14:textId="304BDF4B">
      <w:pPr>
        <w:pStyle w:val="FootnoteText"/>
      </w:pPr>
      <w:r>
        <w:rPr>
          <w:rStyle w:val="FootnoteReference"/>
        </w:rPr>
        <w:footnoteRef/>
      </w:r>
      <w:r>
        <w:t xml:space="preserve"> </w:t>
      </w:r>
      <w:r>
        <w:rPr>
          <w:i/>
          <w:iCs/>
        </w:rPr>
        <w:t>Id.</w:t>
      </w:r>
      <w:r>
        <w:t xml:space="preserve"> P 133.</w:t>
      </w:r>
    </w:p>
  </w:footnote>
  <w:footnote w:id="320">
    <w:p w:rsidRPr="005A4608" w:rsidR="00FB7F86" w:rsidP="008D1463" w:rsidRDefault="00FB7F86" w14:paraId="361F2E94" w14:textId="2A1D367D">
      <w:pPr>
        <w:pStyle w:val="FootnoteText"/>
        <w:rPr>
          <w:b/>
          <w:szCs w:val="26"/>
        </w:rPr>
      </w:pPr>
      <w:r w:rsidRPr="00716CDF">
        <w:rPr>
          <w:rStyle w:val="FootnoteReference"/>
          <w:szCs w:val="26"/>
        </w:rPr>
        <w:footnoteRef/>
      </w:r>
      <w:r w:rsidRPr="00716CDF">
        <w:rPr>
          <w:szCs w:val="26"/>
        </w:rPr>
        <w:t xml:space="preserve"> </w:t>
      </w:r>
      <w:r>
        <w:rPr>
          <w:i/>
          <w:iCs/>
          <w:szCs w:val="26"/>
        </w:rPr>
        <w:t>See, e.g.</w:t>
      </w:r>
      <w:r w:rsidRPr="002C0479">
        <w:rPr>
          <w:szCs w:val="26"/>
        </w:rPr>
        <w:t>,</w:t>
      </w:r>
      <w:r>
        <w:rPr>
          <w:i/>
          <w:szCs w:val="26"/>
        </w:rPr>
        <w:t xml:space="preserve"> </w:t>
      </w:r>
      <w:r>
        <w:rPr>
          <w:szCs w:val="26"/>
        </w:rPr>
        <w:t xml:space="preserve">AES Companies (RM16-23) at 32-33; </w:t>
      </w:r>
      <w:r w:rsidRPr="00716CDF">
        <w:rPr>
          <w:szCs w:val="26"/>
        </w:rPr>
        <w:t xml:space="preserve">CAISO </w:t>
      </w:r>
      <w:r>
        <w:rPr>
          <w:szCs w:val="26"/>
        </w:rPr>
        <w:t>Comments (RM16-23) at</w:t>
      </w:r>
      <w:r w:rsidRPr="00716CDF">
        <w:rPr>
          <w:szCs w:val="26"/>
        </w:rPr>
        <w:t xml:space="preserve"> 23; City of New York </w:t>
      </w:r>
      <w:r>
        <w:rPr>
          <w:szCs w:val="26"/>
        </w:rPr>
        <w:t>Comments (RM16-23) at</w:t>
      </w:r>
      <w:r w:rsidRPr="00716CDF">
        <w:rPr>
          <w:szCs w:val="26"/>
        </w:rPr>
        <w:t xml:space="preserve"> 8;</w:t>
      </w:r>
      <w:r>
        <w:rPr>
          <w:szCs w:val="26"/>
        </w:rPr>
        <w:t xml:space="preserve"> </w:t>
      </w:r>
      <w:r w:rsidRPr="00716CDF">
        <w:rPr>
          <w:szCs w:val="26"/>
        </w:rPr>
        <w:t xml:space="preserve">Massachusetts </w:t>
      </w:r>
      <w:r>
        <w:rPr>
          <w:szCs w:val="26"/>
        </w:rPr>
        <w:t>Commission Comments (RM16-23) at</w:t>
      </w:r>
      <w:r w:rsidRPr="00716CDF">
        <w:rPr>
          <w:szCs w:val="26"/>
        </w:rPr>
        <w:t xml:space="preserve"> 8</w:t>
      </w:r>
      <w:r>
        <w:rPr>
          <w:szCs w:val="26"/>
        </w:rPr>
        <w:t>-10</w:t>
      </w:r>
      <w:r w:rsidRPr="00716CDF">
        <w:rPr>
          <w:szCs w:val="26"/>
        </w:rPr>
        <w:t xml:space="preserve">; R Street Institute </w:t>
      </w:r>
      <w:r>
        <w:rPr>
          <w:szCs w:val="26"/>
        </w:rPr>
        <w:t>Comments (RM16-23) at</w:t>
      </w:r>
      <w:r w:rsidRPr="00716CDF">
        <w:rPr>
          <w:szCs w:val="26"/>
        </w:rPr>
        <w:t xml:space="preserve"> 8.</w:t>
      </w:r>
      <w:r>
        <w:rPr>
          <w:szCs w:val="26"/>
        </w:rPr>
        <w:t xml:space="preserve">  </w:t>
      </w:r>
    </w:p>
  </w:footnote>
  <w:footnote w:id="321">
    <w:p w:rsidRPr="00A50DBE" w:rsidR="00FB7F86" w:rsidP="00903874" w:rsidRDefault="00FB7F86" w14:paraId="2E2CC248" w14:textId="77777777">
      <w:pPr>
        <w:pStyle w:val="FootnoteText"/>
        <w:rPr>
          <w:szCs w:val="26"/>
        </w:rPr>
      </w:pPr>
      <w:r w:rsidRPr="00A50DBE">
        <w:rPr>
          <w:rStyle w:val="FootnoteReference"/>
        </w:rPr>
        <w:footnoteRef/>
      </w:r>
      <w:r w:rsidRPr="00A50DBE">
        <w:rPr>
          <w:rFonts w:eastAsia="Cambria"/>
          <w:color w:val="000000"/>
          <w:szCs w:val="26"/>
        </w:rPr>
        <w:t xml:space="preserve"> Efficient Holdings </w:t>
      </w:r>
      <w:r>
        <w:rPr>
          <w:rFonts w:eastAsia="Cambria"/>
          <w:color w:val="000000"/>
          <w:szCs w:val="26"/>
        </w:rPr>
        <w:t>Comments (RM16-23) at</w:t>
      </w:r>
      <w:r w:rsidRPr="00A50DBE">
        <w:rPr>
          <w:rFonts w:eastAsia="Cambria"/>
          <w:color w:val="000000"/>
          <w:szCs w:val="26"/>
        </w:rPr>
        <w:t xml:space="preserve"> 7</w:t>
      </w:r>
      <w:r>
        <w:rPr>
          <w:rFonts w:eastAsia="Cambria"/>
          <w:color w:val="000000"/>
          <w:szCs w:val="26"/>
        </w:rPr>
        <w:t>-9</w:t>
      </w:r>
      <w:r w:rsidRPr="00A50DBE">
        <w:rPr>
          <w:rFonts w:eastAsia="Cambria"/>
          <w:color w:val="000000"/>
          <w:szCs w:val="26"/>
        </w:rPr>
        <w:t>.</w:t>
      </w:r>
    </w:p>
  </w:footnote>
  <w:footnote w:id="322">
    <w:p w:rsidRPr="00A50DBE" w:rsidR="00FB7F86" w:rsidP="00903874" w:rsidRDefault="00FB7F86" w14:paraId="0626092B" w14:textId="77777777">
      <w:pPr>
        <w:pStyle w:val="FootnoteText"/>
        <w:rPr>
          <w:szCs w:val="26"/>
        </w:rPr>
      </w:pPr>
      <w:r w:rsidRPr="00A50DBE">
        <w:rPr>
          <w:rStyle w:val="FootnoteReference"/>
        </w:rPr>
        <w:footnoteRef/>
      </w:r>
      <w:r w:rsidRPr="00A50DBE">
        <w:rPr>
          <w:color w:val="000000"/>
          <w:szCs w:val="26"/>
        </w:rPr>
        <w:t xml:space="preserve"> Energy Storage Association </w:t>
      </w:r>
      <w:r>
        <w:rPr>
          <w:color w:val="000000"/>
          <w:szCs w:val="26"/>
        </w:rPr>
        <w:t xml:space="preserve">(RM16-23) </w:t>
      </w:r>
      <w:r w:rsidRPr="00A50DBE">
        <w:rPr>
          <w:color w:val="000000"/>
          <w:szCs w:val="26"/>
        </w:rPr>
        <w:t>at 24</w:t>
      </w:r>
      <w:r>
        <w:rPr>
          <w:color w:val="000000"/>
          <w:szCs w:val="26"/>
        </w:rPr>
        <w:t xml:space="preserve">-25; </w:t>
      </w:r>
      <w:r w:rsidRPr="00A50DBE">
        <w:rPr>
          <w:rFonts w:eastAsia="Cambria"/>
          <w:color w:val="000000"/>
          <w:szCs w:val="26"/>
        </w:rPr>
        <w:t xml:space="preserve">Stem </w:t>
      </w:r>
      <w:r>
        <w:rPr>
          <w:rFonts w:eastAsia="Cambria"/>
          <w:color w:val="000000"/>
          <w:szCs w:val="26"/>
        </w:rPr>
        <w:t>Comments (RM16-23) at</w:t>
      </w:r>
      <w:r w:rsidRPr="00A50DBE">
        <w:rPr>
          <w:rFonts w:eastAsia="Cambria"/>
          <w:color w:val="000000"/>
          <w:szCs w:val="26"/>
        </w:rPr>
        <w:t xml:space="preserve"> 7, 12, 13</w:t>
      </w:r>
      <w:r w:rsidRPr="00A50DBE">
        <w:rPr>
          <w:color w:val="000000"/>
          <w:szCs w:val="26"/>
        </w:rPr>
        <w:t>.</w:t>
      </w:r>
    </w:p>
  </w:footnote>
  <w:footnote w:id="323">
    <w:p w:rsidRPr="00A50DBE" w:rsidR="00FB7F86" w:rsidP="00903874" w:rsidRDefault="00FB7F86" w14:paraId="7C3A7542" w14:textId="77777777">
      <w:pPr>
        <w:pStyle w:val="FootnoteText"/>
        <w:rPr>
          <w:szCs w:val="26"/>
        </w:rPr>
      </w:pPr>
      <w:r w:rsidRPr="00A50DBE">
        <w:rPr>
          <w:rStyle w:val="FootnoteReference"/>
        </w:rPr>
        <w:footnoteRef/>
      </w:r>
      <w:r w:rsidRPr="00A50DBE">
        <w:rPr>
          <w:szCs w:val="26"/>
        </w:rPr>
        <w:t xml:space="preserve"> </w:t>
      </w:r>
      <w:r w:rsidRPr="00A50DBE">
        <w:rPr>
          <w:rFonts w:eastAsia="Cambria"/>
          <w:color w:val="000000"/>
          <w:szCs w:val="26"/>
        </w:rPr>
        <w:t xml:space="preserve">Stem </w:t>
      </w:r>
      <w:r>
        <w:rPr>
          <w:rFonts w:eastAsia="Cambria"/>
          <w:color w:val="000000"/>
          <w:szCs w:val="26"/>
        </w:rPr>
        <w:t>Comments (RM16-23) at</w:t>
      </w:r>
      <w:r w:rsidRPr="00A50DBE">
        <w:rPr>
          <w:rFonts w:eastAsia="Cambria"/>
          <w:color w:val="000000"/>
          <w:szCs w:val="26"/>
        </w:rPr>
        <w:t xml:space="preserve"> 12, 13.</w:t>
      </w:r>
    </w:p>
  </w:footnote>
  <w:footnote w:id="324">
    <w:p w:rsidRPr="00716CDF" w:rsidR="00FB7F86" w:rsidP="008D1463" w:rsidRDefault="00FB7F86" w14:paraId="3FE18245" w14:textId="77777777">
      <w:pPr>
        <w:pStyle w:val="FootnoteText"/>
        <w:rPr>
          <w:szCs w:val="26"/>
        </w:rPr>
      </w:pPr>
      <w:r w:rsidRPr="00716CDF">
        <w:rPr>
          <w:rStyle w:val="FootnoteReference"/>
          <w:szCs w:val="26"/>
        </w:rPr>
        <w:footnoteRef/>
      </w:r>
      <w:r w:rsidRPr="00716CDF">
        <w:rPr>
          <w:szCs w:val="26"/>
        </w:rPr>
        <w:t xml:space="preserve"> CAISO </w:t>
      </w:r>
      <w:r>
        <w:rPr>
          <w:szCs w:val="26"/>
        </w:rPr>
        <w:t>Comments (RM16-23) at</w:t>
      </w:r>
      <w:r w:rsidRPr="00716CDF">
        <w:rPr>
          <w:szCs w:val="26"/>
        </w:rPr>
        <w:t xml:space="preserve"> 23.</w:t>
      </w:r>
    </w:p>
  </w:footnote>
  <w:footnote w:id="325">
    <w:p w:rsidRPr="00D377EB" w:rsidR="00FB7F86" w:rsidP="008D1463" w:rsidRDefault="00FB7F86" w14:paraId="494F67AF" w14:textId="77777777">
      <w:pPr>
        <w:pStyle w:val="FootnoteText"/>
      </w:pPr>
      <w:r w:rsidRPr="00D377EB">
        <w:rPr>
          <w:b/>
          <w:vertAlign w:val="superscript"/>
        </w:rPr>
        <w:footnoteRef/>
      </w:r>
      <w:r w:rsidRPr="00D377EB">
        <w:t xml:space="preserve"> AES Companies Comments (RM16-23) at 32-33.</w:t>
      </w:r>
    </w:p>
  </w:footnote>
  <w:footnote w:id="326">
    <w:p w:rsidRPr="00716CDF" w:rsidR="00FB7F86" w:rsidP="008D1463" w:rsidRDefault="00FB7F86" w14:paraId="06497D85" w14:textId="77777777">
      <w:pPr>
        <w:pStyle w:val="FootnoteText"/>
        <w:rPr>
          <w:szCs w:val="26"/>
        </w:rPr>
      </w:pPr>
      <w:r w:rsidRPr="00716CDF">
        <w:rPr>
          <w:rStyle w:val="FootnoteReference"/>
          <w:szCs w:val="26"/>
        </w:rPr>
        <w:footnoteRef/>
      </w:r>
      <w:r w:rsidRPr="00716CDF">
        <w:rPr>
          <w:szCs w:val="26"/>
        </w:rPr>
        <w:t xml:space="preserve"> American Petroleum Institute </w:t>
      </w:r>
      <w:r>
        <w:rPr>
          <w:szCs w:val="26"/>
        </w:rPr>
        <w:t>Comments (RM16-23) at</w:t>
      </w:r>
      <w:r w:rsidRPr="00716CDF">
        <w:rPr>
          <w:szCs w:val="26"/>
        </w:rPr>
        <w:t xml:space="preserve"> 10; ISO-NE </w:t>
      </w:r>
      <w:r>
        <w:rPr>
          <w:szCs w:val="26"/>
        </w:rPr>
        <w:t>Comments (RM16-23) at</w:t>
      </w:r>
      <w:r w:rsidRPr="00716CDF">
        <w:rPr>
          <w:szCs w:val="26"/>
        </w:rPr>
        <w:t xml:space="preserve"> 31-35; TAPS </w:t>
      </w:r>
      <w:r>
        <w:rPr>
          <w:szCs w:val="26"/>
        </w:rPr>
        <w:t>Comments (RM16-23) at</w:t>
      </w:r>
      <w:r w:rsidRPr="00716CDF">
        <w:rPr>
          <w:szCs w:val="26"/>
        </w:rPr>
        <w:t xml:space="preserve"> 27.</w:t>
      </w:r>
    </w:p>
  </w:footnote>
  <w:footnote w:id="327">
    <w:p w:rsidRPr="00716CDF" w:rsidR="00FB7F86" w:rsidP="008D1463" w:rsidRDefault="00FB7F86" w14:paraId="4C60FBBB" w14:textId="77777777">
      <w:pPr>
        <w:pStyle w:val="FootnoteText"/>
        <w:rPr>
          <w:szCs w:val="26"/>
        </w:rPr>
      </w:pPr>
      <w:r w:rsidRPr="00716CDF">
        <w:rPr>
          <w:rStyle w:val="FootnoteReference"/>
          <w:szCs w:val="26"/>
        </w:rPr>
        <w:footnoteRef/>
      </w:r>
      <w:r w:rsidRPr="00716CDF">
        <w:rPr>
          <w:szCs w:val="26"/>
        </w:rPr>
        <w:t xml:space="preserve"> American Petroleum Institute </w:t>
      </w:r>
      <w:r>
        <w:rPr>
          <w:szCs w:val="26"/>
        </w:rPr>
        <w:t>Comments (RM16-23) at</w:t>
      </w:r>
      <w:r w:rsidRPr="00716CDF">
        <w:rPr>
          <w:szCs w:val="26"/>
        </w:rPr>
        <w:t xml:space="preserve"> 10.</w:t>
      </w:r>
    </w:p>
  </w:footnote>
  <w:footnote w:id="328">
    <w:p w:rsidRPr="00716CDF" w:rsidR="00FB7F86" w:rsidP="008D1463" w:rsidRDefault="00FB7F86" w14:paraId="3FA6196A" w14:textId="77777777">
      <w:pPr>
        <w:pStyle w:val="FootnoteText"/>
        <w:rPr>
          <w:szCs w:val="26"/>
        </w:rPr>
      </w:pPr>
      <w:r w:rsidRPr="00716CDF">
        <w:rPr>
          <w:rStyle w:val="FootnoteReference"/>
          <w:szCs w:val="26"/>
        </w:rPr>
        <w:footnoteRef/>
      </w:r>
      <w:r w:rsidRPr="00716CDF">
        <w:rPr>
          <w:szCs w:val="26"/>
        </w:rPr>
        <w:t xml:space="preserve"> TAPS </w:t>
      </w:r>
      <w:r>
        <w:rPr>
          <w:szCs w:val="26"/>
        </w:rPr>
        <w:t>Comments (RM16-23) at</w:t>
      </w:r>
      <w:r w:rsidRPr="00716CDF">
        <w:rPr>
          <w:szCs w:val="26"/>
        </w:rPr>
        <w:t xml:space="preserve"> 27.</w:t>
      </w:r>
    </w:p>
  </w:footnote>
  <w:footnote w:id="329">
    <w:p w:rsidRPr="004805D1" w:rsidR="00FB7F86" w:rsidP="008D1463" w:rsidRDefault="00FB7F86" w14:paraId="6229C13C" w14:textId="77777777">
      <w:pPr>
        <w:pStyle w:val="FootnoteText"/>
        <w:rPr>
          <w:szCs w:val="26"/>
        </w:rPr>
      </w:pPr>
      <w:r w:rsidRPr="004805D1">
        <w:rPr>
          <w:rStyle w:val="FootnoteReference"/>
          <w:szCs w:val="26"/>
        </w:rPr>
        <w:footnoteRef/>
      </w:r>
      <w:r w:rsidRPr="004805D1">
        <w:rPr>
          <w:szCs w:val="26"/>
        </w:rPr>
        <w:t xml:space="preserve"> CAISO </w:t>
      </w:r>
      <w:r>
        <w:rPr>
          <w:szCs w:val="26"/>
        </w:rPr>
        <w:t>Comments (RM16-23) at</w:t>
      </w:r>
      <w:r w:rsidRPr="004805D1">
        <w:rPr>
          <w:szCs w:val="26"/>
        </w:rPr>
        <w:t xml:space="preserve"> 38</w:t>
      </w:r>
      <w:r w:rsidRPr="00DF274B">
        <w:rPr>
          <w:szCs w:val="26"/>
        </w:rPr>
        <w:t>; Fresh Energy/Sierra Club/Union of Concerned Scientists Comments (RM16-23) at 3; New York State Entities Comments</w:t>
      </w:r>
      <w:r>
        <w:rPr>
          <w:szCs w:val="26"/>
        </w:rPr>
        <w:t xml:space="preserve"> </w:t>
      </w:r>
      <w:r w:rsidRPr="00DF274B">
        <w:rPr>
          <w:szCs w:val="26"/>
        </w:rPr>
        <w:t>(RM16-23) at 21</w:t>
      </w:r>
      <w:r w:rsidRPr="004805D1">
        <w:rPr>
          <w:szCs w:val="26"/>
        </w:rPr>
        <w:t>.</w:t>
      </w:r>
    </w:p>
  </w:footnote>
  <w:footnote w:id="330">
    <w:p w:rsidRPr="004805D1" w:rsidR="00FB7F86" w:rsidP="008D1463" w:rsidRDefault="00FB7F86" w14:paraId="76E710CE" w14:textId="77777777">
      <w:pPr>
        <w:pStyle w:val="FootnoteText"/>
        <w:rPr>
          <w:szCs w:val="26"/>
        </w:rPr>
      </w:pPr>
      <w:r w:rsidRPr="004805D1">
        <w:rPr>
          <w:rStyle w:val="FootnoteReference"/>
          <w:szCs w:val="26"/>
        </w:rPr>
        <w:footnoteRef/>
      </w:r>
      <w:r w:rsidRPr="004805D1">
        <w:rPr>
          <w:szCs w:val="26"/>
        </w:rPr>
        <w:t xml:space="preserve"> SPP </w:t>
      </w:r>
      <w:r>
        <w:rPr>
          <w:szCs w:val="26"/>
        </w:rPr>
        <w:t>Comments (RM16-23) at</w:t>
      </w:r>
      <w:r w:rsidRPr="004805D1">
        <w:rPr>
          <w:szCs w:val="26"/>
        </w:rPr>
        <w:t xml:space="preserve"> 22.</w:t>
      </w:r>
    </w:p>
  </w:footnote>
  <w:footnote w:id="331">
    <w:p w:rsidRPr="004805D1" w:rsidR="00FB7F86" w:rsidP="008D1463" w:rsidRDefault="00FB7F86" w14:paraId="197CB243" w14:textId="76152EC5">
      <w:pPr>
        <w:pStyle w:val="FootnoteText"/>
        <w:rPr>
          <w:szCs w:val="26"/>
        </w:rPr>
      </w:pPr>
      <w:r w:rsidRPr="004805D1">
        <w:rPr>
          <w:rStyle w:val="FootnoteReference"/>
          <w:szCs w:val="26"/>
        </w:rPr>
        <w:footnoteRef/>
      </w:r>
      <w:r w:rsidRPr="004805D1">
        <w:rPr>
          <w:szCs w:val="26"/>
        </w:rPr>
        <w:t xml:space="preserve"> PJM Market Monitor </w:t>
      </w:r>
      <w:r>
        <w:rPr>
          <w:szCs w:val="26"/>
        </w:rPr>
        <w:t>Comments (RM16-23) at</w:t>
      </w:r>
      <w:r w:rsidRPr="004805D1">
        <w:rPr>
          <w:szCs w:val="26"/>
        </w:rPr>
        <w:t xml:space="preserve"> </w:t>
      </w:r>
      <w:r>
        <w:rPr>
          <w:szCs w:val="26"/>
        </w:rPr>
        <w:t>15-</w:t>
      </w:r>
      <w:r w:rsidRPr="004805D1">
        <w:rPr>
          <w:szCs w:val="26"/>
        </w:rPr>
        <w:t>16.</w:t>
      </w:r>
    </w:p>
  </w:footnote>
  <w:footnote w:id="332">
    <w:p w:rsidRPr="00716CDF" w:rsidR="00FB7F86" w:rsidP="008D1463" w:rsidRDefault="00FB7F86" w14:paraId="5FCF7EE4" w14:textId="77777777">
      <w:pPr>
        <w:pStyle w:val="FootnoteText"/>
        <w:rPr>
          <w:szCs w:val="26"/>
        </w:rPr>
      </w:pPr>
      <w:r w:rsidRPr="00716CDF">
        <w:rPr>
          <w:rStyle w:val="FootnoteReference"/>
          <w:szCs w:val="26"/>
        </w:rPr>
        <w:footnoteRef/>
      </w:r>
      <w:r w:rsidRPr="00716CDF">
        <w:rPr>
          <w:szCs w:val="26"/>
        </w:rPr>
        <w:t xml:space="preserve"> ISO-NE </w:t>
      </w:r>
      <w:r>
        <w:rPr>
          <w:szCs w:val="26"/>
        </w:rPr>
        <w:t>Comments (RM16-23) at</w:t>
      </w:r>
      <w:r w:rsidRPr="00716CDF">
        <w:rPr>
          <w:szCs w:val="26"/>
        </w:rPr>
        <w:t xml:space="preserve"> 31</w:t>
      </w:r>
      <w:r>
        <w:rPr>
          <w:szCs w:val="26"/>
        </w:rPr>
        <w:t>-36</w:t>
      </w:r>
      <w:r w:rsidRPr="00716CDF">
        <w:rPr>
          <w:szCs w:val="26"/>
        </w:rPr>
        <w:t>.</w:t>
      </w:r>
    </w:p>
  </w:footnote>
  <w:footnote w:id="333">
    <w:p w:rsidRPr="00716CDF" w:rsidR="00FB7F86" w:rsidP="008D1463" w:rsidRDefault="00FB7F86" w14:paraId="3643E6C4" w14:textId="1197AEA2">
      <w:pPr>
        <w:pStyle w:val="FootnoteText"/>
        <w:rPr>
          <w:szCs w:val="26"/>
        </w:rPr>
      </w:pPr>
      <w:r w:rsidRPr="00716CDF">
        <w:rPr>
          <w:rStyle w:val="FootnoteReference"/>
          <w:szCs w:val="26"/>
        </w:rPr>
        <w:footnoteRef/>
      </w:r>
      <w:r w:rsidRPr="00716CDF">
        <w:rPr>
          <w:szCs w:val="26"/>
        </w:rPr>
        <w:t xml:space="preserve"> </w:t>
      </w:r>
      <w:r>
        <w:rPr>
          <w:i/>
          <w:iCs/>
          <w:szCs w:val="26"/>
        </w:rPr>
        <w:t>Id.</w:t>
      </w:r>
      <w:r>
        <w:rPr>
          <w:szCs w:val="26"/>
        </w:rPr>
        <w:t xml:space="preserve"> at</w:t>
      </w:r>
      <w:r w:rsidRPr="00716CDF">
        <w:rPr>
          <w:szCs w:val="26"/>
        </w:rPr>
        <w:t xml:space="preserve"> 33. </w:t>
      </w:r>
    </w:p>
  </w:footnote>
  <w:footnote w:id="334">
    <w:p w:rsidRPr="00716CDF" w:rsidR="00FB7F86" w:rsidP="008D1463" w:rsidRDefault="00FB7F86" w14:paraId="65F8C34B" w14:textId="11B35DE2">
      <w:pPr>
        <w:pStyle w:val="FootnoteText"/>
        <w:rPr>
          <w:szCs w:val="26"/>
        </w:rPr>
      </w:pPr>
      <w:r w:rsidRPr="00716CDF">
        <w:rPr>
          <w:rStyle w:val="FootnoteReference"/>
          <w:szCs w:val="26"/>
        </w:rPr>
        <w:footnoteRef/>
      </w:r>
      <w:r w:rsidRPr="00716CDF">
        <w:rPr>
          <w:szCs w:val="26"/>
        </w:rPr>
        <w:t xml:space="preserve"> </w:t>
      </w:r>
      <w:r>
        <w:rPr>
          <w:i/>
          <w:iCs/>
          <w:szCs w:val="26"/>
        </w:rPr>
        <w:t>Id.</w:t>
      </w:r>
      <w:r>
        <w:rPr>
          <w:szCs w:val="26"/>
        </w:rPr>
        <w:t xml:space="preserve"> at</w:t>
      </w:r>
      <w:r w:rsidRPr="00716CDF">
        <w:rPr>
          <w:szCs w:val="26"/>
        </w:rPr>
        <w:t xml:space="preserve"> 33-34.</w:t>
      </w:r>
    </w:p>
  </w:footnote>
  <w:footnote w:id="335">
    <w:p w:rsidRPr="00716CDF" w:rsidR="00FB7F86" w:rsidP="008D1463" w:rsidRDefault="00FB7F86" w14:paraId="13690923" w14:textId="176D1B53">
      <w:pPr>
        <w:pStyle w:val="FootnoteText"/>
        <w:rPr>
          <w:szCs w:val="26"/>
        </w:rPr>
      </w:pPr>
      <w:r w:rsidRPr="00716CDF">
        <w:rPr>
          <w:rStyle w:val="FootnoteReference"/>
          <w:szCs w:val="26"/>
        </w:rPr>
        <w:footnoteRef/>
      </w:r>
      <w:r w:rsidRPr="00716CDF">
        <w:rPr>
          <w:szCs w:val="26"/>
        </w:rPr>
        <w:t xml:space="preserve"> </w:t>
      </w:r>
      <w:r>
        <w:rPr>
          <w:i/>
          <w:iCs/>
          <w:szCs w:val="26"/>
        </w:rPr>
        <w:t>Id.</w:t>
      </w:r>
      <w:r>
        <w:rPr>
          <w:szCs w:val="26"/>
        </w:rPr>
        <w:t xml:space="preserve"> at</w:t>
      </w:r>
      <w:r w:rsidRPr="00716CDF">
        <w:rPr>
          <w:szCs w:val="26"/>
        </w:rPr>
        <w:t xml:space="preserve"> 34</w:t>
      </w:r>
      <w:r>
        <w:rPr>
          <w:szCs w:val="26"/>
        </w:rPr>
        <w:t>-35</w:t>
      </w:r>
      <w:r w:rsidRPr="00716CDF">
        <w:rPr>
          <w:szCs w:val="26"/>
        </w:rPr>
        <w:t>.</w:t>
      </w:r>
    </w:p>
  </w:footnote>
  <w:footnote w:id="336">
    <w:p w:rsidRPr="00716CDF" w:rsidR="00FB7F86" w:rsidP="008D1463" w:rsidRDefault="00FB7F86" w14:paraId="3F9044FA" w14:textId="688E27E6">
      <w:pPr>
        <w:pStyle w:val="FootnoteText"/>
        <w:rPr>
          <w:b/>
          <w:szCs w:val="26"/>
        </w:rPr>
      </w:pPr>
      <w:r w:rsidRPr="00716CDF">
        <w:rPr>
          <w:rStyle w:val="FootnoteReference"/>
          <w:szCs w:val="26"/>
        </w:rPr>
        <w:footnoteRef/>
      </w:r>
      <w:r>
        <w:rPr>
          <w:szCs w:val="26"/>
        </w:rPr>
        <w:t xml:space="preserve"> </w:t>
      </w:r>
      <w:r>
        <w:rPr>
          <w:i/>
          <w:iCs/>
          <w:szCs w:val="26"/>
        </w:rPr>
        <w:t>Id.</w:t>
      </w:r>
      <w:r>
        <w:rPr>
          <w:szCs w:val="26"/>
        </w:rPr>
        <w:t xml:space="preserve"> at 32.</w:t>
      </w:r>
    </w:p>
  </w:footnote>
  <w:footnote w:id="337">
    <w:p w:rsidR="00FB7F86" w:rsidP="00F90EC9" w:rsidRDefault="00FB7F86" w14:paraId="6430132B" w14:textId="7E8C6576">
      <w:pPr>
        <w:pStyle w:val="FootnoteText"/>
      </w:pPr>
      <w:r>
        <w:rPr>
          <w:rStyle w:val="FootnoteReference"/>
        </w:rPr>
        <w:footnoteRef/>
      </w:r>
      <w:r>
        <w:t xml:space="preserve"> </w:t>
      </w:r>
      <w:r>
        <w:rPr>
          <w:i/>
          <w:iCs/>
          <w:szCs w:val="26"/>
        </w:rPr>
        <w:t>Id.</w:t>
      </w:r>
      <w:r>
        <w:rPr>
          <w:szCs w:val="26"/>
        </w:rPr>
        <w:t xml:space="preserve"> at </w:t>
      </w:r>
      <w:r w:rsidRPr="00716CDF">
        <w:rPr>
          <w:szCs w:val="26"/>
        </w:rPr>
        <w:t>3</w:t>
      </w:r>
      <w:r>
        <w:rPr>
          <w:szCs w:val="26"/>
        </w:rPr>
        <w:t>2-33.</w:t>
      </w:r>
    </w:p>
  </w:footnote>
  <w:footnote w:id="338">
    <w:p w:rsidR="00FB7F86" w:rsidP="0008769E" w:rsidRDefault="00FB7F86" w14:paraId="28F0CAD2" w14:textId="523645B2">
      <w:pPr>
        <w:pStyle w:val="FootnoteText"/>
      </w:pPr>
      <w:r w:rsidRPr="00027658">
        <w:rPr>
          <w:rStyle w:val="FootnoteReference"/>
        </w:rPr>
        <w:footnoteRef/>
      </w:r>
      <w:r w:rsidRPr="00027658">
        <w:t xml:space="preserve"> </w:t>
      </w:r>
      <w:r w:rsidRPr="00027658">
        <w:rPr>
          <w:i/>
          <w:iCs/>
        </w:rPr>
        <w:t>Id.</w:t>
      </w:r>
      <w:r w:rsidRPr="00027658">
        <w:t xml:space="preserve"> at 34-35.</w:t>
      </w:r>
    </w:p>
  </w:footnote>
  <w:footnote w:id="339">
    <w:p w:rsidRPr="00EA095D" w:rsidR="00FB7F86" w:rsidP="00E039A9" w:rsidRDefault="00FB7F86" w14:paraId="24B81AD0" w14:textId="2B32EA0F">
      <w:pPr>
        <w:pStyle w:val="FootnoteText"/>
        <w:rPr>
          <w:b/>
          <w:szCs w:val="26"/>
        </w:rPr>
      </w:pPr>
      <w:r w:rsidRPr="009979BE">
        <w:rPr>
          <w:rStyle w:val="FootnoteReference"/>
        </w:rPr>
        <w:footnoteRef/>
      </w:r>
      <w:r w:rsidRPr="009979BE">
        <w:t xml:space="preserve"> </w:t>
      </w:r>
      <w:r w:rsidRPr="009979BE">
        <w:rPr>
          <w:i/>
          <w:iCs/>
          <w:szCs w:val="26"/>
        </w:rPr>
        <w:t>See, e.g.</w:t>
      </w:r>
      <w:r w:rsidRPr="009979BE">
        <w:rPr>
          <w:szCs w:val="26"/>
        </w:rPr>
        <w:t>,</w:t>
      </w:r>
      <w:r w:rsidRPr="009979BE">
        <w:rPr>
          <w:i/>
          <w:szCs w:val="26"/>
        </w:rPr>
        <w:t xml:space="preserve"> </w:t>
      </w:r>
      <w:r w:rsidRPr="009979BE">
        <w:rPr>
          <w:szCs w:val="26"/>
        </w:rPr>
        <w:t xml:space="preserve">AES Companies (RM16-23) at 32-33; CAISO Comments (RM16-23) at 23; City of New York Comments (RM16-23) at 8; </w:t>
      </w:r>
      <w:r w:rsidRPr="00EA095D">
        <w:rPr>
          <w:color w:val="000000"/>
          <w:szCs w:val="26"/>
        </w:rPr>
        <w:t>Energy Storage Association (RM16-23) at 24-25</w:t>
      </w:r>
      <w:r>
        <w:rPr>
          <w:color w:val="000000"/>
          <w:szCs w:val="26"/>
        </w:rPr>
        <w:t xml:space="preserve">; </w:t>
      </w:r>
      <w:r w:rsidRPr="009979BE">
        <w:rPr>
          <w:szCs w:val="26"/>
        </w:rPr>
        <w:t xml:space="preserve">Fresh Energy/Sierra Club/Union of Concerned Scientists Comments (RM16-23) at 3; Massachusetts Commission Comments (RM16-23) at 8-10; New York State Entities Comments (RM16-23) at 21; </w:t>
      </w:r>
      <w:r w:rsidRPr="00EA095D">
        <w:rPr>
          <w:szCs w:val="26"/>
        </w:rPr>
        <w:t>R Street Institute Comments (RM16-23) at 8</w:t>
      </w:r>
      <w:r w:rsidRPr="009979BE">
        <w:rPr>
          <w:color w:val="000000"/>
          <w:szCs w:val="26"/>
        </w:rPr>
        <w:t xml:space="preserve">; </w:t>
      </w:r>
      <w:r w:rsidRPr="009979BE">
        <w:rPr>
          <w:rFonts w:eastAsia="Cambria"/>
          <w:color w:val="000000"/>
          <w:szCs w:val="26"/>
        </w:rPr>
        <w:t>Stem Comments (RM16-23) at 7, 12, 13</w:t>
      </w:r>
      <w:r w:rsidRPr="009979BE">
        <w:rPr>
          <w:color w:val="000000"/>
          <w:szCs w:val="26"/>
        </w:rPr>
        <w:t>.</w:t>
      </w:r>
    </w:p>
  </w:footnote>
  <w:footnote w:id="340">
    <w:p w:rsidRPr="00407052" w:rsidR="00FB7F86" w:rsidP="008D1463" w:rsidRDefault="00FB7F86" w14:paraId="49E8B89F" w14:textId="5B4A1106">
      <w:pPr>
        <w:pStyle w:val="FootnoteText"/>
      </w:pPr>
      <w:r w:rsidRPr="00407052">
        <w:rPr>
          <w:rStyle w:val="FootnoteReference"/>
        </w:rPr>
        <w:footnoteRef/>
      </w:r>
      <w:r w:rsidRPr="00407052">
        <w:t xml:space="preserve"> </w:t>
      </w:r>
      <w:r>
        <w:t>NRG Comments (RM16-23) at 19.</w:t>
      </w:r>
      <w:r w:rsidRPr="00407052">
        <w:t xml:space="preserve"> </w:t>
      </w:r>
    </w:p>
  </w:footnote>
  <w:footnote w:id="341">
    <w:p w:rsidRPr="00407052" w:rsidR="00FB7F86" w:rsidP="008D1463" w:rsidRDefault="00FB7F86" w14:paraId="28E9015E" w14:textId="03B0F0F5">
      <w:pPr>
        <w:pStyle w:val="FootnoteText"/>
      </w:pPr>
      <w:r w:rsidRPr="00407052">
        <w:rPr>
          <w:rStyle w:val="FootnoteReference"/>
        </w:rPr>
        <w:footnoteRef/>
      </w:r>
      <w:r w:rsidRPr="00407052">
        <w:t xml:space="preserve"> </w:t>
      </w:r>
      <w:r>
        <w:t xml:space="preserve">NOPR, 157 FERC ¶ 61,121 at P 133 </w:t>
      </w:r>
      <w:r w:rsidRPr="00407052">
        <w:t>n.231.</w:t>
      </w:r>
    </w:p>
  </w:footnote>
  <w:footnote w:id="342">
    <w:p w:rsidR="00FB7F86" w:rsidP="00144CC5" w:rsidRDefault="00FB7F86" w14:paraId="491D0FB8" w14:textId="6AFC1A8F">
      <w:pPr>
        <w:pStyle w:val="FootnoteText"/>
      </w:pPr>
      <w:r>
        <w:rPr>
          <w:rStyle w:val="FootnoteReference"/>
        </w:rPr>
        <w:footnoteRef/>
      </w:r>
      <w:r>
        <w:t xml:space="preserve"> ISO-NE defines a heterogeneous aggregation as consisting of “different resource types, such that, for example, a single aggregation might consist of a battery, distributed generation assets, and electric vehicles.”</w:t>
      </w:r>
      <w:r w:rsidRPr="00144CC5">
        <w:tab/>
      </w:r>
      <w:r w:rsidRPr="00144CC5">
        <w:t xml:space="preserve">ISO-NE </w:t>
      </w:r>
      <w:r>
        <w:t>Comments (</w:t>
      </w:r>
      <w:r w:rsidRPr="00144CC5">
        <w:t>RM16-23</w:t>
      </w:r>
      <w:r>
        <w:t>)</w:t>
      </w:r>
      <w:r w:rsidRPr="00144CC5">
        <w:t xml:space="preserve"> at 31</w:t>
      </w:r>
      <w:r>
        <w:t>.</w:t>
      </w:r>
    </w:p>
  </w:footnote>
  <w:footnote w:id="343">
    <w:p w:rsidR="00FB7F86" w:rsidP="00322155" w:rsidRDefault="00FB7F86" w14:paraId="7BDD6AEA" w14:textId="5773825D">
      <w:pPr>
        <w:pStyle w:val="FootnoteText"/>
      </w:pPr>
      <w:r w:rsidRPr="00790278">
        <w:rPr>
          <w:rStyle w:val="FootnoteReference"/>
        </w:rPr>
        <w:footnoteRef/>
      </w:r>
      <w:r w:rsidRPr="00790278">
        <w:t xml:space="preserve"> </w:t>
      </w:r>
      <w:r w:rsidRPr="002C0479">
        <w:t>ISO-NE Comments (RM16-23) at 32; SPP Comments (RM16-23) at 21-22.</w:t>
      </w:r>
    </w:p>
  </w:footnote>
  <w:footnote w:id="344">
    <w:p w:rsidRPr="00407052" w:rsidR="00FB7F86" w:rsidP="004E30BB" w:rsidRDefault="00FB7F86" w14:paraId="5993E097" w14:textId="77777777">
      <w:pPr>
        <w:pStyle w:val="FootnoteText"/>
      </w:pPr>
      <w:r w:rsidRPr="00407052">
        <w:rPr>
          <w:rStyle w:val="FootnoteReference"/>
        </w:rPr>
        <w:footnoteRef/>
      </w:r>
      <w:r w:rsidRPr="00407052">
        <w:t xml:space="preserve"> As the Commission stated in Order No. 745-A, “[f]rom the perspective of the grid, the manner in which a customer is able to produce such a load reduction from its validly established baseline (whether by shifting production, using internal generation, consuming less electricity, or other means) does not change the effect or value of the </w:t>
      </w:r>
      <w:r w:rsidRPr="00E507B7">
        <w:t xml:space="preserve">reduction to the wholesale grid.”  </w:t>
      </w:r>
      <w:r w:rsidRPr="00486C2E">
        <w:rPr>
          <w:i/>
        </w:rPr>
        <w:t>Demand Response Compensation in Organized Wholesale Energy Markets</w:t>
      </w:r>
      <w:r>
        <w:t xml:space="preserve">, </w:t>
      </w:r>
      <w:r w:rsidRPr="00E507B7">
        <w:t>Order No. 745-A, 137 FERC ¶</w:t>
      </w:r>
      <w:r>
        <w:t> </w:t>
      </w:r>
      <w:r w:rsidRPr="00E507B7">
        <w:t>61,215</w:t>
      </w:r>
      <w:r>
        <w:t>,</w:t>
      </w:r>
      <w:r w:rsidRPr="00E507B7">
        <w:t xml:space="preserve"> at P</w:t>
      </w:r>
      <w:r>
        <w:t> </w:t>
      </w:r>
      <w:r w:rsidRPr="00E507B7">
        <w:t>66</w:t>
      </w:r>
      <w:r w:rsidRPr="007E1025">
        <w:t xml:space="preserve"> (2011), </w:t>
      </w:r>
      <w:r w:rsidRPr="007E1025">
        <w:rPr>
          <w:i/>
          <w:iCs/>
        </w:rPr>
        <w:t>reh’g denied</w:t>
      </w:r>
      <w:r w:rsidRPr="007E1025">
        <w:t>, Order No. 745-B, 138 FERC ¶ 61,148 (2012), </w:t>
      </w:r>
      <w:r w:rsidRPr="007E1025">
        <w:rPr>
          <w:i/>
          <w:iCs/>
        </w:rPr>
        <w:t>vacated sub nom. Elec. Power Supply Ass’n v. FERC</w:t>
      </w:r>
      <w:r w:rsidRPr="007E1025">
        <w:rPr>
          <w:iCs/>
        </w:rPr>
        <w:t>, 753 F.3d 216 (D.C. Cir. 2014)</w:t>
      </w:r>
      <w:r w:rsidRPr="007E1025">
        <w:t>, </w:t>
      </w:r>
      <w:r w:rsidRPr="007E1025">
        <w:rPr>
          <w:i/>
          <w:iCs/>
        </w:rPr>
        <w:t xml:space="preserve">rev’d &amp; remanded sub nom. </w:t>
      </w:r>
      <w:r>
        <w:rPr>
          <w:i/>
          <w:iCs/>
        </w:rPr>
        <w:t>EPSA</w:t>
      </w:r>
      <w:r w:rsidRPr="007E1025">
        <w:rPr>
          <w:iCs/>
        </w:rPr>
        <w:t>, 136 S.</w:t>
      </w:r>
      <w:r>
        <w:rPr>
          <w:iCs/>
        </w:rPr>
        <w:t xml:space="preserve"> </w:t>
      </w:r>
      <w:r w:rsidRPr="007E1025">
        <w:rPr>
          <w:iCs/>
        </w:rPr>
        <w:t>Ct. 760</w:t>
      </w:r>
      <w:r w:rsidRPr="00E507B7">
        <w:t>.</w:t>
      </w:r>
      <w:r w:rsidRPr="00407052">
        <w:t xml:space="preserve"> </w:t>
      </w:r>
    </w:p>
  </w:footnote>
  <w:footnote w:id="345">
    <w:p w:rsidR="00FB7F86" w:rsidRDefault="00FB7F86" w14:paraId="011FC80A" w14:textId="758B50D5">
      <w:pPr>
        <w:pStyle w:val="FootnoteText"/>
      </w:pPr>
      <w:r>
        <w:rPr>
          <w:rStyle w:val="FootnoteReference"/>
        </w:rPr>
        <w:footnoteRef/>
      </w:r>
      <w:r>
        <w:t xml:space="preserve"> </w:t>
      </w:r>
      <w:r w:rsidRPr="00246FAF">
        <w:rPr>
          <w:i/>
          <w:iCs/>
        </w:rPr>
        <w:t xml:space="preserve">See supra </w:t>
      </w:r>
      <w:r w:rsidRPr="00FA595F">
        <w:t>P 59</w:t>
      </w:r>
      <w:r w:rsidRPr="00F34044">
        <w:t>.</w:t>
      </w:r>
    </w:p>
  </w:footnote>
  <w:footnote w:id="346">
    <w:p w:rsidR="00FB7F86" w:rsidRDefault="00FB7F86" w14:paraId="27D30D99" w14:textId="055D0E58">
      <w:pPr>
        <w:pStyle w:val="FootnoteText"/>
      </w:pPr>
      <w:r w:rsidRPr="002A30CE">
        <w:rPr>
          <w:rStyle w:val="FootnoteReference"/>
        </w:rPr>
        <w:footnoteRef/>
      </w:r>
      <w:r w:rsidRPr="002A30CE">
        <w:t xml:space="preserve"> </w:t>
      </w:r>
      <w:r w:rsidRPr="00576C32">
        <w:rPr>
          <w:i/>
          <w:iCs/>
        </w:rPr>
        <w:t>Cal. Indep. Sys. Operator Corp.</w:t>
      </w:r>
      <w:r w:rsidRPr="00576C32">
        <w:t>, 155 FERC ¶ 61,229 at P 11.</w:t>
      </w:r>
    </w:p>
  </w:footnote>
  <w:footnote w:id="347">
    <w:p w:rsidR="00FB7F86" w:rsidP="00783D41" w:rsidRDefault="00FB7F86" w14:paraId="45AF569B" w14:textId="77777777">
      <w:pPr>
        <w:pStyle w:val="FootnoteText"/>
      </w:pPr>
      <w:r>
        <w:rPr>
          <w:rStyle w:val="FootnoteReference"/>
        </w:rPr>
        <w:footnoteRef/>
      </w:r>
      <w:r>
        <w:t xml:space="preserve"> </w:t>
      </w:r>
      <w:r>
        <w:rPr>
          <w:rFonts w:eastAsia="Cambria"/>
          <w:iCs/>
          <w:szCs w:val="26"/>
        </w:rPr>
        <w:t>NYISO Aggregation Order</w:t>
      </w:r>
      <w:r w:rsidRPr="00065F0A">
        <w:rPr>
          <w:rFonts w:eastAsia="Cambria"/>
          <w:szCs w:val="26"/>
        </w:rPr>
        <w:t>, 170 FERC ¶</w:t>
      </w:r>
      <w:r>
        <w:rPr>
          <w:rFonts w:eastAsia="Cambria"/>
          <w:szCs w:val="26"/>
        </w:rPr>
        <w:t> </w:t>
      </w:r>
      <w:r w:rsidRPr="00065F0A">
        <w:rPr>
          <w:rFonts w:eastAsia="Cambria"/>
          <w:szCs w:val="26"/>
        </w:rPr>
        <w:t>61,033.</w:t>
      </w:r>
    </w:p>
  </w:footnote>
  <w:footnote w:id="348">
    <w:p w:rsidRPr="00407052" w:rsidR="00FB7F86" w:rsidP="00274677" w:rsidRDefault="00FB7F86" w14:paraId="64490D3F" w14:textId="4DDE9C2A">
      <w:pPr>
        <w:pStyle w:val="FootnoteText"/>
      </w:pPr>
      <w:r w:rsidRPr="00407052">
        <w:rPr>
          <w:rStyle w:val="FootnoteReference"/>
        </w:rPr>
        <w:footnoteRef/>
      </w:r>
      <w:r w:rsidRPr="00407052">
        <w:t xml:space="preserve"> NOPR</w:t>
      </w:r>
      <w:r>
        <w:t>, 157 FERC ¶ 61,121</w:t>
      </w:r>
      <w:r w:rsidRPr="00407052">
        <w:t xml:space="preserve"> at P</w:t>
      </w:r>
      <w:r>
        <w:t> </w:t>
      </w:r>
      <w:r w:rsidRPr="00407052">
        <w:t>134.</w:t>
      </w:r>
    </w:p>
  </w:footnote>
  <w:footnote w:id="349">
    <w:p w:rsidRPr="00576618" w:rsidR="00FB7F86" w:rsidP="00832611" w:rsidRDefault="00FB7F86" w14:paraId="13655810" w14:textId="262A2643">
      <w:pPr>
        <w:pStyle w:val="FootnoteText"/>
      </w:pPr>
      <w:r w:rsidRPr="00967569">
        <w:rPr>
          <w:rStyle w:val="FootnoteReference"/>
        </w:rPr>
        <w:footnoteRef/>
      </w:r>
      <w:r w:rsidRPr="00576618">
        <w:rPr>
          <w:i/>
        </w:rPr>
        <w:t xml:space="preserve"> See, e.g.</w:t>
      </w:r>
      <w:r>
        <w:rPr>
          <w:iCs/>
        </w:rPr>
        <w:t>,</w:t>
      </w:r>
      <w:r>
        <w:t xml:space="preserve"> </w:t>
      </w:r>
      <w:r w:rsidRPr="00576618">
        <w:t xml:space="preserve">Advanced Energy Economy </w:t>
      </w:r>
      <w:r>
        <w:t>Comments (RM16-23) at</w:t>
      </w:r>
      <w:r w:rsidRPr="00576618">
        <w:t xml:space="preserve"> 33-34; </w:t>
      </w:r>
      <w:r>
        <w:rPr>
          <w:szCs w:val="26"/>
        </w:rPr>
        <w:t>Calpine</w:t>
      </w:r>
      <w:r w:rsidRPr="000D23AE">
        <w:rPr>
          <w:szCs w:val="26"/>
        </w:rPr>
        <w:t xml:space="preserve"> </w:t>
      </w:r>
      <w:r>
        <w:rPr>
          <w:szCs w:val="26"/>
        </w:rPr>
        <w:t>Comments (2018 RM18-9</w:t>
      </w:r>
      <w:r w:rsidRPr="00285186">
        <w:rPr>
          <w:szCs w:val="26"/>
        </w:rPr>
        <w:t>) at</w:t>
      </w:r>
      <w:r>
        <w:rPr>
          <w:szCs w:val="26"/>
        </w:rPr>
        <w:t xml:space="preserve"> 6-7; </w:t>
      </w:r>
      <w:r w:rsidRPr="00576618">
        <w:t xml:space="preserve">Dominion </w:t>
      </w:r>
      <w:r>
        <w:t>Comments (RM16-23) at</w:t>
      </w:r>
      <w:r w:rsidRPr="00576618">
        <w:t xml:space="preserve"> 9-10; </w:t>
      </w:r>
      <w:r w:rsidRPr="00832611">
        <w:t>Microsoft Corporation Comments (2018 RM18-9) at 17;</w:t>
      </w:r>
      <w:r>
        <w:t xml:space="preserve"> </w:t>
      </w:r>
      <w:r w:rsidRPr="00576618">
        <w:rPr>
          <w:bCs/>
        </w:rPr>
        <w:t xml:space="preserve">New York State Entities </w:t>
      </w:r>
      <w:r>
        <w:rPr>
          <w:bCs/>
        </w:rPr>
        <w:t>Comments (RM16-23) at</w:t>
      </w:r>
      <w:r w:rsidRPr="00576618">
        <w:rPr>
          <w:bCs/>
        </w:rPr>
        <w:t xml:space="preserve"> 13</w:t>
      </w:r>
      <w:r w:rsidRPr="00832611">
        <w:t>.</w:t>
      </w:r>
    </w:p>
  </w:footnote>
  <w:footnote w:id="350">
    <w:p w:rsidR="00FB7F86" w:rsidP="007C5D6B" w:rsidRDefault="00FB7F86" w14:paraId="3178572C" w14:textId="77777777">
      <w:pPr>
        <w:pStyle w:val="FootnoteText"/>
      </w:pPr>
      <w:r>
        <w:rPr>
          <w:rStyle w:val="FootnoteReference"/>
        </w:rPr>
        <w:footnoteRef/>
      </w:r>
      <w:r>
        <w:t xml:space="preserve"> </w:t>
      </w:r>
      <w:r w:rsidRPr="00A62D97">
        <w:t>P</w:t>
      </w:r>
      <w:r>
        <w:t>acific Gas &amp; Electric</w:t>
      </w:r>
      <w:r w:rsidRPr="00A62D97">
        <w:t xml:space="preserve"> </w:t>
      </w:r>
      <w:r w:rsidRPr="00A85404">
        <w:rPr>
          <w:szCs w:val="26"/>
        </w:rPr>
        <w:t xml:space="preserve">Comments </w:t>
      </w:r>
      <w:r>
        <w:t>(2019 RM18-9)</w:t>
      </w:r>
      <w:r w:rsidRPr="00A62D97">
        <w:t xml:space="preserve"> at</w:t>
      </w:r>
      <w:r>
        <w:t xml:space="preserve"> 5.</w:t>
      </w:r>
    </w:p>
  </w:footnote>
  <w:footnote w:id="351">
    <w:p w:rsidRPr="00407052" w:rsidR="00FB7F86" w:rsidP="00727BE4" w:rsidRDefault="00FB7F86" w14:paraId="66BDC7BB" w14:textId="77777777">
      <w:pPr>
        <w:pStyle w:val="FootnoteText"/>
      </w:pPr>
      <w:r w:rsidRPr="00407052">
        <w:rPr>
          <w:rStyle w:val="FootnoteReference"/>
        </w:rPr>
        <w:footnoteRef/>
      </w:r>
      <w:r w:rsidRPr="00407052">
        <w:t xml:space="preserve"> Avangrid </w:t>
      </w:r>
      <w:r>
        <w:t>Comments (RM16-23) at</w:t>
      </w:r>
      <w:r w:rsidRPr="00407052">
        <w:t xml:space="preserve"> 11; Pacific Gas &amp; Electric </w:t>
      </w:r>
      <w:r>
        <w:t>Comments (RM16-23) at</w:t>
      </w:r>
      <w:r w:rsidRPr="00407052">
        <w:t xml:space="preserve"> 17.</w:t>
      </w:r>
    </w:p>
  </w:footnote>
  <w:footnote w:id="352">
    <w:p w:rsidRPr="00407052" w:rsidR="00FB7F86" w:rsidP="00727BE4" w:rsidRDefault="00FB7F86" w14:paraId="19A442D4" w14:textId="77777777">
      <w:pPr>
        <w:pStyle w:val="FootnoteText"/>
      </w:pPr>
      <w:r w:rsidRPr="00407052">
        <w:rPr>
          <w:rStyle w:val="FootnoteReference"/>
        </w:rPr>
        <w:footnoteRef/>
      </w:r>
      <w:r w:rsidRPr="00407052">
        <w:t xml:space="preserve"> Delaware Commission </w:t>
      </w:r>
      <w:r>
        <w:t>Comments (RM16-23) at</w:t>
      </w:r>
      <w:r w:rsidRPr="00407052">
        <w:t xml:space="preserve"> 4.</w:t>
      </w:r>
    </w:p>
  </w:footnote>
  <w:footnote w:id="353">
    <w:p w:rsidR="00FB7F86" w:rsidP="00AD5E52" w:rsidRDefault="00FB7F86" w14:paraId="0C618F8B" w14:textId="4808C1E6">
      <w:pPr>
        <w:pStyle w:val="FootnoteText"/>
      </w:pPr>
      <w:r>
        <w:rPr>
          <w:rStyle w:val="FootnoteReference"/>
        </w:rPr>
        <w:footnoteRef/>
      </w:r>
      <w:r>
        <w:t xml:space="preserve"> </w:t>
      </w:r>
      <w:r>
        <w:rPr>
          <w:i/>
          <w:iCs/>
        </w:rPr>
        <w:t>See, e.g.</w:t>
      </w:r>
      <w:r w:rsidRPr="00A862CF">
        <w:rPr>
          <w:iCs/>
        </w:rPr>
        <w:t>,</w:t>
      </w:r>
      <w:r w:rsidRPr="00DE70CD">
        <w:t xml:space="preserve"> </w:t>
      </w:r>
      <w:r>
        <w:t xml:space="preserve">Calpine Comments (2018 RM18-9) at 6; </w:t>
      </w:r>
      <w:r w:rsidRPr="00285186">
        <w:rPr>
          <w:szCs w:val="26"/>
        </w:rPr>
        <w:t xml:space="preserve">Organization of MISO States </w:t>
      </w:r>
      <w:r>
        <w:rPr>
          <w:szCs w:val="26"/>
        </w:rPr>
        <w:t>Comments (2018 RM18-9</w:t>
      </w:r>
      <w:r w:rsidRPr="00285186">
        <w:rPr>
          <w:szCs w:val="26"/>
        </w:rPr>
        <w:t>) at 8</w:t>
      </w:r>
      <w:r>
        <w:rPr>
          <w:szCs w:val="26"/>
        </w:rPr>
        <w:t xml:space="preserve">; </w:t>
      </w:r>
      <w:r>
        <w:t>PJM Utilities Coalition Comments (2018 RM18-9) at 13.</w:t>
      </w:r>
    </w:p>
  </w:footnote>
  <w:footnote w:id="354">
    <w:p w:rsidRPr="00407052" w:rsidR="00FB7F86" w:rsidP="006D274F" w:rsidRDefault="00FB7F86" w14:paraId="1C40861B" w14:textId="01392531">
      <w:pPr>
        <w:pStyle w:val="FootnoteText"/>
      </w:pPr>
      <w:r w:rsidRPr="00407052">
        <w:rPr>
          <w:rStyle w:val="FootnoteReference"/>
        </w:rPr>
        <w:footnoteRef/>
      </w:r>
      <w:r w:rsidRPr="00407052">
        <w:t xml:space="preserve"> </w:t>
      </w:r>
      <w:r>
        <w:rPr>
          <w:i/>
          <w:iCs/>
        </w:rPr>
        <w:t>See, e.g.</w:t>
      </w:r>
      <w:r w:rsidRPr="00A862CF">
        <w:rPr>
          <w:iCs/>
        </w:rPr>
        <w:t>,</w:t>
      </w:r>
      <w:r w:rsidRPr="00892360">
        <w:t xml:space="preserve"> </w:t>
      </w:r>
      <w:r w:rsidRPr="00407052">
        <w:t xml:space="preserve">APPA/NRECA </w:t>
      </w:r>
      <w:r>
        <w:t>Comments (RM16-23) at</w:t>
      </w:r>
      <w:r w:rsidRPr="00407052">
        <w:t xml:space="preserve"> 39-40; EEI </w:t>
      </w:r>
      <w:r>
        <w:t>Comments (RM16-23) at</w:t>
      </w:r>
      <w:r w:rsidRPr="00407052">
        <w:t xml:space="preserve"> 25-26; Massachusetts Municipal Electric </w:t>
      </w:r>
      <w:r>
        <w:t>Comments (RM16-23) at</w:t>
      </w:r>
      <w:r w:rsidRPr="00407052">
        <w:t xml:space="preserve"> 3; National Hydropower Association </w:t>
      </w:r>
      <w:r>
        <w:t>Comments (RM16-23) at</w:t>
      </w:r>
      <w:r w:rsidRPr="00407052">
        <w:t xml:space="preserve"> 11; Six Cities </w:t>
      </w:r>
      <w:r>
        <w:t>Comments (RM16-23) at</w:t>
      </w:r>
      <w:r w:rsidRPr="00407052">
        <w:t xml:space="preserve"> 6.</w:t>
      </w:r>
    </w:p>
  </w:footnote>
  <w:footnote w:id="355">
    <w:p w:rsidR="00FB7F86" w:rsidP="00C36CC8" w:rsidRDefault="00FB7F86" w14:paraId="2F4BA771" w14:textId="77777777">
      <w:pPr>
        <w:pStyle w:val="FootnoteText"/>
      </w:pPr>
      <w:r>
        <w:rPr>
          <w:rStyle w:val="FootnoteReference"/>
        </w:rPr>
        <w:footnoteRef/>
      </w:r>
      <w:r>
        <w:t xml:space="preserve"> Calpine Comments (2018 RM18-9) at 6; EPSA Comments (2018 RM18-9) at 15; TAPS Comments (2018 RM18-9) at 25.</w:t>
      </w:r>
    </w:p>
  </w:footnote>
  <w:footnote w:id="356">
    <w:p w:rsidR="00FB7F86" w:rsidP="00C36CC8" w:rsidRDefault="00FB7F86" w14:paraId="04635D0A" w14:textId="77777777">
      <w:pPr>
        <w:pStyle w:val="FootnoteText"/>
      </w:pPr>
      <w:r>
        <w:rPr>
          <w:rStyle w:val="FootnoteReference"/>
        </w:rPr>
        <w:footnoteRef/>
      </w:r>
      <w:r>
        <w:t xml:space="preserve"> TAPS Comments (2018 RM18-9) at 26.</w:t>
      </w:r>
    </w:p>
  </w:footnote>
  <w:footnote w:id="357">
    <w:p w:rsidR="00FB7F86" w:rsidP="00C36CC8" w:rsidRDefault="00FB7F86" w14:paraId="72F50AF1" w14:textId="77777777">
      <w:pPr>
        <w:pStyle w:val="FootnoteText"/>
      </w:pPr>
      <w:r>
        <w:rPr>
          <w:rStyle w:val="FootnoteReference"/>
        </w:rPr>
        <w:footnoteRef/>
      </w:r>
      <w:r>
        <w:t xml:space="preserve"> PJM Utilities Coalition Comments (2018 RM18-9) at 13.</w:t>
      </w:r>
    </w:p>
  </w:footnote>
  <w:footnote w:id="358">
    <w:p w:rsidR="00FB7F86" w:rsidP="00C36CC8" w:rsidRDefault="00FB7F86" w14:paraId="3DB1B63D" w14:textId="77777777">
      <w:pPr>
        <w:pStyle w:val="FootnoteText"/>
      </w:pPr>
      <w:r>
        <w:rPr>
          <w:rStyle w:val="FootnoteReference"/>
        </w:rPr>
        <w:footnoteRef/>
      </w:r>
      <w:r>
        <w:t xml:space="preserve"> </w:t>
      </w:r>
      <w:r w:rsidRPr="00285186">
        <w:rPr>
          <w:szCs w:val="26"/>
        </w:rPr>
        <w:t xml:space="preserve">APPA </w:t>
      </w:r>
      <w:r>
        <w:rPr>
          <w:szCs w:val="26"/>
        </w:rPr>
        <w:t>Comments (2018 RM18-9</w:t>
      </w:r>
      <w:r w:rsidRPr="00285186">
        <w:rPr>
          <w:szCs w:val="26"/>
        </w:rPr>
        <w:t>) at 25</w:t>
      </w:r>
      <w:r>
        <w:rPr>
          <w:szCs w:val="26"/>
        </w:rPr>
        <w:t xml:space="preserve"> (suggesting a waiting period of one year); Calpine Comments (2018 RM18-9) at 7 (suggesting a waiting period of five years as in PJM’s </w:t>
      </w:r>
      <w:r>
        <w:t>Fixed Resource Requirement process).</w:t>
      </w:r>
    </w:p>
  </w:footnote>
  <w:footnote w:id="359">
    <w:p w:rsidR="00FB7F86" w:rsidP="006B3707" w:rsidRDefault="00FB7F86" w14:paraId="081F13D3" w14:textId="2B8CA8D7">
      <w:pPr>
        <w:pStyle w:val="FootnoteText"/>
      </w:pPr>
      <w:r>
        <w:rPr>
          <w:rStyle w:val="FootnoteReference"/>
        </w:rPr>
        <w:footnoteRef/>
      </w:r>
      <w:r>
        <w:t xml:space="preserve"> CAISO Comments (RM16-23) at 24 (citing </w:t>
      </w:r>
      <w:r w:rsidRPr="00BF2A16">
        <w:rPr>
          <w:i/>
          <w:iCs/>
        </w:rPr>
        <w:t>Cal. Indep. Sys. Operator Corp.</w:t>
      </w:r>
      <w:r w:rsidRPr="00BF2A16">
        <w:t>, 155 FERC ¶</w:t>
      </w:r>
      <w:r>
        <w:t> </w:t>
      </w:r>
      <w:r w:rsidRPr="00BF2A16">
        <w:t>61,229 at P</w:t>
      </w:r>
      <w:r>
        <w:t> </w:t>
      </w:r>
      <w:r w:rsidRPr="00BF2A16">
        <w:t>6</w:t>
      </w:r>
      <w:r>
        <w:t>)</w:t>
      </w:r>
      <w:r w:rsidRPr="00BF2A16">
        <w:t>.</w:t>
      </w:r>
    </w:p>
  </w:footnote>
  <w:footnote w:id="360">
    <w:p w:rsidR="00FB7F86" w:rsidP="006B3707" w:rsidRDefault="00FB7F86" w14:paraId="2B483263" w14:textId="4E36035A">
      <w:pPr>
        <w:pStyle w:val="FootnoteText"/>
      </w:pPr>
      <w:r>
        <w:rPr>
          <w:rStyle w:val="FootnoteReference"/>
        </w:rPr>
        <w:footnoteRef/>
      </w:r>
      <w:r>
        <w:t xml:space="preserve"> </w:t>
      </w:r>
      <w:r>
        <w:rPr>
          <w:i/>
          <w:iCs/>
        </w:rPr>
        <w:t>Id.</w:t>
      </w:r>
      <w:r>
        <w:t xml:space="preserve"> at 24.</w:t>
      </w:r>
    </w:p>
  </w:footnote>
  <w:footnote w:id="361">
    <w:p w:rsidR="00FB7F86" w:rsidP="008B3E51" w:rsidRDefault="00FB7F86" w14:paraId="2410044E" w14:textId="092B8195">
      <w:pPr>
        <w:pStyle w:val="FootnoteText"/>
      </w:pPr>
      <w:r>
        <w:rPr>
          <w:rStyle w:val="FootnoteReference"/>
        </w:rPr>
        <w:footnoteRef/>
      </w:r>
      <w:r>
        <w:t xml:space="preserve"> CAISO Comments (2018 RM18-9) at 15.</w:t>
      </w:r>
    </w:p>
  </w:footnote>
  <w:footnote w:id="362">
    <w:p w:rsidR="00FB7F86" w:rsidP="006B3707" w:rsidRDefault="00FB7F86" w14:paraId="0BC1C44E" w14:textId="77777777">
      <w:pPr>
        <w:pStyle w:val="FootnoteText"/>
      </w:pPr>
      <w:r>
        <w:rPr>
          <w:rStyle w:val="FootnoteReference"/>
        </w:rPr>
        <w:footnoteRef/>
      </w:r>
      <w:r>
        <w:t xml:space="preserve"> CAISO Comments (RM16-23) at 24.</w:t>
      </w:r>
    </w:p>
  </w:footnote>
  <w:footnote w:id="363">
    <w:p w:rsidRPr="00407052" w:rsidR="00FB7F86" w:rsidP="00E93DBB" w:rsidRDefault="00FB7F86" w14:paraId="1A867E03" w14:textId="77777777">
      <w:pPr>
        <w:pStyle w:val="FootnoteText"/>
      </w:pPr>
      <w:r w:rsidRPr="00407052">
        <w:rPr>
          <w:rStyle w:val="FootnoteReference"/>
        </w:rPr>
        <w:footnoteRef/>
      </w:r>
      <w:r w:rsidRPr="00407052">
        <w:t xml:space="preserve"> ISO-NE </w:t>
      </w:r>
      <w:r>
        <w:t>Comments (RM16-23) at</w:t>
      </w:r>
      <w:r w:rsidRPr="00407052">
        <w:t xml:space="preserve"> 54; SEIA </w:t>
      </w:r>
      <w:r>
        <w:t>Comments (RM16-23) at</w:t>
      </w:r>
      <w:r w:rsidRPr="00407052">
        <w:t xml:space="preserve"> 16-17; TAPS </w:t>
      </w:r>
      <w:r>
        <w:t>Comments (RM16-23) at</w:t>
      </w:r>
      <w:r w:rsidRPr="00407052">
        <w:t xml:space="preserve"> 11.</w:t>
      </w:r>
    </w:p>
  </w:footnote>
  <w:footnote w:id="364">
    <w:p w:rsidR="00FB7F86" w:rsidP="00471692" w:rsidRDefault="00FB7F86" w14:paraId="300C310D" w14:textId="254A4DFF">
      <w:pPr>
        <w:pStyle w:val="FootnoteText"/>
      </w:pPr>
      <w:r>
        <w:rPr>
          <w:rStyle w:val="FootnoteReference"/>
        </w:rPr>
        <w:footnoteRef/>
      </w:r>
      <w:r>
        <w:t xml:space="preserve"> </w:t>
      </w:r>
      <w:r>
        <w:rPr>
          <w:i/>
          <w:iCs/>
        </w:rPr>
        <w:t>See, e.g.</w:t>
      </w:r>
      <w:r w:rsidRPr="002C0479">
        <w:t>,</w:t>
      </w:r>
      <w:r>
        <w:rPr>
          <w:i/>
        </w:rPr>
        <w:t xml:space="preserve"> </w:t>
      </w:r>
      <w:r>
        <w:t>Advanced Microgrid Solutions Comments (RM16-23) at 6; Dominion Comments (RM16-23) at 9-10; EEI Comments (RM16-23) at 25-26; Gridwise Comments (RM16-23) at 2; Public Interest Organizations Comments (RM16-23) at 23-24; Stem Comments (RM16-23) at 4, 7-8.</w:t>
      </w:r>
    </w:p>
  </w:footnote>
  <w:footnote w:id="365">
    <w:p w:rsidR="00FB7F86" w:rsidP="00576A77" w:rsidRDefault="00FB7F86" w14:paraId="43259195" w14:textId="77777777">
      <w:pPr>
        <w:pStyle w:val="FootnoteText"/>
      </w:pPr>
      <w:r>
        <w:rPr>
          <w:rStyle w:val="FootnoteReference"/>
        </w:rPr>
        <w:footnoteRef/>
      </w:r>
      <w:r>
        <w:t xml:space="preserve"> EPSA Comments (2018 RM18-9) at 14; TAPS Comments (2018 RM18-9) at 26-27.</w:t>
      </w:r>
    </w:p>
  </w:footnote>
  <w:footnote w:id="366">
    <w:p w:rsidR="00FB7F86" w:rsidP="00576A77" w:rsidRDefault="00FB7F86" w14:paraId="134EE9F5" w14:textId="77777777">
      <w:pPr>
        <w:pStyle w:val="FootnoteText"/>
      </w:pPr>
      <w:r>
        <w:rPr>
          <w:rStyle w:val="FootnoteReference"/>
        </w:rPr>
        <w:footnoteRef/>
      </w:r>
      <w:r>
        <w:t xml:space="preserve"> Calpine Comments (2018 RM18-9) at 7; EPSA Comments (2018 RM18-9) at 20.</w:t>
      </w:r>
    </w:p>
  </w:footnote>
  <w:footnote w:id="367">
    <w:p w:rsidRPr="00A50DBE" w:rsidR="00FB7F86" w:rsidP="00DA6365" w:rsidRDefault="00FB7F86" w14:paraId="5E4A3666" w14:textId="0676AA81">
      <w:pPr>
        <w:pStyle w:val="FootnoteText"/>
        <w:rPr>
          <w:szCs w:val="26"/>
        </w:rPr>
      </w:pPr>
      <w:r w:rsidRPr="00A50DBE">
        <w:rPr>
          <w:rStyle w:val="FootnoteReference"/>
          <w:szCs w:val="26"/>
        </w:rPr>
        <w:footnoteRef/>
      </w:r>
      <w:r w:rsidRPr="00A50DBE">
        <w:rPr>
          <w:szCs w:val="26"/>
        </w:rPr>
        <w:t xml:space="preserve"> ISO-NE </w:t>
      </w:r>
      <w:r>
        <w:rPr>
          <w:szCs w:val="26"/>
        </w:rPr>
        <w:t>Comments (2018 RM18-9)</w:t>
      </w:r>
      <w:r w:rsidRPr="00A50DBE">
        <w:rPr>
          <w:szCs w:val="26"/>
        </w:rPr>
        <w:t xml:space="preserve"> at 3.</w:t>
      </w:r>
    </w:p>
  </w:footnote>
  <w:footnote w:id="368">
    <w:p w:rsidRPr="00407052" w:rsidR="00FB7F86" w:rsidP="00C94B92" w:rsidRDefault="00FB7F86" w14:paraId="4D918D8A" w14:textId="0D3413AF">
      <w:pPr>
        <w:pStyle w:val="FootnoteText"/>
      </w:pPr>
      <w:r w:rsidRPr="00407052">
        <w:rPr>
          <w:rStyle w:val="FootnoteReference"/>
        </w:rPr>
        <w:footnoteRef/>
      </w:r>
      <w:r w:rsidRPr="00407052">
        <w:t xml:space="preserve"> </w:t>
      </w:r>
      <w:r>
        <w:rPr>
          <w:i/>
          <w:iCs/>
        </w:rPr>
        <w:t>See, e.g.</w:t>
      </w:r>
      <w:r w:rsidRPr="002C0479">
        <w:t>,</w:t>
      </w:r>
      <w:r>
        <w:rPr>
          <w:i/>
        </w:rPr>
        <w:t xml:space="preserve"> </w:t>
      </w:r>
      <w:r w:rsidRPr="00BD423B">
        <w:rPr>
          <w:szCs w:val="26"/>
        </w:rPr>
        <w:t xml:space="preserve">Advanced Energy Buyers </w:t>
      </w:r>
      <w:r>
        <w:rPr>
          <w:szCs w:val="26"/>
        </w:rPr>
        <w:t>Comments (2018 RM18-9</w:t>
      </w:r>
      <w:r w:rsidRPr="00BD423B">
        <w:rPr>
          <w:szCs w:val="26"/>
        </w:rPr>
        <w:t>) at 2;</w:t>
      </w:r>
      <w:r>
        <w:rPr>
          <w:szCs w:val="26"/>
        </w:rPr>
        <w:t xml:space="preserve"> </w:t>
      </w:r>
      <w:r w:rsidRPr="00407052">
        <w:t xml:space="preserve">Genbright </w:t>
      </w:r>
      <w:r>
        <w:t>Comments (RM16-23) at</w:t>
      </w:r>
      <w:r w:rsidRPr="00407052">
        <w:t xml:space="preserve"> 2-</w:t>
      </w:r>
      <w:r>
        <w:t>4</w:t>
      </w:r>
      <w:r w:rsidRPr="00407052">
        <w:t xml:space="preserve">; </w:t>
      </w:r>
      <w:r w:rsidRPr="00BD423B">
        <w:rPr>
          <w:szCs w:val="26"/>
        </w:rPr>
        <w:t xml:space="preserve">Global Cold Chain Alliance </w:t>
      </w:r>
      <w:r>
        <w:rPr>
          <w:szCs w:val="26"/>
        </w:rPr>
        <w:t>Comments (2018 RM18-9</w:t>
      </w:r>
      <w:r w:rsidRPr="00BD423B">
        <w:rPr>
          <w:szCs w:val="26"/>
        </w:rPr>
        <w:t xml:space="preserve">) at 2; </w:t>
      </w:r>
      <w:r w:rsidRPr="00407052">
        <w:t xml:space="preserve">MISO Transmission Owners </w:t>
      </w:r>
      <w:r>
        <w:t>Comments (RM16-23) at</w:t>
      </w:r>
      <w:r w:rsidRPr="00407052">
        <w:t xml:space="preserve"> 6; New York </w:t>
      </w:r>
      <w:r w:rsidRPr="009831DD">
        <w:rPr>
          <w:szCs w:val="26"/>
        </w:rPr>
        <w:t>Commission</w:t>
      </w:r>
      <w:r w:rsidRPr="00BD423B">
        <w:rPr>
          <w:szCs w:val="26"/>
        </w:rPr>
        <w:t xml:space="preserve"> </w:t>
      </w:r>
      <w:r>
        <w:rPr>
          <w:szCs w:val="26"/>
        </w:rPr>
        <w:t>Comments (2018 RM18-9</w:t>
      </w:r>
      <w:r w:rsidRPr="00BD423B">
        <w:rPr>
          <w:szCs w:val="26"/>
        </w:rPr>
        <w:t>) at 16</w:t>
      </w:r>
      <w:r>
        <w:rPr>
          <w:color w:val="000000"/>
        </w:rPr>
        <w:t xml:space="preserve">. </w:t>
      </w:r>
    </w:p>
  </w:footnote>
  <w:footnote w:id="369">
    <w:p w:rsidR="00FB7F86" w:rsidP="00C94B92" w:rsidRDefault="00FB7F86" w14:paraId="2A60A3C4" w14:textId="77777777">
      <w:pPr>
        <w:pStyle w:val="FootnoteText"/>
      </w:pPr>
      <w:r>
        <w:rPr>
          <w:rStyle w:val="FootnoteReference"/>
        </w:rPr>
        <w:footnoteRef/>
      </w:r>
      <w:r>
        <w:t xml:space="preserve"> Energy Storage Association (2018 RM18-9) at 2; Microsoft Corporation Comments (2018 RM18-9) at 17; NRG Comments (2018 RM18-9) at 6-8; </w:t>
      </w:r>
      <w:r w:rsidRPr="00716CDF">
        <w:rPr>
          <w:szCs w:val="26"/>
        </w:rPr>
        <w:t xml:space="preserve">SEIA </w:t>
      </w:r>
      <w:r>
        <w:rPr>
          <w:szCs w:val="26"/>
        </w:rPr>
        <w:t>Comments (RM16-23) at</w:t>
      </w:r>
      <w:r w:rsidRPr="00716CDF">
        <w:rPr>
          <w:szCs w:val="26"/>
        </w:rPr>
        <w:t xml:space="preserve"> 16</w:t>
      </w:r>
      <w:r>
        <w:rPr>
          <w:szCs w:val="26"/>
        </w:rPr>
        <w:t xml:space="preserve">; </w:t>
      </w:r>
      <w:r w:rsidRPr="00716CDF">
        <w:rPr>
          <w:szCs w:val="26"/>
        </w:rPr>
        <w:t xml:space="preserve">Sunrun </w:t>
      </w:r>
      <w:r>
        <w:rPr>
          <w:szCs w:val="26"/>
        </w:rPr>
        <w:t>Comments (RM16-23) at</w:t>
      </w:r>
      <w:r w:rsidRPr="00716CDF">
        <w:rPr>
          <w:szCs w:val="26"/>
        </w:rPr>
        <w:t xml:space="preserve"> 3</w:t>
      </w:r>
      <w:r>
        <w:t>.</w:t>
      </w:r>
    </w:p>
  </w:footnote>
  <w:footnote w:id="370">
    <w:p w:rsidR="00FB7F86" w:rsidRDefault="00FB7F86" w14:paraId="7049ABC9" w14:textId="0032A65E">
      <w:pPr>
        <w:pStyle w:val="FootnoteText"/>
      </w:pPr>
      <w:r>
        <w:rPr>
          <w:rStyle w:val="FootnoteReference"/>
        </w:rPr>
        <w:footnoteRef/>
      </w:r>
      <w:r>
        <w:t xml:space="preserve"> </w:t>
      </w:r>
      <w:r>
        <w:rPr>
          <w:i/>
          <w:iCs/>
        </w:rPr>
        <w:t>See, e.g.</w:t>
      </w:r>
      <w:r w:rsidRPr="002C0479">
        <w:t>,</w:t>
      </w:r>
      <w:r>
        <w:rPr>
          <w:i/>
        </w:rPr>
        <w:t xml:space="preserve"> </w:t>
      </w:r>
      <w:r>
        <w:t xml:space="preserve">Advanced Energy Economy Comments (2018 RM18-9) at 8, 12-13; </w:t>
      </w:r>
      <w:r w:rsidRPr="00407052">
        <w:rPr>
          <w:szCs w:val="26"/>
        </w:rPr>
        <w:t xml:space="preserve">American Petroleum Institute </w:t>
      </w:r>
      <w:r>
        <w:rPr>
          <w:szCs w:val="26"/>
        </w:rPr>
        <w:t>Comments (RM16-23) at</w:t>
      </w:r>
      <w:r w:rsidRPr="00407052">
        <w:rPr>
          <w:szCs w:val="26"/>
        </w:rPr>
        <w:t xml:space="preserve"> 13; </w:t>
      </w:r>
      <w:r>
        <w:t xml:space="preserve">Direct Energy Comments (2018 RM18-9) at 11-13; EPSA Comments (2018 RM18-9) at 15; </w:t>
      </w:r>
      <w:r w:rsidRPr="00407052">
        <w:rPr>
          <w:szCs w:val="26"/>
        </w:rPr>
        <w:t xml:space="preserve">NARUC </w:t>
      </w:r>
      <w:r>
        <w:rPr>
          <w:szCs w:val="26"/>
        </w:rPr>
        <w:t>Comments (RM16-23) at</w:t>
      </w:r>
      <w:r w:rsidRPr="00407052">
        <w:rPr>
          <w:szCs w:val="26"/>
        </w:rPr>
        <w:t xml:space="preserve"> 5; </w:t>
      </w:r>
      <w:r w:rsidRPr="00BD423B">
        <w:rPr>
          <w:szCs w:val="26"/>
        </w:rPr>
        <w:t xml:space="preserve">Viking Cold </w:t>
      </w:r>
      <w:r>
        <w:rPr>
          <w:szCs w:val="26"/>
        </w:rPr>
        <w:t>Solutions Comments (2018 RM18-9</w:t>
      </w:r>
      <w:r w:rsidRPr="00BD423B">
        <w:rPr>
          <w:szCs w:val="26"/>
        </w:rPr>
        <w:t>) at 2</w:t>
      </w:r>
      <w:r w:rsidRPr="00C63F51">
        <w:t>.</w:t>
      </w:r>
    </w:p>
  </w:footnote>
  <w:footnote w:id="371">
    <w:p w:rsidR="00FB7F86" w:rsidP="0001082B" w:rsidRDefault="00FB7F86" w14:paraId="7FFF7D0E" w14:textId="3CEF2E11">
      <w:pPr>
        <w:pStyle w:val="FootnoteText"/>
      </w:pPr>
      <w:r>
        <w:rPr>
          <w:rStyle w:val="FootnoteReference"/>
        </w:rPr>
        <w:footnoteRef/>
      </w:r>
      <w:r>
        <w:t xml:space="preserve"> California Commission Comments (2018 RM18-9) at 10-11; New York Commission Comments (2018 RM18-9) at 17-18.</w:t>
      </w:r>
    </w:p>
  </w:footnote>
  <w:footnote w:id="372">
    <w:p w:rsidR="00FB7F86" w:rsidP="00C94B92" w:rsidRDefault="00FB7F86" w14:paraId="7F3A7ABB" w14:textId="1EC347E4">
      <w:pPr>
        <w:pStyle w:val="FootnoteText"/>
      </w:pPr>
      <w:r>
        <w:rPr>
          <w:rStyle w:val="FootnoteReference"/>
        </w:rPr>
        <w:footnoteRef/>
      </w:r>
      <w:r>
        <w:t xml:space="preserve"> </w:t>
      </w:r>
      <w:r>
        <w:rPr>
          <w:i/>
          <w:iCs/>
        </w:rPr>
        <w:t>See, e.g.</w:t>
      </w:r>
      <w:r w:rsidRPr="002C0479">
        <w:t>,</w:t>
      </w:r>
      <w:r>
        <w:rPr>
          <w:i/>
        </w:rPr>
        <w:t xml:space="preserve"> </w:t>
      </w:r>
      <w:r w:rsidRPr="00407052">
        <w:t xml:space="preserve">Advanced Energy Economy </w:t>
      </w:r>
      <w:r>
        <w:t>Comments (RM16-23) at</w:t>
      </w:r>
      <w:r w:rsidRPr="00407052">
        <w:t xml:space="preserve"> 39; Advanced Energy Management </w:t>
      </w:r>
      <w:r>
        <w:t>Comments (RM16-23) at</w:t>
      </w:r>
      <w:r w:rsidRPr="00407052">
        <w:t xml:space="preserve"> 11-1</w:t>
      </w:r>
      <w:r>
        <w:t>4</w:t>
      </w:r>
      <w:r w:rsidRPr="00407052">
        <w:t xml:space="preserve">; City of New York </w:t>
      </w:r>
      <w:r>
        <w:t>Comments (RM16-23) at</w:t>
      </w:r>
      <w:r w:rsidRPr="00407052">
        <w:t xml:space="preserve"> 10-11; </w:t>
      </w:r>
      <w:r>
        <w:t>NRG Comments (2018 RM18-9) at 7-8; NYPA Comments (2018 RM18-9) at 2.</w:t>
      </w:r>
    </w:p>
  </w:footnote>
  <w:footnote w:id="373">
    <w:p w:rsidRPr="00710F48" w:rsidR="00FB7F86" w:rsidP="00F07397" w:rsidRDefault="00FB7F86" w14:paraId="24CB1928" w14:textId="67A041A4">
      <w:pPr>
        <w:pStyle w:val="FootnoteText"/>
      </w:pPr>
      <w:r>
        <w:rPr>
          <w:rStyle w:val="FootnoteReference"/>
        </w:rPr>
        <w:footnoteRef/>
      </w:r>
      <w:r>
        <w:t xml:space="preserve"> </w:t>
      </w:r>
      <w:r>
        <w:rPr>
          <w:i/>
          <w:iCs/>
        </w:rPr>
        <w:t>See, e.g.</w:t>
      </w:r>
      <w:r w:rsidRPr="002C0479">
        <w:t>,</w:t>
      </w:r>
      <w:r>
        <w:rPr>
          <w:i/>
        </w:rPr>
        <w:t xml:space="preserve"> </w:t>
      </w:r>
      <w:r w:rsidRPr="00710F48">
        <w:t xml:space="preserve">California Energy Storage Alliance </w:t>
      </w:r>
      <w:r>
        <w:t>Comments (RM16-23) at</w:t>
      </w:r>
      <w:r w:rsidRPr="00710F48">
        <w:t xml:space="preserve"> 4-6; </w:t>
      </w:r>
      <w:r>
        <w:t xml:space="preserve">Genbright Comments (RM16-23) at 3-4; </w:t>
      </w:r>
      <w:r w:rsidRPr="00710F48">
        <w:t xml:space="preserve">Microgrid Resources Coalition </w:t>
      </w:r>
      <w:r>
        <w:t>Comments (RM16-23) at</w:t>
      </w:r>
      <w:r w:rsidRPr="00710F48">
        <w:t xml:space="preserve"> 12; </w:t>
      </w:r>
      <w:r w:rsidRPr="00716CDF">
        <w:rPr>
          <w:szCs w:val="26"/>
        </w:rPr>
        <w:t xml:space="preserve">SEIA </w:t>
      </w:r>
      <w:r>
        <w:rPr>
          <w:szCs w:val="26"/>
        </w:rPr>
        <w:t>Comments (RM16-23) at</w:t>
      </w:r>
      <w:r w:rsidRPr="00716CDF">
        <w:rPr>
          <w:szCs w:val="26"/>
        </w:rPr>
        <w:t xml:space="preserve"> 16</w:t>
      </w:r>
      <w:r>
        <w:rPr>
          <w:szCs w:val="26"/>
        </w:rPr>
        <w:t xml:space="preserve">; </w:t>
      </w:r>
      <w:r w:rsidRPr="00710F48">
        <w:t xml:space="preserve">Stem </w:t>
      </w:r>
      <w:r>
        <w:t>Comments (RM16-23) at</w:t>
      </w:r>
      <w:r w:rsidRPr="00710F48">
        <w:t xml:space="preserve"> 4, 7</w:t>
      </w:r>
      <w:r>
        <w:rPr>
          <w:color w:val="000000"/>
        </w:rPr>
        <w:t>.</w:t>
      </w:r>
    </w:p>
  </w:footnote>
  <w:footnote w:id="374">
    <w:p w:rsidRPr="00407052" w:rsidR="00FB7F86" w:rsidP="00D21D60" w:rsidRDefault="00FB7F86" w14:paraId="01834D5A" w14:textId="75300C85">
      <w:pPr>
        <w:pStyle w:val="FootnoteText"/>
      </w:pPr>
      <w:r w:rsidRPr="00407052">
        <w:rPr>
          <w:rStyle w:val="FootnoteReference"/>
        </w:rPr>
        <w:footnoteRef/>
      </w:r>
      <w:r>
        <w:t xml:space="preserve">  Icetec Comments (2018 RM18-9) at 14; Tesla Comments (2018 RM18-9) </w:t>
      </w:r>
      <w:r w:rsidRPr="007A4BA1">
        <w:t>at 4.</w:t>
      </w:r>
    </w:p>
  </w:footnote>
  <w:footnote w:id="375">
    <w:p w:rsidRPr="00716CDF" w:rsidR="00FB7F86" w:rsidP="00E17467" w:rsidRDefault="00FB7F86" w14:paraId="33B94CB4" w14:textId="77777777">
      <w:pPr>
        <w:pStyle w:val="FootnoteText"/>
        <w:rPr>
          <w:szCs w:val="26"/>
        </w:rPr>
      </w:pPr>
      <w:r w:rsidRPr="00716CDF">
        <w:rPr>
          <w:rStyle w:val="FootnoteReference"/>
        </w:rPr>
        <w:footnoteRef/>
      </w:r>
      <w:r w:rsidRPr="00716CDF">
        <w:rPr>
          <w:szCs w:val="26"/>
        </w:rPr>
        <w:t xml:space="preserve"> Advanced Energy Economy </w:t>
      </w:r>
      <w:r>
        <w:rPr>
          <w:szCs w:val="26"/>
        </w:rPr>
        <w:t>Comments (RM16-23) at</w:t>
      </w:r>
      <w:r w:rsidRPr="00716CDF">
        <w:rPr>
          <w:szCs w:val="26"/>
        </w:rPr>
        <w:t xml:space="preserve"> 33-34.</w:t>
      </w:r>
    </w:p>
  </w:footnote>
  <w:footnote w:id="376">
    <w:p w:rsidR="00FB7F86" w:rsidP="00E17467" w:rsidRDefault="00FB7F86" w14:paraId="7B49C815" w14:textId="39B4AFFC">
      <w:pPr>
        <w:pStyle w:val="FootnoteText"/>
      </w:pPr>
      <w:r>
        <w:rPr>
          <w:rStyle w:val="FootnoteReference"/>
        </w:rPr>
        <w:footnoteRef/>
      </w:r>
      <w:r>
        <w:t xml:space="preserve"> </w:t>
      </w:r>
      <w:r>
        <w:rPr>
          <w:i/>
          <w:iCs/>
        </w:rPr>
        <w:t>See, e.g.</w:t>
      </w:r>
      <w:r w:rsidRPr="002C0479">
        <w:t>,</w:t>
      </w:r>
      <w:r>
        <w:rPr>
          <w:i/>
        </w:rPr>
        <w:t xml:space="preserve"> </w:t>
      </w:r>
      <w:r w:rsidRPr="0053218E">
        <w:rPr>
          <w:szCs w:val="26"/>
        </w:rPr>
        <w:t xml:space="preserve">Advanced Energy Management </w:t>
      </w:r>
      <w:r>
        <w:rPr>
          <w:szCs w:val="26"/>
        </w:rPr>
        <w:t>Comments (RM16-23) at</w:t>
      </w:r>
      <w:r w:rsidRPr="0053218E">
        <w:rPr>
          <w:szCs w:val="26"/>
        </w:rPr>
        <w:t xml:space="preserve"> 10-11; Advanced Microgrid Solutions </w:t>
      </w:r>
      <w:r>
        <w:rPr>
          <w:szCs w:val="26"/>
        </w:rPr>
        <w:t>Comments (RM16-23) at</w:t>
      </w:r>
      <w:r w:rsidRPr="0053218E">
        <w:rPr>
          <w:szCs w:val="26"/>
        </w:rPr>
        <w:t xml:space="preserve"> 6; Energy Storage Association </w:t>
      </w:r>
      <w:r>
        <w:rPr>
          <w:szCs w:val="26"/>
        </w:rPr>
        <w:t>Comments (RM16-23) at</w:t>
      </w:r>
      <w:r w:rsidRPr="0053218E">
        <w:rPr>
          <w:szCs w:val="26"/>
        </w:rPr>
        <w:t xml:space="preserve"> 22-23; Public Interest Organizations </w:t>
      </w:r>
      <w:r>
        <w:rPr>
          <w:szCs w:val="26"/>
        </w:rPr>
        <w:t>Comments (RM16-23) at</w:t>
      </w:r>
      <w:r w:rsidRPr="0053218E">
        <w:rPr>
          <w:szCs w:val="26"/>
        </w:rPr>
        <w:t xml:space="preserve"> 22</w:t>
      </w:r>
      <w:r>
        <w:rPr>
          <w:szCs w:val="26"/>
        </w:rPr>
        <w:t>-</w:t>
      </w:r>
      <w:r w:rsidRPr="0053218E">
        <w:rPr>
          <w:szCs w:val="26"/>
        </w:rPr>
        <w:t xml:space="preserve">24; Tesla/SolarCity </w:t>
      </w:r>
      <w:r>
        <w:rPr>
          <w:szCs w:val="26"/>
        </w:rPr>
        <w:t>Comments (RM16-23) at</w:t>
      </w:r>
      <w:r w:rsidRPr="0053218E">
        <w:rPr>
          <w:szCs w:val="26"/>
        </w:rPr>
        <w:t xml:space="preserve"> 3.</w:t>
      </w:r>
    </w:p>
  </w:footnote>
  <w:footnote w:id="377">
    <w:p w:rsidRPr="00BD423B" w:rsidR="00FB7F86" w:rsidP="00733070" w:rsidRDefault="00FB7F86" w14:paraId="11CE5917" w14:textId="4DA7A7E9">
      <w:pPr>
        <w:pStyle w:val="FootnoteText"/>
        <w:rPr>
          <w:szCs w:val="26"/>
        </w:rPr>
      </w:pPr>
      <w:r w:rsidRPr="00BD423B">
        <w:rPr>
          <w:rStyle w:val="FootnoteReference"/>
        </w:rPr>
        <w:footnoteRef/>
      </w:r>
      <w:r w:rsidRPr="00BD423B">
        <w:rPr>
          <w:szCs w:val="26"/>
        </w:rPr>
        <w:t xml:space="preserve"> E</w:t>
      </w:r>
      <w:r>
        <w:rPr>
          <w:szCs w:val="26"/>
        </w:rPr>
        <w:t>nergy Storage Association</w:t>
      </w:r>
      <w:r w:rsidRPr="00BD423B">
        <w:rPr>
          <w:szCs w:val="26"/>
        </w:rPr>
        <w:t xml:space="preserve"> </w:t>
      </w:r>
      <w:r>
        <w:rPr>
          <w:szCs w:val="26"/>
        </w:rPr>
        <w:t>Comments (2018 RM18-9</w:t>
      </w:r>
      <w:r w:rsidRPr="00BD423B">
        <w:rPr>
          <w:szCs w:val="26"/>
        </w:rPr>
        <w:t>) at 2</w:t>
      </w:r>
      <w:r>
        <w:rPr>
          <w:szCs w:val="26"/>
        </w:rPr>
        <w:t>;</w:t>
      </w:r>
      <w:r w:rsidRPr="00BD423B">
        <w:rPr>
          <w:szCs w:val="26"/>
        </w:rPr>
        <w:t xml:space="preserve"> </w:t>
      </w:r>
      <w:r w:rsidRPr="009831DD">
        <w:rPr>
          <w:szCs w:val="26"/>
        </w:rPr>
        <w:t xml:space="preserve">New York Commission </w:t>
      </w:r>
      <w:r>
        <w:rPr>
          <w:szCs w:val="26"/>
        </w:rPr>
        <w:t>Comments (2018 RM18-9</w:t>
      </w:r>
      <w:r w:rsidRPr="00BD423B">
        <w:rPr>
          <w:szCs w:val="26"/>
        </w:rPr>
        <w:t xml:space="preserve">) at 15; NYISO Indicated Transmission Owners </w:t>
      </w:r>
      <w:r>
        <w:rPr>
          <w:szCs w:val="26"/>
        </w:rPr>
        <w:t>Comments (2018 RM18-9</w:t>
      </w:r>
      <w:r w:rsidRPr="00BD423B">
        <w:rPr>
          <w:szCs w:val="26"/>
        </w:rPr>
        <w:t>) at 13.</w:t>
      </w:r>
      <w:r>
        <w:rPr>
          <w:szCs w:val="26"/>
        </w:rPr>
        <w:t xml:space="preserve">  </w:t>
      </w:r>
      <w:r w:rsidRPr="00AC20F1">
        <w:rPr>
          <w:i/>
          <w:iCs/>
          <w:szCs w:val="26"/>
        </w:rPr>
        <w:t>See also</w:t>
      </w:r>
      <w:r>
        <w:rPr>
          <w:szCs w:val="26"/>
        </w:rPr>
        <w:t xml:space="preserve"> </w:t>
      </w:r>
      <w:r>
        <w:t xml:space="preserve">California </w:t>
      </w:r>
      <w:r w:rsidRPr="000E11D9">
        <w:t xml:space="preserve">Commission </w:t>
      </w:r>
      <w:r>
        <w:t>Comments (2018 RM18-9</w:t>
      </w:r>
      <w:r w:rsidRPr="000E11D9">
        <w:t>) at 8</w:t>
      </w:r>
      <w:r>
        <w:t xml:space="preserve"> (</w:t>
      </w:r>
      <w:r w:rsidRPr="000E11D9">
        <w:t xml:space="preserve">noting that </w:t>
      </w:r>
      <w:r>
        <w:t xml:space="preserve">the </w:t>
      </w:r>
      <w:r w:rsidRPr="000E11D9">
        <w:t xml:space="preserve">California Commission declined to categorize the 22 </w:t>
      </w:r>
      <w:r w:rsidRPr="00AC50F6">
        <w:t>services defined for the multiple use application framework adopted in D.18-01-003 by</w:t>
      </w:r>
      <w:r w:rsidRPr="000E11D9">
        <w:t xml:space="preserve"> their service elements, which are either energy or capacity</w:t>
      </w:r>
      <w:r>
        <w:t>).</w:t>
      </w:r>
    </w:p>
  </w:footnote>
  <w:footnote w:id="378">
    <w:p w:rsidRPr="00407052" w:rsidR="00FB7F86" w:rsidP="00E17467" w:rsidRDefault="00FB7F86" w14:paraId="588DCA4F" w14:textId="4E0A9BF7">
      <w:pPr>
        <w:pStyle w:val="FootnoteText"/>
      </w:pPr>
      <w:r w:rsidRPr="00407052">
        <w:rPr>
          <w:rStyle w:val="FootnoteReference"/>
        </w:rPr>
        <w:footnoteRef/>
      </w:r>
      <w:r w:rsidRPr="00407052">
        <w:t xml:space="preserve"> </w:t>
      </w:r>
      <w:r>
        <w:rPr>
          <w:i/>
          <w:iCs/>
        </w:rPr>
        <w:t>See, e.g.</w:t>
      </w:r>
      <w:r w:rsidRPr="002C0479">
        <w:t>,</w:t>
      </w:r>
      <w:r>
        <w:rPr>
          <w:i/>
        </w:rPr>
        <w:t xml:space="preserve"> </w:t>
      </w:r>
      <w:r w:rsidRPr="00716CDF">
        <w:t xml:space="preserve">Advanced Energy Economy </w:t>
      </w:r>
      <w:r>
        <w:t>Comments (RM16-23) at</w:t>
      </w:r>
      <w:r w:rsidRPr="00716CDF">
        <w:t xml:space="preserve"> 34-35</w:t>
      </w:r>
      <w:r>
        <w:t xml:space="preserve">; </w:t>
      </w:r>
      <w:r w:rsidRPr="00407052">
        <w:t xml:space="preserve">California Energy Storage Alliance </w:t>
      </w:r>
      <w:r>
        <w:t>Comments (RM16-23) at</w:t>
      </w:r>
      <w:r w:rsidRPr="00407052">
        <w:t xml:space="preserve"> 5-6; </w:t>
      </w:r>
      <w:r w:rsidRPr="00407052">
        <w:rPr>
          <w:bCs/>
          <w:color w:val="000000"/>
        </w:rPr>
        <w:t xml:space="preserve">DER/Storage Developers </w:t>
      </w:r>
      <w:r>
        <w:rPr>
          <w:bCs/>
          <w:color w:val="000000"/>
        </w:rPr>
        <w:t>Comments (RM16-23) at</w:t>
      </w:r>
      <w:r w:rsidRPr="00407052">
        <w:rPr>
          <w:bCs/>
          <w:color w:val="000000"/>
        </w:rPr>
        <w:t xml:space="preserve"> 2</w:t>
      </w:r>
      <w:r>
        <w:rPr>
          <w:bCs/>
          <w:color w:val="000000"/>
        </w:rPr>
        <w:t>-3</w:t>
      </w:r>
      <w:r w:rsidRPr="00407052">
        <w:rPr>
          <w:bCs/>
          <w:color w:val="000000"/>
        </w:rPr>
        <w:t xml:space="preserve">; </w:t>
      </w:r>
      <w:r>
        <w:t>Tesla/SolarCity Comments (RM16-23) at 5-7</w:t>
      </w:r>
      <w:r w:rsidRPr="00407052">
        <w:t>.</w:t>
      </w:r>
      <w:r>
        <w:t xml:space="preserve">  Advanced Energy Management notes that </w:t>
      </w:r>
      <w:r w:rsidRPr="00716CDF">
        <w:t>dispatch for the Consolidated Edison programs only overlapped with dispatch for the NYISO programs in six percent of hours from 2011 to 2015</w:t>
      </w:r>
      <w:r>
        <w:t xml:space="preserve">.  </w:t>
      </w:r>
      <w:r w:rsidRPr="00716CDF">
        <w:t xml:space="preserve">Advanced Energy Management </w:t>
      </w:r>
      <w:r>
        <w:t>Comments (RM16-23) at</w:t>
      </w:r>
      <w:r w:rsidRPr="00716CDF">
        <w:t xml:space="preserve"> 12-13</w:t>
      </w:r>
      <w:r>
        <w:t>.</w:t>
      </w:r>
    </w:p>
  </w:footnote>
  <w:footnote w:id="379">
    <w:p w:rsidR="00FB7F86" w:rsidP="000775A9" w:rsidRDefault="00FB7F86" w14:paraId="419F25E7" w14:textId="38733B51">
      <w:pPr>
        <w:pStyle w:val="FootnoteText"/>
      </w:pPr>
      <w:r>
        <w:rPr>
          <w:rStyle w:val="FootnoteReference"/>
        </w:rPr>
        <w:footnoteRef/>
      </w:r>
      <w:r>
        <w:t xml:space="preserve"> </w:t>
      </w:r>
      <w:r w:rsidRPr="00407052">
        <w:rPr>
          <w:szCs w:val="26"/>
        </w:rPr>
        <w:t xml:space="preserve">Institute for Policy Integrity </w:t>
      </w:r>
      <w:r>
        <w:rPr>
          <w:szCs w:val="26"/>
        </w:rPr>
        <w:t>Comments (RM16-23) at</w:t>
      </w:r>
      <w:r w:rsidRPr="00407052">
        <w:rPr>
          <w:szCs w:val="26"/>
        </w:rPr>
        <w:t xml:space="preserve"> 7; Open Access Technology </w:t>
      </w:r>
      <w:r>
        <w:rPr>
          <w:szCs w:val="26"/>
        </w:rPr>
        <w:t>Comments (RM16-23) at</w:t>
      </w:r>
      <w:r w:rsidRPr="00407052">
        <w:rPr>
          <w:szCs w:val="26"/>
        </w:rPr>
        <w:t xml:space="preserve"> 4-5; Stem </w:t>
      </w:r>
      <w:r>
        <w:rPr>
          <w:szCs w:val="26"/>
        </w:rPr>
        <w:t>Comments (RM16-23) at</w:t>
      </w:r>
      <w:r w:rsidRPr="00407052">
        <w:rPr>
          <w:szCs w:val="26"/>
        </w:rPr>
        <w:t xml:space="preserve"> 4 (citing </w:t>
      </w:r>
      <w:r w:rsidRPr="00407052">
        <w:rPr>
          <w:i/>
          <w:szCs w:val="26"/>
        </w:rPr>
        <w:t xml:space="preserve">Utilization of </w:t>
      </w:r>
      <w:r>
        <w:rPr>
          <w:i/>
          <w:szCs w:val="26"/>
        </w:rPr>
        <w:t>Elec.</w:t>
      </w:r>
      <w:r w:rsidRPr="00407052">
        <w:rPr>
          <w:i/>
          <w:szCs w:val="26"/>
        </w:rPr>
        <w:t xml:space="preserve"> Storage </w:t>
      </w:r>
      <w:r>
        <w:rPr>
          <w:i/>
          <w:szCs w:val="26"/>
        </w:rPr>
        <w:t>Res.</w:t>
      </w:r>
      <w:r w:rsidRPr="00407052">
        <w:rPr>
          <w:i/>
          <w:szCs w:val="26"/>
        </w:rPr>
        <w:t xml:space="preserve"> for Multiple </w:t>
      </w:r>
      <w:r>
        <w:rPr>
          <w:i/>
          <w:szCs w:val="26"/>
        </w:rPr>
        <w:t>Serv</w:t>
      </w:r>
      <w:r w:rsidRPr="00407052">
        <w:rPr>
          <w:i/>
          <w:szCs w:val="26"/>
        </w:rPr>
        <w:t>s</w:t>
      </w:r>
      <w:r>
        <w:rPr>
          <w:i/>
          <w:szCs w:val="26"/>
        </w:rPr>
        <w:t>.</w:t>
      </w:r>
      <w:r w:rsidRPr="00407052">
        <w:rPr>
          <w:i/>
          <w:szCs w:val="26"/>
        </w:rPr>
        <w:t xml:space="preserve"> When Receiving Cost-Based Rate Recovery</w:t>
      </w:r>
      <w:r w:rsidRPr="00407052">
        <w:rPr>
          <w:szCs w:val="26"/>
        </w:rPr>
        <w:t>, 158 FERC ¶</w:t>
      </w:r>
      <w:r>
        <w:rPr>
          <w:szCs w:val="26"/>
        </w:rPr>
        <w:t> </w:t>
      </w:r>
      <w:r w:rsidRPr="00407052">
        <w:rPr>
          <w:szCs w:val="26"/>
        </w:rPr>
        <w:t>61,051</w:t>
      </w:r>
      <w:r>
        <w:rPr>
          <w:szCs w:val="26"/>
        </w:rPr>
        <w:t xml:space="preserve"> (2017)</w:t>
      </w:r>
      <w:r w:rsidRPr="00407052">
        <w:rPr>
          <w:szCs w:val="26"/>
        </w:rPr>
        <w:t>).</w:t>
      </w:r>
    </w:p>
  </w:footnote>
  <w:footnote w:id="380">
    <w:p w:rsidR="00FB7F86" w:rsidP="000775A9" w:rsidRDefault="00FB7F86" w14:paraId="117DF20D" w14:textId="25BC0D17">
      <w:pPr>
        <w:pStyle w:val="FootnoteText"/>
      </w:pPr>
      <w:r>
        <w:rPr>
          <w:rStyle w:val="FootnoteReference"/>
        </w:rPr>
        <w:footnoteRef/>
      </w:r>
      <w:r>
        <w:rPr>
          <w:szCs w:val="26"/>
        </w:rPr>
        <w:t xml:space="preserve"> </w:t>
      </w:r>
      <w:r w:rsidRPr="00716CDF">
        <w:rPr>
          <w:szCs w:val="26"/>
        </w:rPr>
        <w:t xml:space="preserve">Leadership Group </w:t>
      </w:r>
      <w:r>
        <w:rPr>
          <w:szCs w:val="26"/>
        </w:rPr>
        <w:t>Comments (RM16-23) at</w:t>
      </w:r>
      <w:r w:rsidRPr="00716CDF">
        <w:rPr>
          <w:szCs w:val="26"/>
        </w:rPr>
        <w:t xml:space="preserve"> </w:t>
      </w:r>
      <w:r>
        <w:rPr>
          <w:szCs w:val="26"/>
        </w:rPr>
        <w:t>3</w:t>
      </w:r>
      <w:r w:rsidRPr="00716CDF">
        <w:rPr>
          <w:szCs w:val="26"/>
        </w:rPr>
        <w:t xml:space="preserve"> (citing </w:t>
      </w:r>
      <w:r w:rsidRPr="00716CDF">
        <w:rPr>
          <w:i/>
          <w:iCs/>
          <w:szCs w:val="26"/>
        </w:rPr>
        <w:t>Cal. Indep. Sys. Operator Corp</w:t>
      </w:r>
      <w:r w:rsidRPr="00716CDF">
        <w:rPr>
          <w:szCs w:val="26"/>
        </w:rPr>
        <w:t>., 155 FERC ¶</w:t>
      </w:r>
      <w:r>
        <w:rPr>
          <w:szCs w:val="26"/>
        </w:rPr>
        <w:t> </w:t>
      </w:r>
      <w:r w:rsidRPr="00716CDF">
        <w:rPr>
          <w:szCs w:val="26"/>
        </w:rPr>
        <w:t xml:space="preserve">61,229 at </w:t>
      </w:r>
      <w:r>
        <w:rPr>
          <w:szCs w:val="26"/>
        </w:rPr>
        <w:t>P </w:t>
      </w:r>
      <w:r w:rsidRPr="00716CDF">
        <w:rPr>
          <w:szCs w:val="26"/>
        </w:rPr>
        <w:t>11)</w:t>
      </w:r>
      <w:r>
        <w:rPr>
          <w:szCs w:val="26"/>
        </w:rPr>
        <w:t>.</w:t>
      </w:r>
    </w:p>
  </w:footnote>
  <w:footnote w:id="381">
    <w:p w:rsidRPr="00BD423B" w:rsidR="00FB7F86" w:rsidP="00AD2A73" w:rsidRDefault="00FB7F86" w14:paraId="2E29F13E" w14:textId="54E0B3EF">
      <w:pPr>
        <w:pStyle w:val="FootnoteText"/>
        <w:rPr>
          <w:szCs w:val="26"/>
        </w:rPr>
      </w:pPr>
      <w:r w:rsidRPr="00BD423B">
        <w:rPr>
          <w:rStyle w:val="FootnoteReference"/>
        </w:rPr>
        <w:footnoteRef/>
      </w:r>
      <w:r w:rsidRPr="00BD423B">
        <w:rPr>
          <w:szCs w:val="26"/>
        </w:rPr>
        <w:t xml:space="preserve"> A</w:t>
      </w:r>
      <w:r>
        <w:rPr>
          <w:szCs w:val="26"/>
        </w:rPr>
        <w:t xml:space="preserve">dvanced </w:t>
      </w:r>
      <w:r w:rsidRPr="00BD423B">
        <w:rPr>
          <w:szCs w:val="26"/>
        </w:rPr>
        <w:t>E</w:t>
      </w:r>
      <w:r>
        <w:rPr>
          <w:szCs w:val="26"/>
        </w:rPr>
        <w:t xml:space="preserve">nergy </w:t>
      </w:r>
      <w:r w:rsidRPr="00BD423B">
        <w:rPr>
          <w:szCs w:val="26"/>
        </w:rPr>
        <w:t>M</w:t>
      </w:r>
      <w:r>
        <w:rPr>
          <w:szCs w:val="26"/>
        </w:rPr>
        <w:t>anagement</w:t>
      </w:r>
      <w:r w:rsidRPr="00BD423B">
        <w:rPr>
          <w:szCs w:val="26"/>
        </w:rPr>
        <w:t xml:space="preserve"> </w:t>
      </w:r>
      <w:r>
        <w:rPr>
          <w:szCs w:val="26"/>
        </w:rPr>
        <w:t>Comments (2018 RM18-9</w:t>
      </w:r>
      <w:r w:rsidRPr="00BD423B">
        <w:rPr>
          <w:szCs w:val="26"/>
        </w:rPr>
        <w:t>) at</w:t>
      </w:r>
      <w:r>
        <w:rPr>
          <w:szCs w:val="26"/>
        </w:rPr>
        <w:t xml:space="preserve"> 13;</w:t>
      </w:r>
      <w:r w:rsidRPr="00BD423B">
        <w:rPr>
          <w:szCs w:val="26"/>
        </w:rPr>
        <w:t xml:space="preserve"> </w:t>
      </w:r>
      <w:r w:rsidRPr="009831DD">
        <w:rPr>
          <w:szCs w:val="26"/>
        </w:rPr>
        <w:t xml:space="preserve">New York Commission </w:t>
      </w:r>
      <w:r>
        <w:rPr>
          <w:szCs w:val="26"/>
        </w:rPr>
        <w:t>Comments (2018 RM18-9</w:t>
      </w:r>
      <w:r w:rsidRPr="00BD423B">
        <w:rPr>
          <w:szCs w:val="26"/>
        </w:rPr>
        <w:t>) at 15.</w:t>
      </w:r>
    </w:p>
  </w:footnote>
  <w:footnote w:id="382">
    <w:p w:rsidR="00FB7F86" w:rsidP="00471692" w:rsidRDefault="00FB7F86" w14:paraId="447C82F4" w14:textId="6B388251">
      <w:pPr>
        <w:pStyle w:val="FootnoteText"/>
      </w:pPr>
      <w:r>
        <w:rPr>
          <w:rStyle w:val="FootnoteReference"/>
        </w:rPr>
        <w:footnoteRef/>
      </w:r>
      <w:r>
        <w:t xml:space="preserve"> </w:t>
      </w:r>
      <w:r>
        <w:rPr>
          <w:i/>
          <w:iCs/>
        </w:rPr>
        <w:t>See, e.g.</w:t>
      </w:r>
      <w:r w:rsidRPr="002C0479">
        <w:t>,</w:t>
      </w:r>
      <w:r>
        <w:rPr>
          <w:i/>
        </w:rPr>
        <w:t xml:space="preserve"> </w:t>
      </w:r>
      <w:r>
        <w:t>California Commission Comments (2018 RM18-9</w:t>
      </w:r>
      <w:r w:rsidRPr="00BD423B">
        <w:rPr>
          <w:szCs w:val="26"/>
        </w:rPr>
        <w:t xml:space="preserve">) </w:t>
      </w:r>
      <w:r>
        <w:t>at 9-10; Microgrid Resources Coalition Comments (2018 RM18-9) at 12-14; New York Commission Comments (2018 RM18-9) at 16, 18-19; NYISO Indicated Transmission Owners Comments (2018 RM18-9) at 13-14; Tesla Comments (2018 RM18-9) at 3-7.</w:t>
      </w:r>
    </w:p>
  </w:footnote>
  <w:footnote w:id="383">
    <w:p w:rsidRPr="00716CDF" w:rsidR="00FB7F86" w:rsidP="00C35BD9" w:rsidRDefault="00FB7F86" w14:paraId="10418397" w14:textId="101CE586">
      <w:pPr>
        <w:pStyle w:val="FootnoteText"/>
        <w:rPr>
          <w:szCs w:val="26"/>
        </w:rPr>
      </w:pPr>
      <w:r w:rsidRPr="00716CDF">
        <w:rPr>
          <w:rStyle w:val="FootnoteReference"/>
        </w:rPr>
        <w:footnoteRef/>
      </w:r>
      <w:r w:rsidRPr="00716CDF">
        <w:rPr>
          <w:szCs w:val="26"/>
        </w:rPr>
        <w:t xml:space="preserve">Advanced Energy Management </w:t>
      </w:r>
      <w:r>
        <w:rPr>
          <w:szCs w:val="26"/>
        </w:rPr>
        <w:t>Comments (RM16-23) at</w:t>
      </w:r>
      <w:r w:rsidRPr="00716CDF">
        <w:rPr>
          <w:szCs w:val="26"/>
        </w:rPr>
        <w:t xml:space="preserve"> 13; AES Companies Comments </w:t>
      </w:r>
      <w:r>
        <w:rPr>
          <w:szCs w:val="26"/>
        </w:rPr>
        <w:t xml:space="preserve">(RM16-23) </w:t>
      </w:r>
      <w:r w:rsidRPr="00716CDF">
        <w:rPr>
          <w:szCs w:val="26"/>
        </w:rPr>
        <w:t>at 39</w:t>
      </w:r>
      <w:r>
        <w:rPr>
          <w:szCs w:val="26"/>
        </w:rPr>
        <w:t>;</w:t>
      </w:r>
      <w:r w:rsidRPr="00516821">
        <w:rPr>
          <w:bCs/>
          <w:szCs w:val="26"/>
        </w:rPr>
        <w:t xml:space="preserve"> </w:t>
      </w:r>
      <w:r w:rsidRPr="00716CDF">
        <w:rPr>
          <w:bCs/>
          <w:szCs w:val="26"/>
        </w:rPr>
        <w:t xml:space="preserve">New York State Entities </w:t>
      </w:r>
      <w:r>
        <w:rPr>
          <w:bCs/>
          <w:szCs w:val="26"/>
        </w:rPr>
        <w:t>Comments (RM16-23) at</w:t>
      </w:r>
      <w:r w:rsidRPr="00716CDF">
        <w:rPr>
          <w:bCs/>
          <w:szCs w:val="26"/>
        </w:rPr>
        <w:t xml:space="preserve"> 15-16</w:t>
      </w:r>
      <w:r w:rsidRPr="00716CDF">
        <w:rPr>
          <w:szCs w:val="26"/>
        </w:rPr>
        <w:t>.</w:t>
      </w:r>
    </w:p>
  </w:footnote>
  <w:footnote w:id="384">
    <w:p w:rsidR="00FB7F86" w:rsidP="0055725A" w:rsidRDefault="00FB7F86" w14:paraId="77B890EC" w14:textId="71EC4892">
      <w:pPr>
        <w:pStyle w:val="FootnoteText"/>
      </w:pPr>
      <w:r>
        <w:rPr>
          <w:rStyle w:val="FootnoteReference"/>
        </w:rPr>
        <w:footnoteRef/>
      </w:r>
      <w:r>
        <w:t xml:space="preserve"> Advanced Energy </w:t>
      </w:r>
      <w:r w:rsidRPr="004C2EC1">
        <w:t xml:space="preserve">Buyers </w:t>
      </w:r>
      <w:r>
        <w:t>Comments (2018 RM18-9</w:t>
      </w:r>
      <w:r w:rsidRPr="004C2EC1">
        <w:t>) at 6</w:t>
      </w:r>
      <w:r>
        <w:t xml:space="preserve">; Advanced Energy Economy Comments (2018 RM18-9) at 13; </w:t>
      </w:r>
      <w:r w:rsidRPr="008945EB">
        <w:rPr>
          <w:szCs w:val="26"/>
        </w:rPr>
        <w:t>Advanced Energy Management</w:t>
      </w:r>
      <w:r>
        <w:rPr>
          <w:szCs w:val="26"/>
        </w:rPr>
        <w:t xml:space="preserve"> Comments (2018 RM18-9</w:t>
      </w:r>
      <w:r w:rsidRPr="00BD423B">
        <w:rPr>
          <w:szCs w:val="26"/>
        </w:rPr>
        <w:t>) at 14-15.</w:t>
      </w:r>
    </w:p>
  </w:footnote>
  <w:footnote w:id="385">
    <w:p w:rsidRPr="00A50DBE" w:rsidR="00FB7F86" w:rsidP="00C35BD9" w:rsidRDefault="00FB7F86" w14:paraId="15CDF9F6" w14:textId="77777777">
      <w:pPr>
        <w:pStyle w:val="FootnoteText"/>
        <w:rPr>
          <w:szCs w:val="26"/>
        </w:rPr>
      </w:pPr>
      <w:r w:rsidRPr="00A50DBE">
        <w:rPr>
          <w:rStyle w:val="FootnoteReference"/>
          <w:szCs w:val="26"/>
        </w:rPr>
        <w:footnoteRef/>
      </w:r>
      <w:r w:rsidRPr="00A50DBE">
        <w:rPr>
          <w:szCs w:val="26"/>
        </w:rPr>
        <w:t xml:space="preserve"> PJM </w:t>
      </w:r>
      <w:r>
        <w:rPr>
          <w:szCs w:val="26"/>
        </w:rPr>
        <w:t>Comments (RM16-23) at</w:t>
      </w:r>
      <w:r w:rsidRPr="00A50DBE">
        <w:rPr>
          <w:szCs w:val="26"/>
        </w:rPr>
        <w:t xml:space="preserve"> 23.</w:t>
      </w:r>
    </w:p>
  </w:footnote>
  <w:footnote w:id="386">
    <w:p w:rsidR="00FB7F86" w:rsidP="006D274F" w:rsidRDefault="00FB7F86" w14:paraId="775BC428" w14:textId="77777777">
      <w:pPr>
        <w:pStyle w:val="FootnoteText"/>
      </w:pPr>
      <w:r>
        <w:rPr>
          <w:rStyle w:val="FootnoteReference"/>
        </w:rPr>
        <w:footnoteRef/>
      </w:r>
      <w:r>
        <w:t xml:space="preserve"> IRC Comments (RM16-23) at 3-5.</w:t>
      </w:r>
    </w:p>
  </w:footnote>
  <w:footnote w:id="387">
    <w:p w:rsidR="00FB7F86" w:rsidP="00FB2CD8" w:rsidRDefault="00FB7F86" w14:paraId="168118BC" w14:textId="74114A4B">
      <w:pPr>
        <w:pStyle w:val="FootnoteText"/>
      </w:pPr>
      <w:r>
        <w:rPr>
          <w:rStyle w:val="FootnoteReference"/>
        </w:rPr>
        <w:footnoteRef/>
      </w:r>
      <w:r>
        <w:t xml:space="preserve"> EEI Comments (RM16-23) at 26-27; Pacific Gas &amp; Electric Comments (2018 RM18-9) at 10.</w:t>
      </w:r>
    </w:p>
  </w:footnote>
  <w:footnote w:id="388">
    <w:p w:rsidR="00FB7F86" w:rsidP="006D274F" w:rsidRDefault="00FB7F86" w14:paraId="1A18A2AE" w14:textId="10A8FFA7">
      <w:pPr>
        <w:pStyle w:val="FootnoteText"/>
      </w:pPr>
      <w:r>
        <w:rPr>
          <w:rStyle w:val="FootnoteReference"/>
        </w:rPr>
        <w:footnoteRef/>
      </w:r>
      <w:r>
        <w:t xml:space="preserve"> Massachusetts Commission Comments (RM16-23) at 11.</w:t>
      </w:r>
    </w:p>
  </w:footnote>
  <w:footnote w:id="389">
    <w:p w:rsidR="00FB7F86" w:rsidP="006D274F" w:rsidRDefault="00FB7F86" w14:paraId="5ED9630F" w14:textId="77777777">
      <w:pPr>
        <w:pStyle w:val="FootnoteText"/>
      </w:pPr>
      <w:r>
        <w:rPr>
          <w:rStyle w:val="FootnoteReference"/>
        </w:rPr>
        <w:footnoteRef/>
      </w:r>
      <w:r>
        <w:t xml:space="preserve"> ISO-NE Comments (RM16-23) at 54.</w:t>
      </w:r>
    </w:p>
  </w:footnote>
  <w:footnote w:id="390">
    <w:p w:rsidR="00FB7F86" w:rsidP="006D274F" w:rsidRDefault="00FB7F86" w14:paraId="54BA30F5" w14:textId="06EB29C0">
      <w:pPr>
        <w:pStyle w:val="FootnoteText"/>
      </w:pPr>
      <w:r>
        <w:rPr>
          <w:rStyle w:val="FootnoteReference"/>
        </w:rPr>
        <w:footnoteRef/>
      </w:r>
      <w:r>
        <w:t xml:space="preserve"> </w:t>
      </w:r>
      <w:r w:rsidRPr="002F327F">
        <w:t xml:space="preserve">NextEra Comments (RM16-23) at 14; </w:t>
      </w:r>
      <w:r w:rsidRPr="002F327F">
        <w:rPr>
          <w:szCs w:val="26"/>
        </w:rPr>
        <w:t>NYISO Comments (RM16-23) at 14-15</w:t>
      </w:r>
      <w:r w:rsidRPr="002F327F">
        <w:t xml:space="preserve">; Public Interest Organizations Comments (RM16-23) at </w:t>
      </w:r>
      <w:r>
        <w:t>21-22</w:t>
      </w:r>
      <w:r w:rsidRPr="00716CDF">
        <w:rPr>
          <w:szCs w:val="26"/>
        </w:rPr>
        <w:t>.</w:t>
      </w:r>
    </w:p>
  </w:footnote>
  <w:footnote w:id="391">
    <w:p w:rsidRPr="00716CDF" w:rsidR="00FB7F86" w:rsidP="006D274F" w:rsidRDefault="00FB7F86" w14:paraId="05F5002C" w14:textId="77777777">
      <w:pPr>
        <w:pStyle w:val="FootnoteText"/>
        <w:rPr>
          <w:szCs w:val="26"/>
        </w:rPr>
      </w:pPr>
      <w:r w:rsidRPr="00716CDF">
        <w:rPr>
          <w:rStyle w:val="FootnoteReference"/>
          <w:szCs w:val="26"/>
        </w:rPr>
        <w:footnoteRef/>
      </w:r>
      <w:r w:rsidRPr="00716CDF">
        <w:rPr>
          <w:szCs w:val="26"/>
        </w:rPr>
        <w:t xml:space="preserve"> NYISO Comments </w:t>
      </w:r>
      <w:r>
        <w:rPr>
          <w:szCs w:val="26"/>
        </w:rPr>
        <w:t xml:space="preserve">(RM16-23) </w:t>
      </w:r>
      <w:r w:rsidRPr="00716CDF">
        <w:rPr>
          <w:szCs w:val="26"/>
        </w:rPr>
        <w:t>at 14-15.</w:t>
      </w:r>
    </w:p>
  </w:footnote>
  <w:footnote w:id="392">
    <w:p w:rsidRPr="00407052" w:rsidR="00FB7F86" w:rsidP="006D274F" w:rsidRDefault="00FB7F86" w14:paraId="2314514E" w14:textId="17137E70">
      <w:pPr>
        <w:pStyle w:val="FootnoteText"/>
      </w:pPr>
      <w:r w:rsidRPr="00407052">
        <w:rPr>
          <w:rStyle w:val="FootnoteReference"/>
        </w:rPr>
        <w:footnoteRef/>
      </w:r>
      <w:r w:rsidRPr="00407052">
        <w:t xml:space="preserve"> </w:t>
      </w:r>
      <w:r>
        <w:t xml:space="preserve">EEI Comments (RM16-23) at 25; </w:t>
      </w:r>
      <w:r w:rsidRPr="00407052">
        <w:t xml:space="preserve">New York Utility Intervention Unit </w:t>
      </w:r>
      <w:r>
        <w:t>Comments (RM16-23) at</w:t>
      </w:r>
      <w:r w:rsidRPr="00407052">
        <w:t xml:space="preserve"> 6; </w:t>
      </w:r>
      <w:r>
        <w:t xml:space="preserve">Pacific Gas &amp; Electric Comments (RM16-23) at 17-18; </w:t>
      </w:r>
      <w:r w:rsidRPr="00407052">
        <w:t xml:space="preserve">SoCal Edison </w:t>
      </w:r>
      <w:r>
        <w:t>Comments (RM16-23) at</w:t>
      </w:r>
      <w:r w:rsidRPr="00407052">
        <w:t xml:space="preserve"> 10.</w:t>
      </w:r>
    </w:p>
  </w:footnote>
  <w:footnote w:id="393">
    <w:p w:rsidRPr="00407052" w:rsidR="00FB7F86" w:rsidP="00F16E32" w:rsidRDefault="00FB7F86" w14:paraId="0E7A0839" w14:textId="77777777">
      <w:pPr>
        <w:pStyle w:val="FootnoteText"/>
      </w:pPr>
      <w:r w:rsidRPr="00407052">
        <w:rPr>
          <w:rStyle w:val="FootnoteReference"/>
        </w:rPr>
        <w:footnoteRef/>
      </w:r>
      <w:r w:rsidRPr="00407052">
        <w:t xml:space="preserve"> California Commission </w:t>
      </w:r>
      <w:r>
        <w:t>Comments (RM16-23) at</w:t>
      </w:r>
      <w:r w:rsidRPr="00407052">
        <w:t xml:space="preserve"> 6-7; City of New York </w:t>
      </w:r>
      <w:r>
        <w:t>Comments (RM16-23) at</w:t>
      </w:r>
      <w:r w:rsidRPr="00407052">
        <w:t xml:space="preserve"> 13; </w:t>
      </w:r>
      <w:r w:rsidRPr="00407052">
        <w:rPr>
          <w:bCs/>
        </w:rPr>
        <w:t xml:space="preserve">New York State Entities </w:t>
      </w:r>
      <w:r>
        <w:rPr>
          <w:bCs/>
        </w:rPr>
        <w:t>Comments (RM16-23) at</w:t>
      </w:r>
      <w:r w:rsidRPr="00407052">
        <w:rPr>
          <w:bCs/>
        </w:rPr>
        <w:t xml:space="preserve"> 18.</w:t>
      </w:r>
    </w:p>
  </w:footnote>
  <w:footnote w:id="394">
    <w:p w:rsidR="00FB7F86" w:rsidP="00F16E32" w:rsidRDefault="00FB7F86" w14:paraId="7A9A1D6A" w14:textId="56A6F3A6">
      <w:pPr>
        <w:pStyle w:val="FootnoteText"/>
      </w:pPr>
      <w:r>
        <w:rPr>
          <w:rStyle w:val="FootnoteReference"/>
        </w:rPr>
        <w:footnoteRef/>
      </w:r>
      <w:r>
        <w:t xml:space="preserve"> </w:t>
      </w:r>
      <w:r>
        <w:rPr>
          <w:i/>
          <w:iCs/>
        </w:rPr>
        <w:t>N.Y. Pub. Serv. Comm’n v. N.Y. Indep. Sys. Operator, Inc.</w:t>
      </w:r>
      <w:r>
        <w:t xml:space="preserve">, </w:t>
      </w:r>
      <w:r w:rsidRPr="00407052">
        <w:t>158 FERC ¶</w:t>
      </w:r>
      <w:r>
        <w:t> </w:t>
      </w:r>
      <w:r w:rsidRPr="00407052">
        <w:t xml:space="preserve">61,137, at </w:t>
      </w:r>
      <w:r>
        <w:t>P </w:t>
      </w:r>
      <w:r w:rsidRPr="00407052">
        <w:t>33 (2017</w:t>
      </w:r>
      <w:r w:rsidDel="005637DE">
        <w:t>)</w:t>
      </w:r>
      <w:r>
        <w:t>.</w:t>
      </w:r>
    </w:p>
  </w:footnote>
  <w:footnote w:id="395">
    <w:p w:rsidRPr="00407052" w:rsidR="00FB7F86" w:rsidP="00F16E32" w:rsidRDefault="00FB7F86" w14:paraId="056759E2" w14:textId="4361F72B">
      <w:pPr>
        <w:pStyle w:val="FootnoteText"/>
      </w:pPr>
      <w:r w:rsidRPr="00407052">
        <w:rPr>
          <w:rStyle w:val="FootnoteReference"/>
        </w:rPr>
        <w:footnoteRef/>
      </w:r>
      <w:r w:rsidRPr="00407052">
        <w:t xml:space="preserve"> </w:t>
      </w:r>
      <w:r>
        <w:rPr>
          <w:i/>
          <w:iCs/>
        </w:rPr>
        <w:t>See, e.g.</w:t>
      </w:r>
      <w:r w:rsidRPr="002C0479">
        <w:t>,</w:t>
      </w:r>
      <w:r>
        <w:rPr>
          <w:i/>
        </w:rPr>
        <w:t xml:space="preserve"> </w:t>
      </w:r>
      <w:r w:rsidRPr="00407052">
        <w:t xml:space="preserve">Advanced Energy Economy </w:t>
      </w:r>
      <w:r>
        <w:t>Comments (RM16-23) at</w:t>
      </w:r>
      <w:r w:rsidRPr="00407052">
        <w:t xml:space="preserve"> 35-36; Advanced Energy Management </w:t>
      </w:r>
      <w:r>
        <w:t>Comments (RM16-23) at</w:t>
      </w:r>
      <w:r w:rsidRPr="00407052">
        <w:t xml:space="preserve"> 11-13; </w:t>
      </w:r>
      <w:r w:rsidRPr="00716CDF">
        <w:t>Harvard Environmental Policy I</w:t>
      </w:r>
      <w:r>
        <w:t xml:space="preserve">nitiative Comments (RM16-23) at 7; </w:t>
      </w:r>
      <w:r w:rsidRPr="00407052">
        <w:rPr>
          <w:bCs/>
        </w:rPr>
        <w:t xml:space="preserve">New York State Entities </w:t>
      </w:r>
      <w:r>
        <w:rPr>
          <w:bCs/>
        </w:rPr>
        <w:t>Comments (RM16-23) at</w:t>
      </w:r>
      <w:r w:rsidRPr="00407052">
        <w:rPr>
          <w:bCs/>
        </w:rPr>
        <w:t xml:space="preserve"> </w:t>
      </w:r>
      <w:r>
        <w:rPr>
          <w:bCs/>
        </w:rPr>
        <w:t>14,</w:t>
      </w:r>
      <w:r w:rsidRPr="00407052">
        <w:rPr>
          <w:bCs/>
        </w:rPr>
        <w:t>16-1</w:t>
      </w:r>
      <w:r>
        <w:rPr>
          <w:bCs/>
        </w:rPr>
        <w:t>8</w:t>
      </w:r>
      <w:r w:rsidRPr="00407052">
        <w:rPr>
          <w:bCs/>
        </w:rPr>
        <w:t xml:space="preserve">; </w:t>
      </w:r>
      <w:r w:rsidRPr="00407052">
        <w:rPr>
          <w:color w:val="000000"/>
        </w:rPr>
        <w:t>Union of Conc</w:t>
      </w:r>
      <w:r>
        <w:rPr>
          <w:color w:val="000000"/>
        </w:rPr>
        <w:t>erned Scientists Comments (RM16-23) at 19</w:t>
      </w:r>
      <w:r w:rsidRPr="00716CDF">
        <w:t>.</w:t>
      </w:r>
    </w:p>
  </w:footnote>
  <w:footnote w:id="396">
    <w:p w:rsidR="00FB7F86" w:rsidP="004C408F" w:rsidRDefault="00FB7F86" w14:paraId="0A7B9747" w14:textId="77777777">
      <w:pPr>
        <w:pStyle w:val="FootnoteText"/>
      </w:pPr>
      <w:r>
        <w:rPr>
          <w:rStyle w:val="FootnoteReference"/>
        </w:rPr>
        <w:footnoteRef/>
      </w:r>
      <w:r>
        <w:t xml:space="preserve"> California Commission Comments (2018 RM18-9) at 10-11.</w:t>
      </w:r>
    </w:p>
  </w:footnote>
  <w:footnote w:id="397">
    <w:p w:rsidR="00FB7F86" w:rsidP="00F16E32" w:rsidRDefault="00FB7F86" w14:paraId="68EFD5A4" w14:textId="23D46AF1">
      <w:pPr>
        <w:pStyle w:val="FootnoteText"/>
      </w:pPr>
      <w:r>
        <w:rPr>
          <w:rStyle w:val="FootnoteReference"/>
        </w:rPr>
        <w:footnoteRef/>
      </w:r>
      <w:r>
        <w:t xml:space="preserve"> </w:t>
      </w:r>
      <w:r w:rsidRPr="00B508FF">
        <w:t xml:space="preserve">Supplemental Comments of Arkansas Commission </w:t>
      </w:r>
      <w:r w:rsidRPr="0008124E">
        <w:t>(</w:t>
      </w:r>
      <w:r>
        <w:t xml:space="preserve">2018 </w:t>
      </w:r>
      <w:r w:rsidRPr="0008124E">
        <w:t>RM18-9-000)</w:t>
      </w:r>
      <w:r w:rsidRPr="00B508FF">
        <w:t xml:space="preserve"> at 1-2</w:t>
      </w:r>
      <w:r>
        <w:t xml:space="preserve">; </w:t>
      </w:r>
      <w:r w:rsidRPr="00B508FF">
        <w:t>Answer of Advanced Energy Economy to Supplemental Comments of Arkansas Commission (</w:t>
      </w:r>
      <w:r>
        <w:t xml:space="preserve">2018 </w:t>
      </w:r>
      <w:r w:rsidRPr="00B508FF">
        <w:t>RM18-9) at 2.</w:t>
      </w:r>
    </w:p>
  </w:footnote>
  <w:footnote w:id="398">
    <w:p w:rsidRPr="00407052" w:rsidR="00FB7F86" w:rsidP="00F16E32" w:rsidRDefault="00FB7F86" w14:paraId="2EC22587" w14:textId="77777777">
      <w:pPr>
        <w:pStyle w:val="FootnoteText"/>
      </w:pPr>
      <w:r w:rsidRPr="00407052">
        <w:rPr>
          <w:rStyle w:val="FootnoteReference"/>
        </w:rPr>
        <w:footnoteRef/>
      </w:r>
      <w:r w:rsidRPr="00407052">
        <w:t xml:space="preserve"> California Commission </w:t>
      </w:r>
      <w:r>
        <w:t>Comments (RM16-23) at</w:t>
      </w:r>
      <w:r w:rsidRPr="00407052">
        <w:t xml:space="preserve"> 6; </w:t>
      </w:r>
      <w:r w:rsidRPr="00407052">
        <w:rPr>
          <w:bCs/>
          <w:color w:val="000000"/>
        </w:rPr>
        <w:t xml:space="preserve">DER/Storage Developers </w:t>
      </w:r>
      <w:r>
        <w:rPr>
          <w:bCs/>
          <w:color w:val="000000"/>
        </w:rPr>
        <w:t>Comments (RM16-23) at</w:t>
      </w:r>
      <w:r w:rsidRPr="00407052">
        <w:rPr>
          <w:bCs/>
          <w:color w:val="000000"/>
        </w:rPr>
        <w:t xml:space="preserve"> 2; </w:t>
      </w:r>
      <w:r w:rsidRPr="00407052">
        <w:t xml:space="preserve">SEIA </w:t>
      </w:r>
      <w:r>
        <w:t>Comments (RM16-23) at</w:t>
      </w:r>
      <w:r w:rsidRPr="00407052">
        <w:t xml:space="preserve"> 16; Stem </w:t>
      </w:r>
      <w:r>
        <w:t>Comments (RM16-23) at</w:t>
      </w:r>
      <w:r w:rsidRPr="00407052">
        <w:t xml:space="preserve"> 7.</w:t>
      </w:r>
    </w:p>
  </w:footnote>
  <w:footnote w:id="399">
    <w:p w:rsidRPr="00716CDF" w:rsidR="00FB7F86" w:rsidP="00F16E32" w:rsidRDefault="00FB7F86" w14:paraId="692668E2" w14:textId="42EB5409">
      <w:pPr>
        <w:pStyle w:val="FootnoteText"/>
        <w:rPr>
          <w:szCs w:val="26"/>
        </w:rPr>
      </w:pPr>
      <w:r w:rsidRPr="00716CDF">
        <w:rPr>
          <w:rStyle w:val="FootnoteReference"/>
        </w:rPr>
        <w:footnoteRef/>
      </w:r>
      <w:r w:rsidRPr="00716CDF">
        <w:rPr>
          <w:szCs w:val="26"/>
        </w:rPr>
        <w:t xml:space="preserve"> Harvard Environmental P</w:t>
      </w:r>
      <w:r>
        <w:rPr>
          <w:szCs w:val="26"/>
        </w:rPr>
        <w:t xml:space="preserve">olicy Initiative Comments (RM16-23) at 6-7 </w:t>
      </w:r>
      <w:r w:rsidRPr="00716CDF">
        <w:rPr>
          <w:szCs w:val="26"/>
        </w:rPr>
        <w:t>(citing NOPR</w:t>
      </w:r>
      <w:r>
        <w:t xml:space="preserve">, </w:t>
      </w:r>
      <w:r w:rsidRPr="00370A91">
        <w:t xml:space="preserve">157 FERC </w:t>
      </w:r>
      <w:r>
        <w:t>¶ </w:t>
      </w:r>
      <w:r w:rsidRPr="00370A91">
        <w:t>61,121</w:t>
      </w:r>
      <w:r w:rsidRPr="00716CDF">
        <w:rPr>
          <w:szCs w:val="26"/>
        </w:rPr>
        <w:t xml:space="preserve"> at P</w:t>
      </w:r>
      <w:r>
        <w:rPr>
          <w:szCs w:val="26"/>
        </w:rPr>
        <w:t> </w:t>
      </w:r>
      <w:r w:rsidRPr="00716CDF">
        <w:rPr>
          <w:szCs w:val="26"/>
        </w:rPr>
        <w:t>134)</w:t>
      </w:r>
      <w:r>
        <w:rPr>
          <w:szCs w:val="26"/>
        </w:rPr>
        <w:t>.</w:t>
      </w:r>
    </w:p>
  </w:footnote>
  <w:footnote w:id="400">
    <w:p w:rsidRPr="00716CDF" w:rsidR="00FB7F86" w:rsidP="00F16E32" w:rsidRDefault="00FB7F86" w14:paraId="019292D4" w14:textId="77777777">
      <w:pPr>
        <w:pStyle w:val="FootnoteText"/>
        <w:rPr>
          <w:szCs w:val="26"/>
        </w:rPr>
      </w:pPr>
      <w:r w:rsidRPr="00716CDF">
        <w:rPr>
          <w:rStyle w:val="FootnoteReference"/>
        </w:rPr>
        <w:footnoteRef/>
      </w:r>
      <w:r w:rsidRPr="00716CDF">
        <w:rPr>
          <w:szCs w:val="26"/>
        </w:rPr>
        <w:t xml:space="preserve"> Tesla/SolarCity </w:t>
      </w:r>
      <w:r>
        <w:rPr>
          <w:szCs w:val="26"/>
        </w:rPr>
        <w:t>Comments (RM16-23) at</w:t>
      </w:r>
      <w:r w:rsidRPr="00716CDF">
        <w:rPr>
          <w:szCs w:val="26"/>
        </w:rPr>
        <w:t xml:space="preserve"> 2-3.</w:t>
      </w:r>
    </w:p>
  </w:footnote>
  <w:footnote w:id="401">
    <w:p w:rsidRPr="00716CDF" w:rsidR="00FB7F86" w:rsidP="00F16E32" w:rsidRDefault="00FB7F86" w14:paraId="6F1771A1" w14:textId="79C5BE6F">
      <w:pPr>
        <w:pStyle w:val="FootnoteText"/>
        <w:rPr>
          <w:szCs w:val="26"/>
        </w:rPr>
      </w:pPr>
      <w:r w:rsidRPr="00716CDF">
        <w:rPr>
          <w:rStyle w:val="FootnoteReference"/>
        </w:rPr>
        <w:footnoteRef/>
      </w:r>
      <w:r w:rsidRPr="00716CDF">
        <w:rPr>
          <w:szCs w:val="26"/>
        </w:rPr>
        <w:t xml:space="preserve"> </w:t>
      </w:r>
      <w:r>
        <w:rPr>
          <w:i/>
          <w:iCs/>
          <w:szCs w:val="26"/>
        </w:rPr>
        <w:t>Id.</w:t>
      </w:r>
      <w:r>
        <w:rPr>
          <w:szCs w:val="26"/>
        </w:rPr>
        <w:t xml:space="preserve"> at</w:t>
      </w:r>
      <w:r w:rsidRPr="00716CDF">
        <w:rPr>
          <w:szCs w:val="26"/>
        </w:rPr>
        <w:t xml:space="preserve"> 3 (</w:t>
      </w:r>
      <w:r>
        <w:rPr>
          <w:szCs w:val="26"/>
        </w:rPr>
        <w:t xml:space="preserve">quoting </w:t>
      </w:r>
      <w:r>
        <w:rPr>
          <w:i/>
          <w:iCs/>
          <w:szCs w:val="26"/>
        </w:rPr>
        <w:t>EPSA</w:t>
      </w:r>
      <w:r>
        <w:rPr>
          <w:szCs w:val="26"/>
        </w:rPr>
        <w:t>,</w:t>
      </w:r>
      <w:r w:rsidRPr="00DE70CD">
        <w:rPr>
          <w:szCs w:val="26"/>
        </w:rPr>
        <w:t xml:space="preserve"> </w:t>
      </w:r>
      <w:r>
        <w:rPr>
          <w:szCs w:val="26"/>
        </w:rPr>
        <w:t xml:space="preserve">136 S. Ct. 760 at 776 </w:t>
      </w:r>
      <w:r w:rsidRPr="00716CDF">
        <w:rPr>
          <w:szCs w:val="26"/>
        </w:rPr>
        <w:t>(“When FERC regulates what takes place on the wholesale market, as a part of carrying out its charge to improve how that market runs, then no matter that effect on retail rates...”)</w:t>
      </w:r>
      <w:r>
        <w:rPr>
          <w:szCs w:val="26"/>
        </w:rPr>
        <w:t>)</w:t>
      </w:r>
      <w:r w:rsidRPr="00716CDF">
        <w:rPr>
          <w:szCs w:val="26"/>
        </w:rPr>
        <w:t>.</w:t>
      </w:r>
    </w:p>
  </w:footnote>
  <w:footnote w:id="402">
    <w:p w:rsidR="00FB7F86" w:rsidP="00F16E32" w:rsidRDefault="00FB7F86" w14:paraId="716F2A8B" w14:textId="77777777">
      <w:pPr>
        <w:pStyle w:val="FootnoteText"/>
      </w:pPr>
      <w:r>
        <w:rPr>
          <w:rStyle w:val="FootnoteReference"/>
        </w:rPr>
        <w:footnoteRef/>
      </w:r>
      <w:r>
        <w:t xml:space="preserve"> APPA Comments (2018 RM18-9) at 25-26; PJM Utilities Coalition Comments (2018 RM18-9) at 13; TAPS Comments (2018 RM18-9) at 25.</w:t>
      </w:r>
    </w:p>
  </w:footnote>
  <w:footnote w:id="403">
    <w:p w:rsidRPr="00285186" w:rsidR="00FB7F86" w:rsidP="00D61EA4" w:rsidRDefault="00FB7F86" w14:paraId="37FE8ABE" w14:textId="77777777">
      <w:pPr>
        <w:pStyle w:val="FootnoteText"/>
        <w:rPr>
          <w:szCs w:val="26"/>
        </w:rPr>
      </w:pPr>
      <w:r w:rsidRPr="00285186">
        <w:rPr>
          <w:rStyle w:val="FootnoteReference"/>
        </w:rPr>
        <w:footnoteRef/>
      </w:r>
      <w:r w:rsidRPr="00285186">
        <w:rPr>
          <w:szCs w:val="26"/>
        </w:rPr>
        <w:t xml:space="preserve"> APPA </w:t>
      </w:r>
      <w:r>
        <w:rPr>
          <w:szCs w:val="26"/>
        </w:rPr>
        <w:t>Comments (2018 RM18-9</w:t>
      </w:r>
      <w:r w:rsidRPr="00285186">
        <w:rPr>
          <w:szCs w:val="26"/>
        </w:rPr>
        <w:t>) at 24-25.</w:t>
      </w:r>
    </w:p>
  </w:footnote>
  <w:footnote w:id="404">
    <w:p w:rsidRPr="00BD423B" w:rsidR="00FB7F86" w:rsidP="00D61EA4" w:rsidRDefault="00FB7F86" w14:paraId="3B1D5C10" w14:textId="77777777">
      <w:pPr>
        <w:pStyle w:val="FootnoteText"/>
        <w:rPr>
          <w:szCs w:val="26"/>
        </w:rPr>
      </w:pPr>
      <w:r w:rsidRPr="00BD423B">
        <w:rPr>
          <w:rStyle w:val="FootnoteReference"/>
        </w:rPr>
        <w:footnoteRef/>
      </w:r>
      <w:r w:rsidRPr="00BD423B">
        <w:rPr>
          <w:szCs w:val="26"/>
        </w:rPr>
        <w:t xml:space="preserve"> Sunrun </w:t>
      </w:r>
      <w:r>
        <w:rPr>
          <w:szCs w:val="26"/>
        </w:rPr>
        <w:t>Comments (2018 RM18-9</w:t>
      </w:r>
      <w:r w:rsidRPr="00BD423B">
        <w:rPr>
          <w:szCs w:val="26"/>
        </w:rPr>
        <w:t>) at 9-10.</w:t>
      </w:r>
    </w:p>
  </w:footnote>
  <w:footnote w:id="405">
    <w:p w:rsidRPr="00BD423B" w:rsidR="00FB7F86" w:rsidP="00D61EA4" w:rsidRDefault="00FB7F86" w14:paraId="70619EC3" w14:textId="77777777">
      <w:pPr>
        <w:pStyle w:val="FootnoteText"/>
        <w:rPr>
          <w:szCs w:val="26"/>
        </w:rPr>
      </w:pPr>
      <w:r w:rsidRPr="00BD423B">
        <w:rPr>
          <w:rStyle w:val="FootnoteReference"/>
        </w:rPr>
        <w:footnoteRef/>
      </w:r>
      <w:r w:rsidRPr="00BD423B">
        <w:rPr>
          <w:szCs w:val="26"/>
        </w:rPr>
        <w:t xml:space="preserve"> PJM </w:t>
      </w:r>
      <w:r>
        <w:rPr>
          <w:szCs w:val="26"/>
        </w:rPr>
        <w:t>Comments (2018 RM18-9</w:t>
      </w:r>
      <w:r w:rsidRPr="00BD423B">
        <w:rPr>
          <w:szCs w:val="26"/>
        </w:rPr>
        <w:t>) at 14.</w:t>
      </w:r>
    </w:p>
  </w:footnote>
  <w:footnote w:id="406">
    <w:p w:rsidR="00FB7F86" w:rsidP="00D61EA4" w:rsidRDefault="00FB7F86" w14:paraId="6C148D95" w14:textId="77777777">
      <w:pPr>
        <w:pStyle w:val="FootnoteText"/>
      </w:pPr>
      <w:r>
        <w:rPr>
          <w:rStyle w:val="FootnoteReference"/>
        </w:rPr>
        <w:footnoteRef/>
      </w:r>
      <w:r>
        <w:t xml:space="preserve"> NYISO Indicated Transmission Owners Comments (2018 RM18-9) at 7-8.</w:t>
      </w:r>
    </w:p>
  </w:footnote>
  <w:footnote w:id="407">
    <w:p w:rsidR="00FB7F86" w:rsidP="00D61EA4" w:rsidRDefault="00FB7F86" w14:paraId="6B8878F3" w14:textId="77777777">
      <w:pPr>
        <w:pStyle w:val="FootnoteText"/>
      </w:pPr>
      <w:r>
        <w:rPr>
          <w:rStyle w:val="FootnoteReference"/>
        </w:rPr>
        <w:footnoteRef/>
      </w:r>
      <w:r>
        <w:t xml:space="preserve"> MISO Comments (2018 RM18-9) at 22.</w:t>
      </w:r>
    </w:p>
  </w:footnote>
  <w:footnote w:id="408">
    <w:p w:rsidR="00FB7F86" w:rsidP="00D61EA4" w:rsidRDefault="00FB7F86" w14:paraId="0500A34D" w14:textId="3B38D40E">
      <w:pPr>
        <w:pStyle w:val="FootnoteText"/>
      </w:pPr>
      <w:r>
        <w:rPr>
          <w:rStyle w:val="FootnoteReference"/>
        </w:rPr>
        <w:footnoteRef/>
      </w:r>
      <w:r>
        <w:t xml:space="preserve"> NYISO Comments (2018 RM18-9) at 9-11.</w:t>
      </w:r>
    </w:p>
  </w:footnote>
  <w:footnote w:id="409">
    <w:p w:rsidRPr="00407052" w:rsidR="00FB7F86" w:rsidP="00B61FA2" w:rsidRDefault="00FB7F86" w14:paraId="09115855" w14:textId="77777777">
      <w:pPr>
        <w:pStyle w:val="FootnoteText"/>
      </w:pPr>
      <w:r w:rsidRPr="00407052">
        <w:rPr>
          <w:rStyle w:val="FootnoteReference"/>
        </w:rPr>
        <w:footnoteRef/>
      </w:r>
      <w:r w:rsidRPr="00407052">
        <w:t xml:space="preserve"> NRG </w:t>
      </w:r>
      <w:r>
        <w:t>Comments (RM16-23) at</w:t>
      </w:r>
      <w:r w:rsidRPr="00407052">
        <w:t xml:space="preserve"> 8; Stem </w:t>
      </w:r>
      <w:r>
        <w:t>Comments (RM16-23) at</w:t>
      </w:r>
      <w:r w:rsidRPr="00407052">
        <w:t xml:space="preserve"> 7.</w:t>
      </w:r>
    </w:p>
  </w:footnote>
  <w:footnote w:id="410">
    <w:p w:rsidR="00FB7F86" w:rsidP="00EA0835" w:rsidRDefault="00FB7F86" w14:paraId="79767A09" w14:textId="77777777">
      <w:pPr>
        <w:pStyle w:val="FootnoteText"/>
      </w:pPr>
      <w:r>
        <w:rPr>
          <w:rStyle w:val="FootnoteReference"/>
        </w:rPr>
        <w:footnoteRef/>
      </w:r>
      <w:r>
        <w:t xml:space="preserve"> Advanced Energy Economy Comments (2018 RM18-9) at 13; Energy Storage Association Comments (2018 RM18-9) at 5; New York Commission Comments (2018 RM18-9) at 18; Stem Comments (RM16-23) at 7.</w:t>
      </w:r>
    </w:p>
  </w:footnote>
  <w:footnote w:id="411">
    <w:p w:rsidRPr="00D377EB" w:rsidR="00FB7F86" w:rsidP="00D9193C" w:rsidRDefault="00FB7F86" w14:paraId="51349E35" w14:textId="7C2A10AC">
      <w:pPr>
        <w:pStyle w:val="FootnoteText"/>
      </w:pPr>
      <w:r w:rsidRPr="00AC50F6">
        <w:rPr>
          <w:b/>
          <w:vertAlign w:val="superscript"/>
        </w:rPr>
        <w:footnoteRef/>
      </w:r>
      <w:r w:rsidRPr="00AC50F6">
        <w:t xml:space="preserve"> NYISO Indicated Transmission Owners Comments (RM16-23) at </w:t>
      </w:r>
      <w:r w:rsidRPr="008741C3">
        <w:t>8.</w:t>
      </w:r>
    </w:p>
  </w:footnote>
  <w:footnote w:id="412">
    <w:p w:rsidR="00FB7F86" w:rsidP="002D3F52" w:rsidRDefault="00FB7F86" w14:paraId="3F86CBAE" w14:textId="4AD87F1C">
      <w:pPr>
        <w:pStyle w:val="FootnoteText"/>
      </w:pPr>
      <w:r>
        <w:rPr>
          <w:rStyle w:val="FootnoteReference"/>
        </w:rPr>
        <w:footnoteRef/>
      </w:r>
      <w:r>
        <w:t xml:space="preserve"> </w:t>
      </w:r>
      <w:r>
        <w:rPr>
          <w:i/>
          <w:iCs/>
        </w:rPr>
        <w:t>See, e.g.</w:t>
      </w:r>
      <w:r w:rsidRPr="002C0479">
        <w:t>,</w:t>
      </w:r>
      <w:r w:rsidRPr="00DE70CD">
        <w:t xml:space="preserve"> </w:t>
      </w:r>
      <w:r w:rsidRPr="00407052">
        <w:t xml:space="preserve">Advanced Microgrid Solutions </w:t>
      </w:r>
      <w:r>
        <w:t>Comments (RM16-23) at</w:t>
      </w:r>
      <w:r w:rsidRPr="00407052">
        <w:t xml:space="preserve"> 5-6; American Petroleum Institute </w:t>
      </w:r>
      <w:r>
        <w:t>Comments (RM16-23) at</w:t>
      </w:r>
      <w:r w:rsidRPr="00407052">
        <w:t xml:space="preserve"> 13; </w:t>
      </w:r>
      <w:r w:rsidRPr="00407052">
        <w:rPr>
          <w:bCs/>
          <w:color w:val="000000"/>
        </w:rPr>
        <w:t xml:space="preserve">NRG </w:t>
      </w:r>
      <w:r>
        <w:rPr>
          <w:bCs/>
          <w:color w:val="000000"/>
        </w:rPr>
        <w:t>Comments (RM16-23) at</w:t>
      </w:r>
      <w:r w:rsidRPr="00407052">
        <w:rPr>
          <w:bCs/>
          <w:color w:val="000000"/>
        </w:rPr>
        <w:t xml:space="preserve"> 8; Open Access Technology </w:t>
      </w:r>
      <w:r>
        <w:rPr>
          <w:bCs/>
          <w:color w:val="000000"/>
        </w:rPr>
        <w:t>Comments (RM16-23) at</w:t>
      </w:r>
      <w:r w:rsidRPr="00407052">
        <w:rPr>
          <w:bCs/>
          <w:color w:val="000000"/>
        </w:rPr>
        <w:t xml:space="preserve"> 5; </w:t>
      </w:r>
      <w:r w:rsidRPr="00407052">
        <w:t xml:space="preserve">Public Interest Organizations </w:t>
      </w:r>
      <w:r>
        <w:t>Comments (RM16-23) at</w:t>
      </w:r>
      <w:r w:rsidRPr="00407052">
        <w:t xml:space="preserve"> 22.</w:t>
      </w:r>
    </w:p>
  </w:footnote>
  <w:footnote w:id="413">
    <w:p w:rsidR="00FB7F86" w:rsidP="002D3F52" w:rsidRDefault="00FB7F86" w14:paraId="3140A2AF" w14:textId="77777777">
      <w:pPr>
        <w:pStyle w:val="FootnoteText"/>
      </w:pPr>
      <w:r>
        <w:rPr>
          <w:rStyle w:val="FootnoteReference"/>
        </w:rPr>
        <w:footnoteRef/>
      </w:r>
      <w:r>
        <w:t xml:space="preserve"> Direct Energy Comments (2018 RM18-9) at 11-13; Energy Storage Association Comments (2018 RM18-9) at 5; NRG Comments (2018 RM18-9) at 6-8.</w:t>
      </w:r>
    </w:p>
  </w:footnote>
  <w:footnote w:id="414">
    <w:p w:rsidR="00FB7F86" w:rsidP="002D3F52" w:rsidRDefault="00FB7F86" w14:paraId="17ADF090" w14:textId="3D2C611F">
      <w:pPr>
        <w:pStyle w:val="FootnoteText"/>
      </w:pPr>
      <w:r>
        <w:rPr>
          <w:rStyle w:val="FootnoteReference"/>
        </w:rPr>
        <w:footnoteRef/>
      </w:r>
      <w:r>
        <w:t xml:space="preserve"> </w:t>
      </w:r>
      <w:r w:rsidRPr="00716CDF">
        <w:rPr>
          <w:szCs w:val="26"/>
        </w:rPr>
        <w:t xml:space="preserve">NESCOE </w:t>
      </w:r>
      <w:r>
        <w:rPr>
          <w:szCs w:val="26"/>
        </w:rPr>
        <w:t>Comments (RM16-23) at</w:t>
      </w:r>
      <w:r w:rsidRPr="00716CDF">
        <w:rPr>
          <w:szCs w:val="26"/>
        </w:rPr>
        <w:t xml:space="preserve"> 14-15 (citing </w:t>
      </w:r>
      <w:r w:rsidRPr="00716CDF">
        <w:rPr>
          <w:i/>
          <w:szCs w:val="26"/>
        </w:rPr>
        <w:t xml:space="preserve">Utilization of </w:t>
      </w:r>
      <w:r>
        <w:rPr>
          <w:i/>
          <w:szCs w:val="26"/>
        </w:rPr>
        <w:t>Electric</w:t>
      </w:r>
      <w:r w:rsidRPr="00716CDF">
        <w:rPr>
          <w:i/>
          <w:szCs w:val="26"/>
        </w:rPr>
        <w:t xml:space="preserve"> Storage </w:t>
      </w:r>
      <w:r>
        <w:rPr>
          <w:i/>
          <w:szCs w:val="26"/>
        </w:rPr>
        <w:t>Resources</w:t>
      </w:r>
      <w:r w:rsidRPr="00716CDF">
        <w:rPr>
          <w:i/>
          <w:szCs w:val="26"/>
        </w:rPr>
        <w:t xml:space="preserve"> for Multiple </w:t>
      </w:r>
      <w:r>
        <w:rPr>
          <w:i/>
          <w:szCs w:val="26"/>
        </w:rPr>
        <w:t>Services</w:t>
      </w:r>
      <w:r w:rsidRPr="00716CDF">
        <w:rPr>
          <w:i/>
          <w:szCs w:val="26"/>
        </w:rPr>
        <w:t xml:space="preserve"> When Receiving Cost-Base Rate Recovery</w:t>
      </w:r>
      <w:r w:rsidRPr="00716CDF">
        <w:rPr>
          <w:szCs w:val="26"/>
        </w:rPr>
        <w:t>, 158 FERC ¶</w:t>
      </w:r>
      <w:r>
        <w:rPr>
          <w:szCs w:val="26"/>
        </w:rPr>
        <w:t> </w:t>
      </w:r>
      <w:r w:rsidRPr="00716CDF">
        <w:rPr>
          <w:szCs w:val="26"/>
        </w:rPr>
        <w:t>61,051 at P</w:t>
      </w:r>
      <w:r>
        <w:rPr>
          <w:szCs w:val="26"/>
        </w:rPr>
        <w:t> </w:t>
      </w:r>
      <w:r w:rsidRPr="00716CDF">
        <w:rPr>
          <w:szCs w:val="26"/>
        </w:rPr>
        <w:t>2)</w:t>
      </w:r>
      <w:r>
        <w:rPr>
          <w:szCs w:val="26"/>
        </w:rPr>
        <w:t>;</w:t>
      </w:r>
      <w:r w:rsidRPr="00C106BB">
        <w:rPr>
          <w:szCs w:val="26"/>
        </w:rPr>
        <w:t xml:space="preserve"> </w:t>
      </w:r>
      <w:r w:rsidRPr="00716CDF">
        <w:rPr>
          <w:szCs w:val="26"/>
        </w:rPr>
        <w:t xml:space="preserve">SEIA </w:t>
      </w:r>
      <w:r>
        <w:rPr>
          <w:szCs w:val="26"/>
        </w:rPr>
        <w:t>Comments (RM16-23) at</w:t>
      </w:r>
      <w:r w:rsidRPr="00716CDF">
        <w:rPr>
          <w:szCs w:val="26"/>
        </w:rPr>
        <w:t xml:space="preserve"> 16 (citing </w:t>
      </w:r>
      <w:r w:rsidRPr="00716CDF">
        <w:rPr>
          <w:i/>
          <w:iCs/>
          <w:szCs w:val="26"/>
        </w:rPr>
        <w:t xml:space="preserve">Utilization of </w:t>
      </w:r>
      <w:r>
        <w:rPr>
          <w:i/>
          <w:iCs/>
          <w:szCs w:val="26"/>
        </w:rPr>
        <w:t>Electric</w:t>
      </w:r>
      <w:r w:rsidRPr="00716CDF">
        <w:rPr>
          <w:i/>
          <w:iCs/>
          <w:szCs w:val="26"/>
        </w:rPr>
        <w:t xml:space="preserve"> Storage </w:t>
      </w:r>
      <w:r>
        <w:rPr>
          <w:i/>
          <w:iCs/>
          <w:szCs w:val="26"/>
        </w:rPr>
        <w:t>Resources</w:t>
      </w:r>
      <w:r w:rsidRPr="00716CDF">
        <w:rPr>
          <w:i/>
          <w:iCs/>
          <w:szCs w:val="26"/>
        </w:rPr>
        <w:t xml:space="preserve"> for Multiple </w:t>
      </w:r>
      <w:r>
        <w:rPr>
          <w:i/>
          <w:iCs/>
          <w:szCs w:val="26"/>
        </w:rPr>
        <w:t>Services</w:t>
      </w:r>
      <w:r w:rsidRPr="00716CDF">
        <w:rPr>
          <w:i/>
          <w:iCs/>
          <w:szCs w:val="26"/>
        </w:rPr>
        <w:t xml:space="preserve"> When Receiving Cost-Based Rate Recovery</w:t>
      </w:r>
      <w:r>
        <w:rPr>
          <w:szCs w:val="26"/>
        </w:rPr>
        <w:t>, 158 FERC ¶ 61,051</w:t>
      </w:r>
      <w:r w:rsidRPr="00716CDF">
        <w:rPr>
          <w:szCs w:val="26"/>
        </w:rPr>
        <w:t>).</w:t>
      </w:r>
    </w:p>
  </w:footnote>
  <w:footnote w:id="415">
    <w:p w:rsidR="00FB7F86" w:rsidP="00344A11" w:rsidRDefault="00FB7F86" w14:paraId="44254D3E" w14:textId="77777777">
      <w:pPr>
        <w:pStyle w:val="FootnoteText"/>
      </w:pPr>
      <w:r>
        <w:rPr>
          <w:rStyle w:val="FootnoteReference"/>
        </w:rPr>
        <w:footnoteRef/>
      </w:r>
      <w:r>
        <w:t xml:space="preserve"> For example, as part of another distributed energy resource aggregation, a demand response resource, and/or a standalone distributed energy resource.</w:t>
      </w:r>
    </w:p>
  </w:footnote>
  <w:footnote w:id="416">
    <w:p w:rsidRPr="00D377EB" w:rsidR="00FB7F86" w:rsidP="00344A11" w:rsidRDefault="00FB7F86" w14:paraId="66111D96" w14:textId="734B3EB6">
      <w:pPr>
        <w:pStyle w:val="FootnoteText"/>
      </w:pPr>
      <w:r w:rsidRPr="00D377EB">
        <w:rPr>
          <w:b/>
          <w:vertAlign w:val="superscript"/>
        </w:rPr>
        <w:footnoteRef/>
      </w:r>
      <w:r w:rsidRPr="00D377EB">
        <w:t xml:space="preserve"> Order No. 719, </w:t>
      </w:r>
      <w:r w:rsidRPr="007E5E1F">
        <w:t>125 FERC ¶</w:t>
      </w:r>
      <w:r>
        <w:t> </w:t>
      </w:r>
      <w:r w:rsidRPr="007E5E1F">
        <w:t>61,071</w:t>
      </w:r>
      <w:r w:rsidRPr="00D377EB">
        <w:t xml:space="preserve"> at P</w:t>
      </w:r>
      <w:r>
        <w:t> </w:t>
      </w:r>
      <w:r w:rsidRPr="00D377EB">
        <w:t>158.</w:t>
      </w:r>
    </w:p>
  </w:footnote>
  <w:footnote w:id="417">
    <w:p w:rsidR="00FB7F86" w:rsidP="00344A11" w:rsidRDefault="00FB7F86" w14:paraId="39A8EA12" w14:textId="6A96BA00">
      <w:pPr>
        <w:pStyle w:val="FootnoteText"/>
      </w:pPr>
      <w:r>
        <w:rPr>
          <w:rStyle w:val="FootnoteReference"/>
        </w:rPr>
        <w:footnoteRef/>
      </w:r>
      <w:r>
        <w:t xml:space="preserve"> </w:t>
      </w:r>
      <w:r w:rsidRPr="00E313C1">
        <w:t xml:space="preserve">Supplemental Comments of Arkansas Commission (RM16-23-000) at </w:t>
      </w:r>
      <w:r>
        <w:t>2.</w:t>
      </w:r>
    </w:p>
  </w:footnote>
  <w:footnote w:id="418">
    <w:p w:rsidRPr="00D377EB" w:rsidR="00FB7F86" w:rsidP="002D3F52" w:rsidRDefault="00FB7F86" w14:paraId="349B2C42" w14:textId="336A86BD">
      <w:pPr>
        <w:pStyle w:val="FootnoteText"/>
      </w:pPr>
      <w:r w:rsidRPr="00D377EB">
        <w:rPr>
          <w:b/>
          <w:vertAlign w:val="superscript"/>
        </w:rPr>
        <w:footnoteRef/>
      </w:r>
      <w:r w:rsidRPr="00D377EB">
        <w:t xml:space="preserve"> </w:t>
      </w:r>
      <w:r w:rsidRPr="00B40DE0">
        <w:rPr>
          <w:i/>
        </w:rPr>
        <w:t>N</w:t>
      </w:r>
      <w:r>
        <w:rPr>
          <w:i/>
        </w:rPr>
        <w:t>.</w:t>
      </w:r>
      <w:r w:rsidRPr="00B40DE0">
        <w:rPr>
          <w:i/>
        </w:rPr>
        <w:t>Y</w:t>
      </w:r>
      <w:r>
        <w:rPr>
          <w:i/>
        </w:rPr>
        <w:t>. Pub. Serv. Comm’n v. N.Y. Indep. Sys. Operator, Inc.</w:t>
      </w:r>
      <w:r w:rsidRPr="00DE2D74">
        <w:t>,</w:t>
      </w:r>
      <w:r w:rsidRPr="00DE70CD">
        <w:t xml:space="preserve"> </w:t>
      </w:r>
      <w:r w:rsidRPr="00D377EB">
        <w:t>158 FERC ¶</w:t>
      </w:r>
      <w:r>
        <w:t> </w:t>
      </w:r>
      <w:r w:rsidRPr="00D377EB">
        <w:t>61,137 at P</w:t>
      </w:r>
      <w:r>
        <w:t> </w:t>
      </w:r>
      <w:r w:rsidRPr="00D377EB">
        <w:t>33.</w:t>
      </w:r>
    </w:p>
  </w:footnote>
  <w:footnote w:id="419">
    <w:p w:rsidRPr="00407052" w:rsidR="00FB7F86" w:rsidP="003F4773" w:rsidRDefault="00FB7F86" w14:paraId="4442EEA0" w14:textId="7AC6AE5A">
      <w:pPr>
        <w:pStyle w:val="FootnoteText"/>
      </w:pPr>
      <w:r w:rsidRPr="00407052">
        <w:rPr>
          <w:rStyle w:val="FootnoteReference"/>
        </w:rPr>
        <w:footnoteRef/>
      </w:r>
      <w:r w:rsidRPr="00407052">
        <w:t xml:space="preserve"> NOPR</w:t>
      </w:r>
      <w:r>
        <w:t>, 157 FERC ¶ 61,121</w:t>
      </w:r>
      <w:r w:rsidRPr="00407052">
        <w:t xml:space="preserve"> at P</w:t>
      </w:r>
      <w:r>
        <w:t> </w:t>
      </w:r>
      <w:r w:rsidRPr="00407052">
        <w:t>136.</w:t>
      </w:r>
    </w:p>
  </w:footnote>
  <w:footnote w:id="420">
    <w:p w:rsidR="00FB7F86" w:rsidRDefault="00FB7F86" w14:paraId="53E5F489" w14:textId="170DB335">
      <w:pPr>
        <w:pStyle w:val="FootnoteText"/>
      </w:pPr>
      <w:r>
        <w:rPr>
          <w:rStyle w:val="FootnoteReference"/>
        </w:rPr>
        <w:footnoteRef/>
      </w:r>
      <w:r>
        <w:t xml:space="preserve"> </w:t>
      </w:r>
      <w:r w:rsidRPr="00177CA8">
        <w:rPr>
          <w:szCs w:val="26"/>
        </w:rPr>
        <w:t>Notice Inviting Post-Technical Conference Comments</w:t>
      </w:r>
      <w:r>
        <w:rPr>
          <w:szCs w:val="26"/>
        </w:rPr>
        <w:t xml:space="preserve"> at 3.</w:t>
      </w:r>
    </w:p>
  </w:footnote>
  <w:footnote w:id="421">
    <w:p w:rsidRPr="00716CDF" w:rsidR="00FB7F86" w:rsidP="004D6E33" w:rsidRDefault="00FB7F86" w14:paraId="07066628" w14:textId="77777777">
      <w:pPr>
        <w:pStyle w:val="FootnoteText"/>
        <w:rPr>
          <w:szCs w:val="26"/>
        </w:rPr>
      </w:pPr>
      <w:r w:rsidRPr="00716CDF">
        <w:rPr>
          <w:rStyle w:val="FootnoteReference"/>
          <w:szCs w:val="26"/>
        </w:rPr>
        <w:footnoteRef/>
      </w:r>
      <w:r w:rsidRPr="00716CDF">
        <w:rPr>
          <w:szCs w:val="26"/>
        </w:rPr>
        <w:t xml:space="preserve"> SPP </w:t>
      </w:r>
      <w:r>
        <w:rPr>
          <w:szCs w:val="26"/>
        </w:rPr>
        <w:t>Comments (RM16-23) at</w:t>
      </w:r>
      <w:r w:rsidRPr="00716CDF">
        <w:rPr>
          <w:szCs w:val="26"/>
        </w:rPr>
        <w:t xml:space="preserve"> 16.</w:t>
      </w:r>
    </w:p>
  </w:footnote>
  <w:footnote w:id="422">
    <w:p w:rsidRPr="00716CDF" w:rsidR="00FB7F86" w:rsidP="003F4773" w:rsidRDefault="00FB7F86" w14:paraId="2A90925E" w14:textId="716C1ACA">
      <w:pPr>
        <w:pStyle w:val="FootnoteText"/>
        <w:rPr>
          <w:szCs w:val="26"/>
        </w:rPr>
      </w:pPr>
      <w:r w:rsidRPr="00716CDF">
        <w:rPr>
          <w:rStyle w:val="FootnoteReference"/>
          <w:szCs w:val="26"/>
        </w:rPr>
        <w:footnoteRef/>
      </w:r>
      <w:r w:rsidRPr="00716CDF">
        <w:rPr>
          <w:szCs w:val="26"/>
        </w:rPr>
        <w:t xml:space="preserve"> </w:t>
      </w:r>
      <w:r>
        <w:rPr>
          <w:i/>
          <w:iCs/>
          <w:szCs w:val="26"/>
        </w:rPr>
        <w:t>See, e.g.</w:t>
      </w:r>
      <w:r w:rsidRPr="002C0479">
        <w:rPr>
          <w:szCs w:val="26"/>
        </w:rPr>
        <w:t>,</w:t>
      </w:r>
      <w:r>
        <w:rPr>
          <w:i/>
          <w:szCs w:val="26"/>
        </w:rPr>
        <w:t xml:space="preserve"> </w:t>
      </w:r>
      <w:r w:rsidRPr="00716CDF">
        <w:rPr>
          <w:szCs w:val="26"/>
        </w:rPr>
        <w:t xml:space="preserve">Advanced Energy Management </w:t>
      </w:r>
      <w:r>
        <w:rPr>
          <w:szCs w:val="26"/>
        </w:rPr>
        <w:t>Comments (RM16-23) at</w:t>
      </w:r>
      <w:r w:rsidRPr="00716CDF">
        <w:rPr>
          <w:szCs w:val="26"/>
        </w:rPr>
        <w:t xml:space="preserve"> 16-17</w:t>
      </w:r>
      <w:r>
        <w:rPr>
          <w:szCs w:val="26"/>
        </w:rPr>
        <w:t>, 25-26</w:t>
      </w:r>
      <w:r w:rsidRPr="00716CDF">
        <w:rPr>
          <w:szCs w:val="26"/>
        </w:rPr>
        <w:t xml:space="preserve">; Mensah </w:t>
      </w:r>
      <w:r>
        <w:rPr>
          <w:szCs w:val="26"/>
        </w:rPr>
        <w:t>Comments (RM16-23) at</w:t>
      </w:r>
      <w:r w:rsidRPr="00716CDF">
        <w:rPr>
          <w:szCs w:val="26"/>
        </w:rPr>
        <w:t xml:space="preserve"> 3; Efficient Holding</w:t>
      </w:r>
      <w:r>
        <w:rPr>
          <w:szCs w:val="26"/>
        </w:rPr>
        <w:t>s</w:t>
      </w:r>
      <w:r w:rsidRPr="00716CDF">
        <w:rPr>
          <w:szCs w:val="26"/>
        </w:rPr>
        <w:t xml:space="preserve"> </w:t>
      </w:r>
      <w:r>
        <w:rPr>
          <w:szCs w:val="26"/>
        </w:rPr>
        <w:t>Comments (RM16-23) at</w:t>
      </w:r>
      <w:r w:rsidRPr="00716CDF">
        <w:rPr>
          <w:szCs w:val="26"/>
        </w:rPr>
        <w:t xml:space="preserve"> 8; </w:t>
      </w:r>
      <w:r w:rsidRPr="005060E8">
        <w:rPr>
          <w:szCs w:val="26"/>
        </w:rPr>
        <w:t xml:space="preserve">NYISO Comments (RM16-23) at 15-16; </w:t>
      </w:r>
      <w:r w:rsidRPr="00716CDF">
        <w:rPr>
          <w:szCs w:val="26"/>
        </w:rPr>
        <w:t xml:space="preserve">Tesla/SolarCity </w:t>
      </w:r>
      <w:r>
        <w:rPr>
          <w:szCs w:val="26"/>
        </w:rPr>
        <w:t>Comments (RM16-23) at</w:t>
      </w:r>
      <w:r w:rsidRPr="00716CDF">
        <w:rPr>
          <w:szCs w:val="26"/>
        </w:rPr>
        <w:t xml:space="preserve"> 17, 26.</w:t>
      </w:r>
    </w:p>
  </w:footnote>
  <w:footnote w:id="423">
    <w:p w:rsidRPr="00716CDF" w:rsidR="00FB7F86" w:rsidP="00607199" w:rsidRDefault="00FB7F86" w14:paraId="20037371" w14:textId="3E9C66C7">
      <w:pPr>
        <w:pStyle w:val="FootnoteText"/>
        <w:rPr>
          <w:szCs w:val="26"/>
        </w:rPr>
      </w:pPr>
      <w:r w:rsidRPr="002C0479">
        <w:rPr>
          <w:rStyle w:val="FootnoteReference"/>
          <w:szCs w:val="26"/>
        </w:rPr>
        <w:footnoteRef/>
      </w:r>
      <w:r w:rsidRPr="002C0479">
        <w:rPr>
          <w:szCs w:val="26"/>
        </w:rPr>
        <w:t xml:space="preserve"> </w:t>
      </w:r>
      <w:bookmarkStart w:name="_Hlk46216390" w:id="67"/>
      <w:r w:rsidRPr="002C0479">
        <w:rPr>
          <w:szCs w:val="26"/>
        </w:rPr>
        <w:t xml:space="preserve">NYISO Comments (RM16-23) at 15-16; PJM Comments (RM16-23) at 27.  </w:t>
      </w:r>
      <w:bookmarkStart w:name="_Hlk37921084" w:id="68"/>
      <w:r w:rsidRPr="002C0479">
        <w:rPr>
          <w:szCs w:val="26"/>
        </w:rPr>
        <w:t xml:space="preserve">On January 23, 2020, the Commission accepted NYISO’s tariff revisions establishing a new participation model for aggregations of resources, including distributed energy resources, which requires that each energy, ancillary service, and capacity transaction on behalf of an aggregation must have a minimum offer of 100 kW, and if an aggregation offers a combination of withdrawals, injections, and/or demand reductions, it must offer at least 100kW of each.  </w:t>
      </w:r>
      <w:r w:rsidRPr="002C0479">
        <w:rPr>
          <w:i/>
          <w:szCs w:val="26"/>
        </w:rPr>
        <w:t>See</w:t>
      </w:r>
      <w:r w:rsidRPr="002C0479">
        <w:rPr>
          <w:szCs w:val="26"/>
        </w:rPr>
        <w:t xml:space="preserve"> </w:t>
      </w:r>
      <w:r w:rsidRPr="002C0479">
        <w:rPr>
          <w:rFonts w:eastAsia="Cambria"/>
          <w:iCs/>
          <w:szCs w:val="26"/>
        </w:rPr>
        <w:t>NYISO Aggregation Order</w:t>
      </w:r>
      <w:r w:rsidRPr="002C0479">
        <w:rPr>
          <w:szCs w:val="26"/>
        </w:rPr>
        <w:t>, 170 FERC ¶ 61,033 at P 14.</w:t>
      </w:r>
      <w:bookmarkEnd w:id="68"/>
    </w:p>
    <w:bookmarkEnd w:id="67"/>
  </w:footnote>
  <w:footnote w:id="424">
    <w:p w:rsidRPr="00716CDF" w:rsidR="00FB7F86" w:rsidP="003F4773" w:rsidRDefault="00FB7F86" w14:paraId="074BE948" w14:textId="6C570CA5">
      <w:pPr>
        <w:pStyle w:val="FootnoteText"/>
        <w:rPr>
          <w:szCs w:val="26"/>
        </w:rPr>
      </w:pPr>
      <w:r w:rsidRPr="00716CDF">
        <w:rPr>
          <w:rStyle w:val="FootnoteReference"/>
          <w:szCs w:val="26"/>
        </w:rPr>
        <w:footnoteRef/>
      </w:r>
      <w:r w:rsidRPr="00716CDF">
        <w:rPr>
          <w:szCs w:val="26"/>
        </w:rPr>
        <w:t xml:space="preserve"> Advanced Energy Management </w:t>
      </w:r>
      <w:r>
        <w:rPr>
          <w:szCs w:val="26"/>
        </w:rPr>
        <w:t>Comments (RM16-23) at</w:t>
      </w:r>
      <w:r w:rsidRPr="00716CDF">
        <w:rPr>
          <w:szCs w:val="26"/>
        </w:rPr>
        <w:t xml:space="preserve"> 16-17; Advanced Energy Economy </w:t>
      </w:r>
      <w:r>
        <w:rPr>
          <w:szCs w:val="26"/>
        </w:rPr>
        <w:t>Comments (RM16-23) at</w:t>
      </w:r>
      <w:r w:rsidRPr="00716CDF">
        <w:rPr>
          <w:szCs w:val="26"/>
        </w:rPr>
        <w:t xml:space="preserve"> 51-52 (citing NOPR</w:t>
      </w:r>
      <w:r>
        <w:t xml:space="preserve">, </w:t>
      </w:r>
      <w:r w:rsidRPr="00370A91">
        <w:t xml:space="preserve">157 FERC </w:t>
      </w:r>
      <w:r>
        <w:t>¶ </w:t>
      </w:r>
      <w:r w:rsidRPr="00370A91">
        <w:t>61,121</w:t>
      </w:r>
      <w:r w:rsidRPr="00716CDF">
        <w:rPr>
          <w:szCs w:val="26"/>
        </w:rPr>
        <w:t xml:space="preserve"> at P</w:t>
      </w:r>
      <w:r>
        <w:rPr>
          <w:szCs w:val="26"/>
        </w:rPr>
        <w:t> </w:t>
      </w:r>
      <w:r w:rsidRPr="00716CDF">
        <w:rPr>
          <w:szCs w:val="26"/>
        </w:rPr>
        <w:t xml:space="preserve">94); California Energy Storage Alliance </w:t>
      </w:r>
      <w:r>
        <w:rPr>
          <w:szCs w:val="26"/>
        </w:rPr>
        <w:t>Comments (RM16-23) at</w:t>
      </w:r>
      <w:r w:rsidRPr="00716CDF">
        <w:rPr>
          <w:szCs w:val="26"/>
        </w:rPr>
        <w:t xml:space="preserve"> 7</w:t>
      </w:r>
      <w:r>
        <w:rPr>
          <w:szCs w:val="26"/>
        </w:rPr>
        <w:t>-8.</w:t>
      </w:r>
    </w:p>
  </w:footnote>
  <w:footnote w:id="425">
    <w:p w:rsidRPr="00716CDF" w:rsidR="00FB7F86" w:rsidP="003F4773" w:rsidRDefault="00FB7F86" w14:paraId="06412D6D" w14:textId="77777777">
      <w:pPr>
        <w:pStyle w:val="FootnoteText"/>
        <w:rPr>
          <w:szCs w:val="26"/>
        </w:rPr>
      </w:pPr>
      <w:r w:rsidRPr="00716CDF">
        <w:rPr>
          <w:rStyle w:val="FootnoteReference"/>
          <w:szCs w:val="26"/>
        </w:rPr>
        <w:footnoteRef/>
      </w:r>
      <w:r w:rsidRPr="00716CDF">
        <w:rPr>
          <w:szCs w:val="26"/>
        </w:rPr>
        <w:t xml:space="preserve"> Tesla/SolarCity </w:t>
      </w:r>
      <w:r>
        <w:rPr>
          <w:szCs w:val="26"/>
        </w:rPr>
        <w:t>Comments (RM16-23) at</w:t>
      </w:r>
      <w:r w:rsidRPr="00716CDF">
        <w:rPr>
          <w:szCs w:val="26"/>
        </w:rPr>
        <w:t xml:space="preserve"> 26.</w:t>
      </w:r>
    </w:p>
  </w:footnote>
  <w:footnote w:id="426">
    <w:p w:rsidR="00FB7F86" w:rsidP="002773CE" w:rsidRDefault="00FB7F86" w14:paraId="54894AD4" w14:textId="3E5FAA3F">
      <w:pPr>
        <w:pStyle w:val="FootnoteText"/>
      </w:pPr>
      <w:r>
        <w:rPr>
          <w:rStyle w:val="FootnoteReference"/>
        </w:rPr>
        <w:footnoteRef/>
      </w:r>
      <w:r>
        <w:t xml:space="preserve"> </w:t>
      </w:r>
      <w:r w:rsidRPr="00716CDF">
        <w:t xml:space="preserve">Fresh Energy/Sierra Club/Union of Concerned Scientists </w:t>
      </w:r>
      <w:r>
        <w:t>Comments (RM16-23) at</w:t>
      </w:r>
      <w:r w:rsidRPr="00716CDF">
        <w:t xml:space="preserve"> 2 (citing MISO Market Subcommittee Presentation, </w:t>
      </w:r>
      <w:r w:rsidRPr="00716CDF">
        <w:rPr>
          <w:bCs/>
        </w:rPr>
        <w:t>November 29th, 2016</w:t>
      </w:r>
      <w:r>
        <w:rPr>
          <w:bCs/>
        </w:rPr>
        <w:t>,</w:t>
      </w:r>
      <w:r w:rsidRPr="00580523">
        <w:t xml:space="preserve"> </w:t>
      </w:r>
      <w:r w:rsidRPr="00716CDF">
        <w:t>https://www.misoenergy.org/Library/Repository/Meeting%20Material/Stakeholder/MSC/2016/20161129/20161</w:t>
      </w:r>
      <w:r>
        <w:t>)</w:t>
      </w:r>
      <w:r w:rsidRPr="00716CDF">
        <w:rPr>
          <w:bCs/>
        </w:rPr>
        <w:t xml:space="preserve"> </w:t>
      </w:r>
      <w:r>
        <w:rPr>
          <w:bCs/>
        </w:rPr>
        <w:t>(s</w:t>
      </w:r>
      <w:r w:rsidRPr="00716CDF">
        <w:rPr>
          <w:bCs/>
        </w:rPr>
        <w:t xml:space="preserve">tating that the integration of </w:t>
      </w:r>
      <w:r>
        <w:rPr>
          <w:bCs/>
        </w:rPr>
        <w:t>distributed energy resources</w:t>
      </w:r>
      <w:r w:rsidRPr="00716CDF">
        <w:rPr>
          <w:bCs/>
        </w:rPr>
        <w:t xml:space="preserve"> and smaller-scale resources is within the “probable limit of current systems”</w:t>
      </w:r>
      <w:r>
        <w:t xml:space="preserve">); </w:t>
      </w:r>
      <w:r w:rsidRPr="00716CDF">
        <w:rPr>
          <w:szCs w:val="26"/>
        </w:rPr>
        <w:t xml:space="preserve">Tesla/SolarCity </w:t>
      </w:r>
      <w:r>
        <w:rPr>
          <w:szCs w:val="26"/>
        </w:rPr>
        <w:t>Comments (RM16-23) at</w:t>
      </w:r>
      <w:r w:rsidRPr="00716CDF">
        <w:rPr>
          <w:szCs w:val="26"/>
        </w:rPr>
        <w:t xml:space="preserve"> 27</w:t>
      </w:r>
      <w:r>
        <w:rPr>
          <w:szCs w:val="26"/>
        </w:rPr>
        <w:t xml:space="preserve"> </w:t>
      </w:r>
      <w:r w:rsidRPr="009D2BB9">
        <w:rPr>
          <w:szCs w:val="26"/>
        </w:rPr>
        <w:t>(</w:t>
      </w:r>
      <w:r>
        <w:rPr>
          <w:szCs w:val="26"/>
        </w:rPr>
        <w:t xml:space="preserve">citing </w:t>
      </w:r>
      <w:r>
        <w:rPr>
          <w:i/>
          <w:iCs/>
          <w:szCs w:val="26"/>
        </w:rPr>
        <w:t>N.Y. Indep. Sys. Operator, Inc.</w:t>
      </w:r>
      <w:r>
        <w:rPr>
          <w:szCs w:val="26"/>
        </w:rPr>
        <w:t xml:space="preserve">, 155 FERC ¶ 61,166 (2016)). </w:t>
      </w:r>
    </w:p>
  </w:footnote>
  <w:footnote w:id="427">
    <w:p w:rsidRPr="004656B5" w:rsidR="00FB7F86" w:rsidP="003F4773" w:rsidRDefault="00FB7F86" w14:paraId="0D785FE7" w14:textId="6DF163E8">
      <w:pPr>
        <w:pStyle w:val="FootnoteText"/>
        <w:rPr>
          <w:szCs w:val="26"/>
        </w:rPr>
      </w:pPr>
      <w:r w:rsidRPr="004656B5">
        <w:rPr>
          <w:rStyle w:val="FootnoteReference"/>
          <w:szCs w:val="26"/>
        </w:rPr>
        <w:footnoteRef/>
      </w:r>
      <w:r w:rsidRPr="004656B5">
        <w:rPr>
          <w:szCs w:val="26"/>
        </w:rPr>
        <w:t xml:space="preserve"> Direct Energy </w:t>
      </w:r>
      <w:r>
        <w:rPr>
          <w:szCs w:val="26"/>
        </w:rPr>
        <w:t>Comments (2018 RM18-9</w:t>
      </w:r>
      <w:r>
        <w:t xml:space="preserve">) </w:t>
      </w:r>
      <w:r w:rsidRPr="004656B5">
        <w:rPr>
          <w:szCs w:val="26"/>
        </w:rPr>
        <w:t>at 8-9 (citing Technical Conference Transcript at 22).</w:t>
      </w:r>
    </w:p>
  </w:footnote>
  <w:footnote w:id="428">
    <w:p w:rsidRPr="00716CDF" w:rsidR="00FB7F86" w:rsidP="003F4773" w:rsidRDefault="00FB7F86" w14:paraId="5E03E853" w14:textId="77777777">
      <w:pPr>
        <w:pStyle w:val="FootnoteText"/>
        <w:rPr>
          <w:szCs w:val="26"/>
        </w:rPr>
      </w:pPr>
      <w:r w:rsidRPr="00716CDF">
        <w:rPr>
          <w:rStyle w:val="FootnoteReference"/>
          <w:szCs w:val="26"/>
        </w:rPr>
        <w:footnoteRef/>
      </w:r>
      <w:r w:rsidRPr="00716CDF">
        <w:rPr>
          <w:szCs w:val="26"/>
        </w:rPr>
        <w:t xml:space="preserve"> NRG </w:t>
      </w:r>
      <w:r>
        <w:rPr>
          <w:szCs w:val="26"/>
        </w:rPr>
        <w:t>Comments (RM16-23) at</w:t>
      </w:r>
      <w:r w:rsidRPr="00716CDF">
        <w:rPr>
          <w:szCs w:val="26"/>
        </w:rPr>
        <w:t xml:space="preserve"> 12</w:t>
      </w:r>
      <w:r>
        <w:rPr>
          <w:szCs w:val="26"/>
        </w:rPr>
        <w:t xml:space="preserve">; </w:t>
      </w:r>
      <w:r w:rsidRPr="00ED5E89">
        <w:rPr>
          <w:szCs w:val="26"/>
        </w:rPr>
        <w:t xml:space="preserve">NRG </w:t>
      </w:r>
      <w:r>
        <w:rPr>
          <w:szCs w:val="26"/>
        </w:rPr>
        <w:t>Comments (2018 RM18-9)</w:t>
      </w:r>
      <w:r w:rsidRPr="00ED5E89">
        <w:rPr>
          <w:szCs w:val="26"/>
        </w:rPr>
        <w:t xml:space="preserve"> at 4</w:t>
      </w:r>
      <w:r w:rsidRPr="00716CDF">
        <w:rPr>
          <w:szCs w:val="26"/>
        </w:rPr>
        <w:t>.</w:t>
      </w:r>
      <w:r>
        <w:rPr>
          <w:szCs w:val="26"/>
        </w:rPr>
        <w:t xml:space="preserve"> </w:t>
      </w:r>
    </w:p>
  </w:footnote>
  <w:footnote w:id="429">
    <w:p w:rsidRPr="00716CDF" w:rsidR="00FB7F86" w:rsidP="003F4773" w:rsidRDefault="00FB7F86" w14:paraId="66A940B2" w14:textId="62BA40ED">
      <w:pPr>
        <w:pStyle w:val="FootnoteText"/>
        <w:rPr>
          <w:szCs w:val="26"/>
        </w:rPr>
      </w:pPr>
      <w:r w:rsidRPr="00716CDF">
        <w:rPr>
          <w:rStyle w:val="FootnoteReference"/>
          <w:szCs w:val="26"/>
        </w:rPr>
        <w:footnoteRef/>
      </w:r>
      <w:r w:rsidRPr="00716CDF">
        <w:rPr>
          <w:szCs w:val="26"/>
        </w:rPr>
        <w:t xml:space="preserve"> </w:t>
      </w:r>
      <w:r>
        <w:rPr>
          <w:i/>
          <w:iCs/>
          <w:szCs w:val="26"/>
        </w:rPr>
        <w:t>See, e.g.</w:t>
      </w:r>
      <w:r w:rsidRPr="002C0479">
        <w:rPr>
          <w:szCs w:val="26"/>
        </w:rPr>
        <w:t>,</w:t>
      </w:r>
      <w:r>
        <w:rPr>
          <w:i/>
          <w:szCs w:val="26"/>
        </w:rPr>
        <w:t xml:space="preserve"> </w:t>
      </w:r>
      <w:r w:rsidRPr="00716CDF">
        <w:rPr>
          <w:szCs w:val="26"/>
        </w:rPr>
        <w:t xml:space="preserve">AES Companies </w:t>
      </w:r>
      <w:r>
        <w:rPr>
          <w:szCs w:val="26"/>
        </w:rPr>
        <w:t>Comments (RM16-23) at</w:t>
      </w:r>
      <w:r w:rsidRPr="00716CDF">
        <w:rPr>
          <w:szCs w:val="26"/>
        </w:rPr>
        <w:t xml:space="preserve"> 34; IRC </w:t>
      </w:r>
      <w:r>
        <w:rPr>
          <w:szCs w:val="26"/>
        </w:rPr>
        <w:t>Comments (RM16-23) at</w:t>
      </w:r>
      <w:r w:rsidRPr="00716CDF">
        <w:rPr>
          <w:szCs w:val="26"/>
        </w:rPr>
        <w:t xml:space="preserve"> 7; ISO-NE </w:t>
      </w:r>
      <w:r>
        <w:rPr>
          <w:szCs w:val="26"/>
        </w:rPr>
        <w:t>Comments (RM16-23) at</w:t>
      </w:r>
      <w:r w:rsidRPr="00716CDF">
        <w:rPr>
          <w:szCs w:val="26"/>
        </w:rPr>
        <w:t xml:space="preserve"> 36; MISO </w:t>
      </w:r>
      <w:r>
        <w:rPr>
          <w:szCs w:val="26"/>
        </w:rPr>
        <w:t>Comments (RM16-23) at</w:t>
      </w:r>
      <w:r w:rsidRPr="00716CDF">
        <w:rPr>
          <w:szCs w:val="26"/>
        </w:rPr>
        <w:t xml:space="preserve"> 20; Pacific Gas &amp; Electric </w:t>
      </w:r>
      <w:r>
        <w:rPr>
          <w:szCs w:val="26"/>
        </w:rPr>
        <w:t>Comments (RM16-23) at</w:t>
      </w:r>
      <w:r w:rsidRPr="00716CDF">
        <w:rPr>
          <w:szCs w:val="26"/>
        </w:rPr>
        <w:t xml:space="preserve"> 17.</w:t>
      </w:r>
    </w:p>
  </w:footnote>
  <w:footnote w:id="430">
    <w:p w:rsidRPr="00716CDF" w:rsidR="00FB7F86" w:rsidP="00353323" w:rsidRDefault="00FB7F86" w14:paraId="7DB75556" w14:textId="2EB6A31C">
      <w:pPr>
        <w:pStyle w:val="FootnoteText"/>
        <w:rPr>
          <w:szCs w:val="26"/>
        </w:rPr>
      </w:pPr>
      <w:r w:rsidRPr="00716CDF">
        <w:rPr>
          <w:rStyle w:val="FootnoteReference"/>
          <w:szCs w:val="26"/>
        </w:rPr>
        <w:footnoteRef/>
      </w:r>
      <w:r w:rsidRPr="00716CDF">
        <w:rPr>
          <w:szCs w:val="26"/>
        </w:rPr>
        <w:t xml:space="preserve"> SoCal Edison </w:t>
      </w:r>
      <w:r>
        <w:rPr>
          <w:szCs w:val="26"/>
        </w:rPr>
        <w:t>Comments (RM16-23) at</w:t>
      </w:r>
      <w:r w:rsidRPr="00716CDF">
        <w:rPr>
          <w:szCs w:val="26"/>
        </w:rPr>
        <w:t xml:space="preserve"> 11 (citing CAISO Tariff</w:t>
      </w:r>
      <w:r>
        <w:rPr>
          <w:szCs w:val="26"/>
        </w:rPr>
        <w:t>,</w:t>
      </w:r>
      <w:r w:rsidRPr="00716CDF">
        <w:rPr>
          <w:szCs w:val="26"/>
        </w:rPr>
        <w:t xml:space="preserve"> Section 4.17.5.1; CAISO</w:t>
      </w:r>
      <w:r>
        <w:rPr>
          <w:szCs w:val="26"/>
        </w:rPr>
        <w:t>,</w:t>
      </w:r>
      <w:r w:rsidRPr="00716CDF">
        <w:rPr>
          <w:szCs w:val="26"/>
        </w:rPr>
        <w:t xml:space="preserve"> Transmittal Letter, </w:t>
      </w:r>
      <w:r>
        <w:rPr>
          <w:szCs w:val="26"/>
        </w:rPr>
        <w:t xml:space="preserve">Docket No. </w:t>
      </w:r>
      <w:r w:rsidRPr="00716CDF">
        <w:rPr>
          <w:szCs w:val="26"/>
        </w:rPr>
        <w:t>ER16-1085</w:t>
      </w:r>
      <w:r>
        <w:rPr>
          <w:szCs w:val="26"/>
        </w:rPr>
        <w:t xml:space="preserve">, at 9 (filed </w:t>
      </w:r>
      <w:r w:rsidRPr="00716CDF">
        <w:rPr>
          <w:szCs w:val="26"/>
        </w:rPr>
        <w:t>March 4, 2016</w:t>
      </w:r>
      <w:r>
        <w:rPr>
          <w:szCs w:val="26"/>
        </w:rPr>
        <w:t>)</w:t>
      </w:r>
      <w:r w:rsidRPr="00716CDF">
        <w:rPr>
          <w:szCs w:val="26"/>
        </w:rPr>
        <w:t>).</w:t>
      </w:r>
    </w:p>
  </w:footnote>
  <w:footnote w:id="431">
    <w:p w:rsidR="00FB7F86" w:rsidP="003F4773" w:rsidRDefault="00FB7F86" w14:paraId="6229A85D" w14:textId="77777777">
      <w:pPr>
        <w:pStyle w:val="FootnoteText"/>
      </w:pPr>
      <w:r>
        <w:rPr>
          <w:rStyle w:val="FootnoteReference"/>
        </w:rPr>
        <w:footnoteRef/>
      </w:r>
      <w:r>
        <w:t xml:space="preserve"> EPRI Comments (2018 RM18-9) at 7-8; SoCal Edison Comments (2018 RM18-9) at 5.</w:t>
      </w:r>
    </w:p>
  </w:footnote>
  <w:footnote w:id="432">
    <w:p w:rsidRPr="00716CDF" w:rsidR="00FB7F86" w:rsidP="003F4773" w:rsidRDefault="00FB7F86" w14:paraId="0623C934" w14:textId="77777777">
      <w:pPr>
        <w:pStyle w:val="FootnoteText"/>
        <w:rPr>
          <w:szCs w:val="26"/>
        </w:rPr>
      </w:pPr>
      <w:r w:rsidRPr="00716CDF">
        <w:rPr>
          <w:rStyle w:val="FootnoteReference"/>
          <w:szCs w:val="26"/>
        </w:rPr>
        <w:footnoteRef/>
      </w:r>
      <w:r w:rsidRPr="00716CDF">
        <w:rPr>
          <w:szCs w:val="26"/>
        </w:rPr>
        <w:t xml:space="preserve"> Pacific Gas &amp; Electric </w:t>
      </w:r>
      <w:r>
        <w:rPr>
          <w:szCs w:val="26"/>
        </w:rPr>
        <w:t>Comments (RM16-23) at</w:t>
      </w:r>
      <w:r w:rsidRPr="00716CDF">
        <w:rPr>
          <w:szCs w:val="26"/>
        </w:rPr>
        <w:t xml:space="preserve"> 17.</w:t>
      </w:r>
    </w:p>
  </w:footnote>
  <w:footnote w:id="433">
    <w:p w:rsidR="00FB7F86" w:rsidP="003F4773" w:rsidRDefault="00FB7F86" w14:paraId="25EA8FE2" w14:textId="63581601">
      <w:pPr>
        <w:pStyle w:val="FootnoteText"/>
      </w:pPr>
      <w:r>
        <w:rPr>
          <w:rStyle w:val="FootnoteReference"/>
        </w:rPr>
        <w:footnoteRef/>
      </w:r>
      <w:r>
        <w:t xml:space="preserve"> MISO Comments (2018 RM18-9) at 16-17.</w:t>
      </w:r>
    </w:p>
  </w:footnote>
  <w:footnote w:id="434">
    <w:p w:rsidRPr="00716CDF" w:rsidR="00FB7F86" w:rsidP="003F4773" w:rsidRDefault="00FB7F86" w14:paraId="1BBDF208" w14:textId="09B2719F">
      <w:pPr>
        <w:pStyle w:val="FootnoteText"/>
        <w:rPr>
          <w:szCs w:val="26"/>
        </w:rPr>
      </w:pPr>
      <w:r w:rsidRPr="00716CDF">
        <w:rPr>
          <w:rStyle w:val="FootnoteReference"/>
          <w:szCs w:val="26"/>
        </w:rPr>
        <w:footnoteRef/>
      </w:r>
      <w:r w:rsidRPr="00716CDF">
        <w:rPr>
          <w:szCs w:val="26"/>
        </w:rPr>
        <w:t xml:space="preserve"> NYISO </w:t>
      </w:r>
      <w:r>
        <w:rPr>
          <w:szCs w:val="26"/>
        </w:rPr>
        <w:t xml:space="preserve">Indicated </w:t>
      </w:r>
      <w:r w:rsidRPr="00716CDF">
        <w:rPr>
          <w:szCs w:val="26"/>
        </w:rPr>
        <w:t xml:space="preserve">Transmission Owners </w:t>
      </w:r>
      <w:r>
        <w:rPr>
          <w:szCs w:val="26"/>
        </w:rPr>
        <w:t>Comments (RM16-23) at</w:t>
      </w:r>
      <w:r w:rsidRPr="00716CDF">
        <w:rPr>
          <w:szCs w:val="26"/>
        </w:rPr>
        <w:t xml:space="preserve"> 12.</w:t>
      </w:r>
    </w:p>
  </w:footnote>
  <w:footnote w:id="435">
    <w:p w:rsidRPr="00716CDF" w:rsidR="00FB7F86" w:rsidP="003F4773" w:rsidRDefault="00FB7F86" w14:paraId="5BC9258A" w14:textId="150FA611">
      <w:pPr>
        <w:pStyle w:val="FootnoteText"/>
        <w:rPr>
          <w:szCs w:val="26"/>
        </w:rPr>
      </w:pPr>
      <w:r w:rsidRPr="00716CDF">
        <w:rPr>
          <w:rStyle w:val="FootnoteReference"/>
          <w:szCs w:val="26"/>
        </w:rPr>
        <w:footnoteRef/>
      </w:r>
      <w:r w:rsidRPr="00716CDF">
        <w:rPr>
          <w:szCs w:val="26"/>
        </w:rPr>
        <w:t xml:space="preserve"> Energy Storage Association </w:t>
      </w:r>
      <w:r>
        <w:rPr>
          <w:szCs w:val="26"/>
        </w:rPr>
        <w:t>Comments (RM16-23) at</w:t>
      </w:r>
      <w:r w:rsidRPr="00716CDF">
        <w:rPr>
          <w:szCs w:val="26"/>
        </w:rPr>
        <w:t xml:space="preserve"> </w:t>
      </w:r>
      <w:r>
        <w:rPr>
          <w:szCs w:val="26"/>
        </w:rPr>
        <w:t>25-</w:t>
      </w:r>
      <w:r w:rsidRPr="00716CDF">
        <w:rPr>
          <w:szCs w:val="26"/>
        </w:rPr>
        <w:t>26.</w:t>
      </w:r>
    </w:p>
  </w:footnote>
  <w:footnote w:id="436">
    <w:p w:rsidRPr="00716CDF" w:rsidR="00FB7F86" w:rsidP="003F4773" w:rsidRDefault="00FB7F86" w14:paraId="4EB1FD3E" w14:textId="59655F20">
      <w:pPr>
        <w:pStyle w:val="FootnoteText"/>
        <w:rPr>
          <w:szCs w:val="26"/>
        </w:rPr>
      </w:pPr>
      <w:r w:rsidRPr="00716CDF">
        <w:rPr>
          <w:rStyle w:val="FootnoteReference"/>
          <w:szCs w:val="26"/>
        </w:rPr>
        <w:footnoteRef/>
      </w:r>
      <w:r w:rsidRPr="00716CDF">
        <w:rPr>
          <w:szCs w:val="26"/>
        </w:rPr>
        <w:t xml:space="preserve"> CAISO </w:t>
      </w:r>
      <w:r>
        <w:rPr>
          <w:szCs w:val="26"/>
        </w:rPr>
        <w:t>Comments (RM16-23) at</w:t>
      </w:r>
      <w:r w:rsidRPr="00716CDF">
        <w:rPr>
          <w:szCs w:val="26"/>
        </w:rPr>
        <w:t xml:space="preserve"> </w:t>
      </w:r>
      <w:r>
        <w:rPr>
          <w:szCs w:val="26"/>
        </w:rPr>
        <w:t>25-</w:t>
      </w:r>
      <w:r w:rsidRPr="00716CDF">
        <w:rPr>
          <w:szCs w:val="26"/>
        </w:rPr>
        <w:t>26.</w:t>
      </w:r>
    </w:p>
  </w:footnote>
  <w:footnote w:id="437">
    <w:p w:rsidRPr="00716CDF" w:rsidR="00FB7F86" w:rsidP="006B6B59" w:rsidRDefault="00FB7F86" w14:paraId="273B867A" w14:textId="77777777">
      <w:pPr>
        <w:pStyle w:val="FootnoteText"/>
        <w:rPr>
          <w:szCs w:val="26"/>
        </w:rPr>
      </w:pPr>
      <w:r w:rsidRPr="00716CDF">
        <w:rPr>
          <w:rStyle w:val="FootnoteReference"/>
          <w:szCs w:val="26"/>
        </w:rPr>
        <w:footnoteRef/>
      </w:r>
      <w:r w:rsidRPr="00716CDF">
        <w:rPr>
          <w:szCs w:val="26"/>
        </w:rPr>
        <w:t xml:space="preserve"> SPP </w:t>
      </w:r>
      <w:r>
        <w:rPr>
          <w:szCs w:val="26"/>
        </w:rPr>
        <w:t>Comments (RM16-23) at</w:t>
      </w:r>
      <w:r w:rsidRPr="00716CDF">
        <w:rPr>
          <w:szCs w:val="26"/>
        </w:rPr>
        <w:t xml:space="preserve"> 16.</w:t>
      </w:r>
    </w:p>
  </w:footnote>
  <w:footnote w:id="438">
    <w:p w:rsidR="00FB7F86" w:rsidP="003B7001" w:rsidRDefault="00FB7F86" w14:paraId="43AFDECE" w14:textId="538557DA">
      <w:pPr>
        <w:pStyle w:val="FootnoteText"/>
      </w:pPr>
      <w:r>
        <w:rPr>
          <w:rStyle w:val="FootnoteReference"/>
        </w:rPr>
        <w:footnoteRef/>
      </w:r>
      <w:r>
        <w:t xml:space="preserve"> University of Delaware</w:t>
      </w:r>
      <w:r w:rsidRPr="0038026F">
        <w:rPr>
          <w:szCs w:val="26"/>
        </w:rPr>
        <w:t xml:space="preserve"> </w:t>
      </w:r>
      <w:r>
        <w:rPr>
          <w:szCs w:val="26"/>
        </w:rPr>
        <w:t xml:space="preserve">EV R&amp;D Group Comments (2018 RM18-9) at </w:t>
      </w:r>
      <w:r>
        <w:t>1</w:t>
      </w:r>
      <w:r>
        <w:rPr>
          <w:szCs w:val="26"/>
        </w:rPr>
        <w:t>.</w:t>
      </w:r>
    </w:p>
  </w:footnote>
  <w:footnote w:id="439">
    <w:p w:rsidRPr="00D377EB" w:rsidR="00FB7F86" w:rsidP="003F4773" w:rsidRDefault="00FB7F86" w14:paraId="4B649C9A" w14:textId="2661E69A">
      <w:pPr>
        <w:pStyle w:val="FootnoteText"/>
      </w:pPr>
      <w:r w:rsidRPr="00D377EB">
        <w:rPr>
          <w:b/>
          <w:vertAlign w:val="superscript"/>
        </w:rPr>
        <w:footnoteRef/>
      </w:r>
      <w:r w:rsidRPr="00D377EB">
        <w:t xml:space="preserve"> Order No. 841, 162 FERC ¶</w:t>
      </w:r>
      <w:r>
        <w:t> </w:t>
      </w:r>
      <w:r w:rsidRPr="00D377EB">
        <w:t>61,127 at P</w:t>
      </w:r>
      <w:r>
        <w:t> </w:t>
      </w:r>
      <w:r w:rsidRPr="00D377EB">
        <w:t>270.</w:t>
      </w:r>
    </w:p>
  </w:footnote>
  <w:footnote w:id="440">
    <w:p w:rsidRPr="00D377EB" w:rsidR="00FB7F86" w:rsidP="003F4773" w:rsidRDefault="00FB7F86" w14:paraId="6DD895E3" w14:textId="7F18AAF3">
      <w:pPr>
        <w:pStyle w:val="FootnoteText"/>
      </w:pPr>
      <w:r w:rsidRPr="00D377EB">
        <w:rPr>
          <w:b/>
          <w:vertAlign w:val="superscript"/>
        </w:rPr>
        <w:footnoteRef/>
      </w:r>
      <w:r w:rsidRPr="00D377EB">
        <w:t xml:space="preserve"> </w:t>
      </w:r>
      <w:r w:rsidRPr="00C47E36">
        <w:rPr>
          <w:i/>
        </w:rPr>
        <w:t>See</w:t>
      </w:r>
      <w:r>
        <w:rPr>
          <w:i/>
        </w:rPr>
        <w:t>, e.g.</w:t>
      </w:r>
      <w:r w:rsidRPr="002C0479">
        <w:t>,</w:t>
      </w:r>
      <w:r w:rsidRPr="00DE70CD">
        <w:t xml:space="preserve"> </w:t>
      </w:r>
      <w:r w:rsidRPr="00D377EB">
        <w:t>CAISO Data Request Response</w:t>
      </w:r>
      <w:r>
        <w:t xml:space="preserve"> (AD16-20)</w:t>
      </w:r>
      <w:r w:rsidRPr="00D377EB">
        <w:t xml:space="preserve"> at 10-11; ISO-NE Data Request Response</w:t>
      </w:r>
      <w:r>
        <w:t xml:space="preserve"> (AD16-20)</w:t>
      </w:r>
      <w:r w:rsidRPr="00D377EB">
        <w:t xml:space="preserve"> at 13-14; MISO Data Request Response</w:t>
      </w:r>
      <w:r>
        <w:t xml:space="preserve"> (AD16-20)</w:t>
      </w:r>
      <w:r w:rsidRPr="00D377EB">
        <w:t xml:space="preserve"> at 10; NYISO Data Request Response</w:t>
      </w:r>
      <w:r>
        <w:t xml:space="preserve"> (AD16-20)</w:t>
      </w:r>
      <w:r w:rsidRPr="00D377EB">
        <w:t xml:space="preserve"> at 9; PJM Data Request Response</w:t>
      </w:r>
      <w:r>
        <w:t xml:space="preserve"> (AD16-20)</w:t>
      </w:r>
      <w:r w:rsidRPr="00D377EB">
        <w:t xml:space="preserve"> at 10.</w:t>
      </w:r>
    </w:p>
  </w:footnote>
  <w:footnote w:id="441">
    <w:p w:rsidR="00FB7F86" w:rsidP="003F4773" w:rsidRDefault="00FB7F86" w14:paraId="28FB0C6B" w14:textId="1273F1DE">
      <w:pPr>
        <w:pStyle w:val="FootnoteText"/>
      </w:pPr>
      <w:r>
        <w:rPr>
          <w:rStyle w:val="FootnoteReference"/>
        </w:rPr>
        <w:footnoteRef/>
      </w:r>
      <w:r>
        <w:t xml:space="preserve"> The Commission offered the RTOs/ISOs a similar accommodation for the minimum size requirement for electric storage resources.  </w:t>
      </w:r>
      <w:r w:rsidRPr="00D454C2">
        <w:rPr>
          <w:i/>
        </w:rPr>
        <w:t>See</w:t>
      </w:r>
      <w:r>
        <w:t xml:space="preserve"> </w:t>
      </w:r>
      <w:r w:rsidRPr="00D377EB">
        <w:t>Order No. 841, 162 FERC ¶</w:t>
      </w:r>
      <w:r>
        <w:t> </w:t>
      </w:r>
      <w:r w:rsidRPr="00D377EB">
        <w:t>61,127 at P</w:t>
      </w:r>
      <w:r>
        <w:t> </w:t>
      </w:r>
      <w:r w:rsidRPr="00D377EB">
        <w:t>27</w:t>
      </w:r>
      <w:r>
        <w:t>5</w:t>
      </w:r>
      <w:r w:rsidRPr="00D377EB">
        <w:t>.</w:t>
      </w:r>
    </w:p>
  </w:footnote>
  <w:footnote w:id="442">
    <w:p w:rsidRPr="00217C76" w:rsidR="00FB7F86" w:rsidP="003F4773" w:rsidRDefault="00FB7F86" w14:paraId="42182E87" w14:textId="7F61E28C">
      <w:pPr>
        <w:pStyle w:val="FootnoteText"/>
      </w:pPr>
      <w:r>
        <w:rPr>
          <w:rStyle w:val="FootnoteReference"/>
        </w:rPr>
        <w:footnoteRef/>
      </w:r>
      <w:r>
        <w:t xml:space="preserve"> </w:t>
      </w:r>
      <w:r w:rsidRPr="00AC20F1">
        <w:rPr>
          <w:i/>
        </w:rPr>
        <w:t xml:space="preserve">See </w:t>
      </w:r>
      <w:r>
        <w:rPr>
          <w:i/>
        </w:rPr>
        <w:t>infra</w:t>
      </w:r>
      <w:r>
        <w:t xml:space="preserve"> Section IV.</w:t>
      </w:r>
      <w:r w:rsidRPr="00217C76">
        <w:t>D (Locational Requirements).</w:t>
      </w:r>
    </w:p>
  </w:footnote>
  <w:footnote w:id="443">
    <w:p w:rsidRPr="00217C76" w:rsidR="00FB7F86" w:rsidP="003F4773" w:rsidRDefault="00FB7F86" w14:paraId="34BDB9B9" w14:textId="70633385">
      <w:pPr>
        <w:pStyle w:val="FootnoteText"/>
        <w:rPr>
          <w:szCs w:val="26"/>
        </w:rPr>
      </w:pPr>
      <w:r w:rsidRPr="00217C76">
        <w:rPr>
          <w:rStyle w:val="FootnoteReference"/>
        </w:rPr>
        <w:footnoteRef/>
      </w:r>
      <w:r w:rsidRPr="00217C76">
        <w:t xml:space="preserve"> Technical Conference Transcript at 27; </w:t>
      </w:r>
      <w:r w:rsidRPr="00217C76">
        <w:rPr>
          <w:i/>
          <w:iCs/>
        </w:rPr>
        <w:t xml:space="preserve">see </w:t>
      </w:r>
      <w:r w:rsidRPr="00217C76">
        <w:rPr>
          <w:szCs w:val="26"/>
        </w:rPr>
        <w:t>NYISO Aggregation Order, 170 FERC ¶ 61,033</w:t>
      </w:r>
      <w:r w:rsidRPr="00217C76">
        <w:t>.</w:t>
      </w:r>
    </w:p>
  </w:footnote>
  <w:footnote w:id="444">
    <w:p w:rsidR="00FB7F86" w:rsidRDefault="00FB7F86" w14:paraId="4E63257E" w14:textId="200C0C79">
      <w:pPr>
        <w:pStyle w:val="FootnoteText"/>
      </w:pPr>
      <w:r w:rsidRPr="00217C76">
        <w:rPr>
          <w:rStyle w:val="FootnoteReference"/>
        </w:rPr>
        <w:footnoteRef/>
      </w:r>
      <w:r w:rsidRPr="00217C76">
        <w:t xml:space="preserve"> </w:t>
      </w:r>
      <w:r w:rsidRPr="00217C76">
        <w:rPr>
          <w:i/>
        </w:rPr>
        <w:t>See infra</w:t>
      </w:r>
      <w:r w:rsidRPr="00217C76">
        <w:t xml:space="preserve"> Section IV.D (Locational Requirements).</w:t>
      </w:r>
    </w:p>
  </w:footnote>
  <w:footnote w:id="445">
    <w:p w:rsidRPr="00807D65" w:rsidR="00FB7F86" w:rsidP="002D2653" w:rsidRDefault="00FB7F86" w14:paraId="1116095E" w14:textId="730BA8D9">
      <w:pPr>
        <w:pStyle w:val="FootnoteText"/>
      </w:pPr>
      <w:r>
        <w:rPr>
          <w:rStyle w:val="FootnoteReference"/>
        </w:rPr>
        <w:footnoteRef/>
      </w:r>
      <w:r>
        <w:t xml:space="preserve"> </w:t>
      </w:r>
      <w:r w:rsidRPr="00340FDB">
        <w:rPr>
          <w:i/>
        </w:rPr>
        <w:t xml:space="preserve">See </w:t>
      </w:r>
      <w:r>
        <w:rPr>
          <w:i/>
        </w:rPr>
        <w:t>infra</w:t>
      </w:r>
      <w:r>
        <w:t xml:space="preserve"> Section IV.</w:t>
      </w:r>
      <w:r w:rsidRPr="00807D65">
        <w:t>E (Distribution Factors and Bidding Parameters).</w:t>
      </w:r>
    </w:p>
  </w:footnote>
  <w:footnote w:id="446">
    <w:p w:rsidR="00FB7F86" w:rsidP="003F4773" w:rsidRDefault="00FB7F86" w14:paraId="6D8ACF63" w14:textId="59B483B8">
      <w:pPr>
        <w:pStyle w:val="FootnoteText"/>
      </w:pPr>
      <w:r w:rsidRPr="00807D65">
        <w:rPr>
          <w:rStyle w:val="FootnoteReference"/>
        </w:rPr>
        <w:footnoteRef/>
      </w:r>
      <w:r w:rsidRPr="00807D65">
        <w:t xml:space="preserve"> </w:t>
      </w:r>
      <w:r w:rsidRPr="00807D65">
        <w:rPr>
          <w:i/>
        </w:rPr>
        <w:t>See infra</w:t>
      </w:r>
      <w:r w:rsidRPr="00807D65">
        <w:t xml:space="preserve"> Section IV.D (Locational Requirements).</w:t>
      </w:r>
    </w:p>
  </w:footnote>
  <w:footnote w:id="447">
    <w:p w:rsidRPr="00716CDF" w:rsidR="00FB7F86" w:rsidP="003F4773" w:rsidRDefault="00FB7F86" w14:paraId="1A6BD0A3" w14:textId="610D8C80">
      <w:pPr>
        <w:pStyle w:val="FootnoteText"/>
        <w:rPr>
          <w:szCs w:val="26"/>
        </w:rPr>
      </w:pPr>
      <w:r w:rsidRPr="00716CDF">
        <w:rPr>
          <w:rStyle w:val="FootnoteReference"/>
          <w:szCs w:val="26"/>
        </w:rPr>
        <w:footnoteRef/>
      </w:r>
      <w:r w:rsidRPr="00716CDF">
        <w:rPr>
          <w:szCs w:val="26"/>
        </w:rPr>
        <w:t xml:space="preserve"> NOPR</w:t>
      </w:r>
      <w:r>
        <w:rPr>
          <w:szCs w:val="26"/>
        </w:rPr>
        <w:t>, 157 FERC ¶ 61,121</w:t>
      </w:r>
      <w:r w:rsidRPr="00716CDF">
        <w:rPr>
          <w:szCs w:val="26"/>
        </w:rPr>
        <w:t xml:space="preserve"> at P</w:t>
      </w:r>
      <w:r>
        <w:rPr>
          <w:szCs w:val="26"/>
        </w:rPr>
        <w:t> </w:t>
      </w:r>
      <w:r w:rsidRPr="00716CDF">
        <w:rPr>
          <w:szCs w:val="26"/>
        </w:rPr>
        <w:t>135.</w:t>
      </w:r>
    </w:p>
  </w:footnote>
  <w:footnote w:id="448">
    <w:p w:rsidRPr="00716CDF" w:rsidR="00FB7F86" w:rsidP="00C601EC" w:rsidRDefault="00FB7F86" w14:paraId="5CFCD916" w14:textId="7220F75E">
      <w:pPr>
        <w:pStyle w:val="FootnoteText"/>
        <w:rPr>
          <w:szCs w:val="26"/>
        </w:rPr>
      </w:pPr>
      <w:r w:rsidRPr="00716CDF">
        <w:rPr>
          <w:rStyle w:val="FootnoteReference"/>
          <w:szCs w:val="26"/>
        </w:rPr>
        <w:footnoteRef/>
      </w:r>
      <w:r w:rsidRPr="00716CDF">
        <w:rPr>
          <w:szCs w:val="26"/>
        </w:rPr>
        <w:t xml:space="preserve"> </w:t>
      </w:r>
      <w:r>
        <w:rPr>
          <w:i/>
          <w:iCs/>
          <w:szCs w:val="26"/>
        </w:rPr>
        <w:t>See, e.g.</w:t>
      </w:r>
      <w:r w:rsidRPr="002C0479">
        <w:rPr>
          <w:szCs w:val="26"/>
        </w:rPr>
        <w:t>,</w:t>
      </w:r>
      <w:r>
        <w:rPr>
          <w:i/>
          <w:iCs/>
          <w:szCs w:val="26"/>
        </w:rPr>
        <w:t xml:space="preserve"> </w:t>
      </w:r>
      <w:r w:rsidRPr="00716CDF">
        <w:rPr>
          <w:szCs w:val="26"/>
        </w:rPr>
        <w:t>APPA</w:t>
      </w:r>
      <w:r>
        <w:rPr>
          <w:szCs w:val="26"/>
        </w:rPr>
        <w:t>/</w:t>
      </w:r>
      <w:r w:rsidRPr="00716CDF">
        <w:rPr>
          <w:szCs w:val="26"/>
        </w:rPr>
        <w:t xml:space="preserve">NRECA Comments </w:t>
      </w:r>
      <w:r>
        <w:rPr>
          <w:szCs w:val="26"/>
        </w:rPr>
        <w:t xml:space="preserve">(16-23) </w:t>
      </w:r>
      <w:r w:rsidRPr="00716CDF">
        <w:rPr>
          <w:szCs w:val="26"/>
        </w:rPr>
        <w:t xml:space="preserve">at 43; Fluidic Comments </w:t>
      </w:r>
      <w:r>
        <w:rPr>
          <w:szCs w:val="26"/>
        </w:rPr>
        <w:t xml:space="preserve">(RM16-23) </w:t>
      </w:r>
      <w:r w:rsidRPr="00716CDF">
        <w:rPr>
          <w:szCs w:val="26"/>
        </w:rPr>
        <w:t xml:space="preserve">at 5; Fresh Energy/Sierra Club/Union of Concerned Scientists Comments </w:t>
      </w:r>
      <w:r>
        <w:rPr>
          <w:szCs w:val="26"/>
        </w:rPr>
        <w:t xml:space="preserve">(RM16-23) </w:t>
      </w:r>
      <w:r w:rsidRPr="00716CDF">
        <w:rPr>
          <w:szCs w:val="26"/>
        </w:rPr>
        <w:t xml:space="preserve">at 2; ISO-NE Comments </w:t>
      </w:r>
      <w:r>
        <w:rPr>
          <w:szCs w:val="26"/>
        </w:rPr>
        <w:t xml:space="preserve">(RM16-23) </w:t>
      </w:r>
      <w:r w:rsidRPr="00716CDF">
        <w:rPr>
          <w:szCs w:val="26"/>
        </w:rPr>
        <w:t>at 36;</w:t>
      </w:r>
      <w:r>
        <w:rPr>
          <w:szCs w:val="26"/>
        </w:rPr>
        <w:t xml:space="preserve"> </w:t>
      </w:r>
      <w:r w:rsidRPr="00716CDF">
        <w:rPr>
          <w:szCs w:val="26"/>
        </w:rPr>
        <w:t xml:space="preserve">NYISO Indicated Transmission Owners Comments </w:t>
      </w:r>
      <w:r>
        <w:rPr>
          <w:szCs w:val="26"/>
        </w:rPr>
        <w:t xml:space="preserve">(RM16-23) </w:t>
      </w:r>
      <w:r w:rsidRPr="00716CDF">
        <w:rPr>
          <w:szCs w:val="26"/>
        </w:rPr>
        <w:t>at 12.</w:t>
      </w:r>
    </w:p>
  </w:footnote>
  <w:footnote w:id="449">
    <w:p w:rsidRPr="00716CDF" w:rsidR="00FB7F86" w:rsidP="00C601EC" w:rsidRDefault="00FB7F86" w14:paraId="779D0A60" w14:textId="5F9766FC">
      <w:pPr>
        <w:pStyle w:val="FootnoteText"/>
        <w:rPr>
          <w:szCs w:val="26"/>
        </w:rPr>
      </w:pPr>
      <w:r w:rsidRPr="00716CDF">
        <w:rPr>
          <w:rStyle w:val="FootnoteReference"/>
          <w:szCs w:val="26"/>
        </w:rPr>
        <w:footnoteRef/>
      </w:r>
      <w:r w:rsidRPr="00716CDF">
        <w:rPr>
          <w:szCs w:val="26"/>
        </w:rPr>
        <w:t xml:space="preserve"> </w:t>
      </w:r>
      <w:r>
        <w:rPr>
          <w:i/>
          <w:iCs/>
          <w:szCs w:val="26"/>
        </w:rPr>
        <w:t>See, e.g.</w:t>
      </w:r>
      <w:r w:rsidRPr="002C0479">
        <w:rPr>
          <w:szCs w:val="26"/>
        </w:rPr>
        <w:t>,</w:t>
      </w:r>
      <w:r>
        <w:rPr>
          <w:i/>
          <w:iCs/>
          <w:szCs w:val="26"/>
        </w:rPr>
        <w:t xml:space="preserve"> </w:t>
      </w:r>
      <w:r w:rsidRPr="00716CDF">
        <w:rPr>
          <w:szCs w:val="26"/>
        </w:rPr>
        <w:t xml:space="preserve">NYISO Indicated Transmission Owners Comments </w:t>
      </w:r>
      <w:r>
        <w:rPr>
          <w:szCs w:val="26"/>
        </w:rPr>
        <w:t xml:space="preserve">(RM16-23) </w:t>
      </w:r>
      <w:r w:rsidRPr="00716CDF">
        <w:rPr>
          <w:szCs w:val="26"/>
        </w:rPr>
        <w:t xml:space="preserve">at 12; R Street Institute Comments </w:t>
      </w:r>
      <w:r>
        <w:rPr>
          <w:szCs w:val="26"/>
        </w:rPr>
        <w:t xml:space="preserve">(RM16-23) </w:t>
      </w:r>
      <w:r w:rsidRPr="00716CDF">
        <w:rPr>
          <w:szCs w:val="26"/>
        </w:rPr>
        <w:t xml:space="preserve">at 8; SEIA Comments </w:t>
      </w:r>
      <w:r>
        <w:rPr>
          <w:szCs w:val="26"/>
        </w:rPr>
        <w:t xml:space="preserve">(RM16-23) </w:t>
      </w:r>
      <w:r w:rsidRPr="00716CDF">
        <w:rPr>
          <w:szCs w:val="26"/>
        </w:rPr>
        <w:t xml:space="preserve">at 18; SPP Comments </w:t>
      </w:r>
      <w:r>
        <w:rPr>
          <w:szCs w:val="26"/>
        </w:rPr>
        <w:t xml:space="preserve">(RM16-23) </w:t>
      </w:r>
      <w:r w:rsidRPr="00716CDF">
        <w:rPr>
          <w:szCs w:val="26"/>
        </w:rPr>
        <w:t xml:space="preserve">at 16; Tesla/SolarCity Comments </w:t>
      </w:r>
      <w:r>
        <w:rPr>
          <w:szCs w:val="26"/>
        </w:rPr>
        <w:t xml:space="preserve">(RM16-23) </w:t>
      </w:r>
      <w:r w:rsidRPr="00716CDF">
        <w:rPr>
          <w:szCs w:val="26"/>
        </w:rPr>
        <w:t>at 27.</w:t>
      </w:r>
    </w:p>
  </w:footnote>
  <w:footnote w:id="450">
    <w:p w:rsidRPr="00716CDF" w:rsidR="00FB7F86" w:rsidP="00C601EC" w:rsidRDefault="00FB7F86" w14:paraId="5EA3F989" w14:textId="77777777">
      <w:pPr>
        <w:pStyle w:val="FootnoteText"/>
        <w:rPr>
          <w:szCs w:val="26"/>
        </w:rPr>
      </w:pPr>
      <w:r w:rsidRPr="00716CDF">
        <w:rPr>
          <w:rStyle w:val="FootnoteReference"/>
          <w:szCs w:val="26"/>
        </w:rPr>
        <w:footnoteRef/>
      </w:r>
      <w:r w:rsidRPr="00716CDF">
        <w:rPr>
          <w:szCs w:val="26"/>
        </w:rPr>
        <w:t xml:space="preserve"> </w:t>
      </w:r>
      <w:r>
        <w:rPr>
          <w:szCs w:val="26"/>
        </w:rPr>
        <w:t xml:space="preserve">Fluidic Comments (RM16-23) at </w:t>
      </w:r>
      <w:r w:rsidRPr="00AC20F1">
        <w:rPr>
          <w:szCs w:val="26"/>
        </w:rPr>
        <w:t>5</w:t>
      </w:r>
      <w:r>
        <w:rPr>
          <w:szCs w:val="26"/>
        </w:rPr>
        <w:t>,</w:t>
      </w:r>
      <w:r w:rsidRPr="00716CDF">
        <w:rPr>
          <w:szCs w:val="26"/>
        </w:rPr>
        <w:t xml:space="preserve"> Fresh Energy/Sierra Club/Union of Concerned Scientists Comments </w:t>
      </w:r>
      <w:r>
        <w:rPr>
          <w:szCs w:val="26"/>
        </w:rPr>
        <w:t xml:space="preserve">(RM16-23) </w:t>
      </w:r>
      <w:r w:rsidRPr="00716CDF">
        <w:rPr>
          <w:szCs w:val="26"/>
        </w:rPr>
        <w:t>at 2</w:t>
      </w:r>
      <w:r>
        <w:rPr>
          <w:szCs w:val="26"/>
        </w:rPr>
        <w:t>; Tesla/SolarCity Comments (RM16-23) at 27</w:t>
      </w:r>
      <w:r w:rsidRPr="00716CDF">
        <w:rPr>
          <w:szCs w:val="26"/>
        </w:rPr>
        <w:t>.</w:t>
      </w:r>
    </w:p>
  </w:footnote>
  <w:footnote w:id="451">
    <w:p w:rsidRPr="00716CDF" w:rsidR="00FB7F86" w:rsidP="00C601EC" w:rsidRDefault="00FB7F86" w14:paraId="53A8F5ED" w14:textId="77777777">
      <w:pPr>
        <w:pStyle w:val="FootnoteText"/>
        <w:rPr>
          <w:szCs w:val="26"/>
        </w:rPr>
      </w:pPr>
      <w:r w:rsidRPr="00716CDF">
        <w:rPr>
          <w:rStyle w:val="FootnoteReference"/>
          <w:szCs w:val="26"/>
        </w:rPr>
        <w:footnoteRef/>
      </w:r>
      <w:r w:rsidRPr="00716CDF">
        <w:rPr>
          <w:szCs w:val="26"/>
        </w:rPr>
        <w:t xml:space="preserve"> Energy Storage Association Comments </w:t>
      </w:r>
      <w:r>
        <w:rPr>
          <w:szCs w:val="26"/>
        </w:rPr>
        <w:t xml:space="preserve">(RM16-23) </w:t>
      </w:r>
      <w:r w:rsidRPr="00716CDF">
        <w:rPr>
          <w:szCs w:val="26"/>
        </w:rPr>
        <w:t>at 25-26.</w:t>
      </w:r>
    </w:p>
  </w:footnote>
  <w:footnote w:id="452">
    <w:p w:rsidRPr="00716CDF" w:rsidR="00FB7F86" w:rsidP="00C601EC" w:rsidRDefault="00FB7F86" w14:paraId="3C310923" w14:textId="6ED3CA9E">
      <w:pPr>
        <w:pStyle w:val="FootnoteText"/>
        <w:rPr>
          <w:szCs w:val="26"/>
        </w:rPr>
      </w:pPr>
      <w:r w:rsidRPr="00716CDF">
        <w:rPr>
          <w:rStyle w:val="FootnoteReference"/>
          <w:szCs w:val="26"/>
        </w:rPr>
        <w:footnoteRef/>
      </w:r>
      <w:r w:rsidRPr="00716CDF">
        <w:rPr>
          <w:szCs w:val="26"/>
        </w:rPr>
        <w:t xml:space="preserve"> </w:t>
      </w:r>
      <w:r>
        <w:rPr>
          <w:i/>
          <w:iCs/>
          <w:szCs w:val="26"/>
        </w:rPr>
        <w:t>See, e.g.</w:t>
      </w:r>
      <w:r w:rsidRPr="002C0479">
        <w:rPr>
          <w:szCs w:val="26"/>
        </w:rPr>
        <w:t>,</w:t>
      </w:r>
      <w:r>
        <w:rPr>
          <w:i/>
          <w:iCs/>
          <w:szCs w:val="26"/>
        </w:rPr>
        <w:t xml:space="preserve"> </w:t>
      </w:r>
      <w:r w:rsidRPr="00716CDF">
        <w:rPr>
          <w:szCs w:val="26"/>
        </w:rPr>
        <w:t xml:space="preserve">Advanced Energy Economy Comments </w:t>
      </w:r>
      <w:r>
        <w:rPr>
          <w:szCs w:val="26"/>
        </w:rPr>
        <w:t xml:space="preserve">(RM16-23) </w:t>
      </w:r>
      <w:r w:rsidRPr="00716CDF">
        <w:rPr>
          <w:szCs w:val="26"/>
        </w:rPr>
        <w:t xml:space="preserve">at 51; Duke Energy Comments </w:t>
      </w:r>
      <w:r>
        <w:rPr>
          <w:szCs w:val="26"/>
        </w:rPr>
        <w:t xml:space="preserve">(RM16-23) </w:t>
      </w:r>
      <w:r w:rsidRPr="00716CDF">
        <w:rPr>
          <w:szCs w:val="26"/>
        </w:rPr>
        <w:t xml:space="preserve">at 5; ISO-NE Comments </w:t>
      </w:r>
      <w:r>
        <w:rPr>
          <w:szCs w:val="26"/>
        </w:rPr>
        <w:t xml:space="preserve">(RM16-23) </w:t>
      </w:r>
      <w:r w:rsidRPr="00716CDF">
        <w:rPr>
          <w:szCs w:val="26"/>
        </w:rPr>
        <w:t xml:space="preserve">at 36; MISO Transmission Owners Comments </w:t>
      </w:r>
      <w:r>
        <w:rPr>
          <w:szCs w:val="26"/>
        </w:rPr>
        <w:t xml:space="preserve">(RM16-23) </w:t>
      </w:r>
      <w:r w:rsidRPr="00716CDF">
        <w:rPr>
          <w:szCs w:val="26"/>
        </w:rPr>
        <w:t xml:space="preserve">at 20; Pacific Gas &amp; Electric Comments </w:t>
      </w:r>
      <w:r>
        <w:rPr>
          <w:szCs w:val="26"/>
        </w:rPr>
        <w:t xml:space="preserve">(RM16-23) </w:t>
      </w:r>
      <w:r w:rsidRPr="00716CDF">
        <w:rPr>
          <w:szCs w:val="26"/>
        </w:rPr>
        <w:t>at 16.</w:t>
      </w:r>
    </w:p>
  </w:footnote>
  <w:footnote w:id="453">
    <w:p w:rsidRPr="00716CDF" w:rsidR="00FB7F86" w:rsidP="00C601EC" w:rsidRDefault="00FB7F86" w14:paraId="4038693E" w14:textId="77777777">
      <w:pPr>
        <w:pStyle w:val="FootnoteText"/>
        <w:rPr>
          <w:szCs w:val="26"/>
        </w:rPr>
      </w:pPr>
      <w:r w:rsidRPr="00716CDF">
        <w:rPr>
          <w:rStyle w:val="FootnoteReference"/>
          <w:szCs w:val="26"/>
        </w:rPr>
        <w:footnoteRef/>
      </w:r>
      <w:r w:rsidRPr="00716CDF">
        <w:rPr>
          <w:szCs w:val="26"/>
        </w:rPr>
        <w:t xml:space="preserve"> EEI Comments </w:t>
      </w:r>
      <w:r>
        <w:rPr>
          <w:szCs w:val="26"/>
        </w:rPr>
        <w:t xml:space="preserve">(RM16-23) </w:t>
      </w:r>
      <w:r w:rsidRPr="00716CDF">
        <w:rPr>
          <w:szCs w:val="26"/>
        </w:rPr>
        <w:t>at 27.</w:t>
      </w:r>
    </w:p>
  </w:footnote>
  <w:footnote w:id="454">
    <w:p w:rsidRPr="00716CDF" w:rsidR="00FB7F86" w:rsidP="00C601EC" w:rsidRDefault="00FB7F86" w14:paraId="4F2A4E15" w14:textId="075A0304">
      <w:pPr>
        <w:pStyle w:val="FootnoteText"/>
        <w:rPr>
          <w:szCs w:val="26"/>
        </w:rPr>
      </w:pPr>
      <w:r w:rsidRPr="00716CDF">
        <w:rPr>
          <w:rStyle w:val="FootnoteReference"/>
          <w:szCs w:val="26"/>
        </w:rPr>
        <w:footnoteRef/>
      </w:r>
      <w:r w:rsidRPr="00716CDF">
        <w:rPr>
          <w:szCs w:val="26"/>
        </w:rPr>
        <w:t xml:space="preserve"> NYISO </w:t>
      </w:r>
      <w:r>
        <w:rPr>
          <w:szCs w:val="26"/>
        </w:rPr>
        <w:t>Comments</w:t>
      </w:r>
      <w:r w:rsidRPr="00716CDF">
        <w:rPr>
          <w:szCs w:val="26"/>
        </w:rPr>
        <w:t xml:space="preserve"> </w:t>
      </w:r>
      <w:r>
        <w:rPr>
          <w:szCs w:val="26"/>
        </w:rPr>
        <w:t xml:space="preserve">(RM16-23) </w:t>
      </w:r>
      <w:r w:rsidRPr="00716CDF">
        <w:rPr>
          <w:szCs w:val="26"/>
        </w:rPr>
        <w:t>at 15.</w:t>
      </w:r>
      <w:r>
        <w:rPr>
          <w:szCs w:val="26"/>
        </w:rPr>
        <w:t xml:space="preserve">  The Commission accepted NYISO’s proposal to limit the size of resources in an aggregation to 20 MW or less.  NYISO Aggregation Order, </w:t>
      </w:r>
      <w:r w:rsidRPr="001353C4">
        <w:rPr>
          <w:szCs w:val="26"/>
        </w:rPr>
        <w:t>170 FERC ¶</w:t>
      </w:r>
      <w:r>
        <w:rPr>
          <w:szCs w:val="26"/>
        </w:rPr>
        <w:t> </w:t>
      </w:r>
      <w:r w:rsidRPr="001353C4">
        <w:rPr>
          <w:szCs w:val="26"/>
        </w:rPr>
        <w:t>61,033</w:t>
      </w:r>
      <w:r>
        <w:rPr>
          <w:szCs w:val="26"/>
        </w:rPr>
        <w:t xml:space="preserve"> at P 9.</w:t>
      </w:r>
    </w:p>
  </w:footnote>
  <w:footnote w:id="455">
    <w:p w:rsidRPr="00716CDF" w:rsidR="00FB7F86" w:rsidP="00C601EC" w:rsidRDefault="00FB7F86" w14:paraId="2F7CB5BA" w14:textId="7FAA4D4C">
      <w:pPr>
        <w:pStyle w:val="FootnoteText"/>
        <w:rPr>
          <w:szCs w:val="26"/>
        </w:rPr>
      </w:pPr>
      <w:r w:rsidRPr="00716CDF">
        <w:rPr>
          <w:rStyle w:val="FootnoteReference"/>
          <w:szCs w:val="26"/>
        </w:rPr>
        <w:footnoteRef/>
      </w:r>
      <w:r w:rsidRPr="00716CDF">
        <w:rPr>
          <w:szCs w:val="26"/>
        </w:rPr>
        <w:t xml:space="preserve"> MISO Transmission Owners </w:t>
      </w:r>
      <w:r>
        <w:rPr>
          <w:szCs w:val="26"/>
        </w:rPr>
        <w:t xml:space="preserve">Comments (RM16-23) </w:t>
      </w:r>
      <w:r w:rsidRPr="00716CDF">
        <w:rPr>
          <w:szCs w:val="26"/>
        </w:rPr>
        <w:t>at 20.</w:t>
      </w:r>
    </w:p>
  </w:footnote>
  <w:footnote w:id="456">
    <w:p w:rsidRPr="00716CDF" w:rsidR="00FB7F86" w:rsidP="00C601EC" w:rsidRDefault="00FB7F86" w14:paraId="5E545AA3" w14:textId="399A187C">
      <w:pPr>
        <w:pStyle w:val="FootnoteText"/>
        <w:rPr>
          <w:szCs w:val="26"/>
        </w:rPr>
      </w:pPr>
      <w:r w:rsidRPr="00716CDF">
        <w:rPr>
          <w:rStyle w:val="FootnoteReference"/>
          <w:szCs w:val="26"/>
        </w:rPr>
        <w:footnoteRef/>
      </w:r>
      <w:r w:rsidRPr="00716CDF">
        <w:rPr>
          <w:szCs w:val="26"/>
        </w:rPr>
        <w:t xml:space="preserve"> APPA/NRECA Comments </w:t>
      </w:r>
      <w:r>
        <w:rPr>
          <w:szCs w:val="26"/>
        </w:rPr>
        <w:t xml:space="preserve">(RM16-23) </w:t>
      </w:r>
      <w:r w:rsidRPr="00716CDF">
        <w:rPr>
          <w:szCs w:val="26"/>
        </w:rPr>
        <w:t>at 43.</w:t>
      </w:r>
    </w:p>
  </w:footnote>
  <w:footnote w:id="457">
    <w:p w:rsidRPr="00716CDF" w:rsidR="00FB7F86" w:rsidP="0087772C" w:rsidRDefault="00FB7F86" w14:paraId="51CB4163" w14:textId="55C1076C">
      <w:pPr>
        <w:pStyle w:val="FootnoteText"/>
        <w:rPr>
          <w:szCs w:val="26"/>
        </w:rPr>
      </w:pPr>
      <w:r w:rsidRPr="00716CDF">
        <w:rPr>
          <w:rStyle w:val="FootnoteReference"/>
          <w:szCs w:val="26"/>
        </w:rPr>
        <w:footnoteRef/>
      </w:r>
      <w:r w:rsidRPr="00716CDF">
        <w:rPr>
          <w:szCs w:val="26"/>
        </w:rPr>
        <w:t xml:space="preserve"> NOPR</w:t>
      </w:r>
      <w:r>
        <w:rPr>
          <w:szCs w:val="26"/>
        </w:rPr>
        <w:t>, 157 FERC ¶ 61,121</w:t>
      </w:r>
      <w:r w:rsidRPr="00716CDF">
        <w:rPr>
          <w:szCs w:val="26"/>
        </w:rPr>
        <w:t xml:space="preserve"> at P</w:t>
      </w:r>
      <w:r>
        <w:rPr>
          <w:szCs w:val="26"/>
        </w:rPr>
        <w:t> </w:t>
      </w:r>
      <w:r w:rsidRPr="00716CDF">
        <w:rPr>
          <w:szCs w:val="26"/>
        </w:rPr>
        <w:t>137</w:t>
      </w:r>
      <w:r>
        <w:rPr>
          <w:szCs w:val="26"/>
        </w:rPr>
        <w:t xml:space="preserve"> (citing </w:t>
      </w:r>
      <w:r w:rsidRPr="006C07BF">
        <w:t xml:space="preserve">Order No. 719, </w:t>
      </w:r>
      <w:r w:rsidRPr="007E5E1F">
        <w:t>125 FERC ¶</w:t>
      </w:r>
      <w:r>
        <w:t> </w:t>
      </w:r>
      <w:r w:rsidRPr="007E5E1F">
        <w:t>61,071</w:t>
      </w:r>
      <w:r w:rsidRPr="006C07BF">
        <w:t xml:space="preserve"> at P 158(d)</w:t>
      </w:r>
      <w:r>
        <w:t>)</w:t>
      </w:r>
      <w:r w:rsidRPr="00716CDF">
        <w:rPr>
          <w:szCs w:val="26"/>
        </w:rPr>
        <w:t>.</w:t>
      </w:r>
    </w:p>
  </w:footnote>
  <w:footnote w:id="458">
    <w:p w:rsidRPr="00716CDF" w:rsidR="00FB7F86" w:rsidP="0087772C" w:rsidRDefault="00FB7F86" w14:paraId="7D38CC0B" w14:textId="77777777">
      <w:pPr>
        <w:pStyle w:val="FootnoteText"/>
        <w:rPr>
          <w:szCs w:val="26"/>
        </w:rPr>
      </w:pPr>
      <w:r w:rsidRPr="00716CDF">
        <w:rPr>
          <w:rStyle w:val="FootnoteReference"/>
          <w:szCs w:val="26"/>
        </w:rPr>
        <w:footnoteRef/>
      </w:r>
      <w:r w:rsidRPr="00716CDF">
        <w:rPr>
          <w:szCs w:val="26"/>
        </w:rPr>
        <w:t xml:space="preserve"> AES Companies Comments </w:t>
      </w:r>
      <w:r>
        <w:rPr>
          <w:szCs w:val="26"/>
        </w:rPr>
        <w:t xml:space="preserve">(RM16-23) </w:t>
      </w:r>
      <w:r w:rsidRPr="00716CDF">
        <w:rPr>
          <w:szCs w:val="26"/>
        </w:rPr>
        <w:t xml:space="preserve">at 39; NextEra Comments </w:t>
      </w:r>
      <w:r>
        <w:rPr>
          <w:szCs w:val="26"/>
        </w:rPr>
        <w:t xml:space="preserve">(RM16-23) </w:t>
      </w:r>
      <w:r w:rsidRPr="00716CDF">
        <w:rPr>
          <w:szCs w:val="26"/>
        </w:rPr>
        <w:t xml:space="preserve">at 14; NYISO Comments </w:t>
      </w:r>
      <w:r>
        <w:rPr>
          <w:szCs w:val="26"/>
        </w:rPr>
        <w:t xml:space="preserve">(RM16-23) </w:t>
      </w:r>
      <w:r w:rsidRPr="00716CDF">
        <w:rPr>
          <w:szCs w:val="26"/>
        </w:rPr>
        <w:t>at 16.</w:t>
      </w:r>
    </w:p>
  </w:footnote>
  <w:footnote w:id="459">
    <w:p w:rsidRPr="00716CDF" w:rsidR="00FB7F86" w:rsidP="0087772C" w:rsidRDefault="00FB7F86" w14:paraId="06F8BD68" w14:textId="77777777">
      <w:pPr>
        <w:pStyle w:val="FootnoteText"/>
        <w:rPr>
          <w:szCs w:val="26"/>
        </w:rPr>
      </w:pPr>
      <w:r w:rsidRPr="00716CDF">
        <w:rPr>
          <w:rStyle w:val="FootnoteReference"/>
          <w:szCs w:val="26"/>
        </w:rPr>
        <w:footnoteRef/>
      </w:r>
      <w:r w:rsidRPr="00716CDF">
        <w:rPr>
          <w:szCs w:val="26"/>
        </w:rPr>
        <w:t xml:space="preserve"> CAISO Comments </w:t>
      </w:r>
      <w:r>
        <w:rPr>
          <w:szCs w:val="26"/>
        </w:rPr>
        <w:t xml:space="preserve">(RM16-23) </w:t>
      </w:r>
      <w:r w:rsidRPr="00716CDF">
        <w:rPr>
          <w:szCs w:val="26"/>
        </w:rPr>
        <w:t>at 26.</w:t>
      </w:r>
    </w:p>
  </w:footnote>
  <w:footnote w:id="460">
    <w:p w:rsidRPr="00716CDF" w:rsidR="00FB7F86" w:rsidP="0087772C" w:rsidRDefault="00FB7F86" w14:paraId="0F86F88E" w14:textId="77777777">
      <w:pPr>
        <w:pStyle w:val="FootnoteText"/>
        <w:rPr>
          <w:szCs w:val="26"/>
        </w:rPr>
      </w:pPr>
      <w:r w:rsidRPr="00716CDF">
        <w:rPr>
          <w:rStyle w:val="FootnoteReference"/>
          <w:szCs w:val="26"/>
        </w:rPr>
        <w:footnoteRef/>
      </w:r>
      <w:r w:rsidRPr="00716CDF">
        <w:rPr>
          <w:szCs w:val="26"/>
        </w:rPr>
        <w:t xml:space="preserve"> Xcel Energy Services Comments </w:t>
      </w:r>
      <w:r w:rsidRPr="002410E6">
        <w:rPr>
          <w:szCs w:val="26"/>
        </w:rPr>
        <w:t>(RM16-23)</w:t>
      </w:r>
      <w:r>
        <w:rPr>
          <w:szCs w:val="26"/>
        </w:rPr>
        <w:t xml:space="preserve"> </w:t>
      </w:r>
      <w:r w:rsidRPr="00716CDF">
        <w:rPr>
          <w:szCs w:val="26"/>
        </w:rPr>
        <w:t>at 24.</w:t>
      </w:r>
    </w:p>
  </w:footnote>
  <w:footnote w:id="461">
    <w:p w:rsidRPr="00602757" w:rsidR="00FB7F86" w:rsidRDefault="00FB7F86" w14:paraId="7F487790" w14:textId="50D07BC6">
      <w:pPr>
        <w:pStyle w:val="FootnoteText"/>
      </w:pPr>
      <w:r w:rsidRPr="00A862CF">
        <w:rPr>
          <w:rStyle w:val="FootnoteReference"/>
        </w:rPr>
        <w:footnoteRef/>
      </w:r>
      <w:r w:rsidRPr="00A862CF">
        <w:t xml:space="preserve"> </w:t>
      </w:r>
      <w:r w:rsidRPr="00A862CF">
        <w:rPr>
          <w:i/>
          <w:iCs/>
        </w:rPr>
        <w:t xml:space="preserve">See </w:t>
      </w:r>
      <w:r w:rsidRPr="00FA595F">
        <w:rPr>
          <w:i/>
          <w:iCs/>
        </w:rPr>
        <w:t xml:space="preserve">supra </w:t>
      </w:r>
      <w:r w:rsidRPr="00FA595F">
        <w:t>P 11</w:t>
      </w:r>
      <w:r>
        <w:t>8</w:t>
      </w:r>
      <w:r w:rsidRPr="00FA595F">
        <w:t xml:space="preserve"> n.2</w:t>
      </w:r>
      <w:r>
        <w:t>80</w:t>
      </w:r>
      <w:r w:rsidRPr="00EC663E">
        <w:t>.</w:t>
      </w:r>
    </w:p>
  </w:footnote>
  <w:footnote w:id="462">
    <w:p w:rsidR="00FB7F86" w:rsidRDefault="00FB7F86" w14:paraId="6A626196" w14:textId="3AFB3E10">
      <w:pPr>
        <w:pStyle w:val="FootnoteText"/>
      </w:pPr>
      <w:r>
        <w:rPr>
          <w:rStyle w:val="FootnoteReference"/>
        </w:rPr>
        <w:footnoteRef/>
      </w:r>
      <w:r>
        <w:t xml:space="preserve"> </w:t>
      </w:r>
      <w:r w:rsidRPr="000F466F">
        <w:rPr>
          <w:i/>
          <w:iCs/>
        </w:rPr>
        <w:t>See supra</w:t>
      </w:r>
      <w:r>
        <w:t xml:space="preserve"> Section </w:t>
      </w:r>
      <w:r w:rsidRPr="00524B2A">
        <w:t>IV.C.5 (Minimum and Maximum Capacity Requirements).</w:t>
      </w:r>
    </w:p>
  </w:footnote>
  <w:footnote w:id="463">
    <w:p w:rsidR="00FB7F86" w:rsidRDefault="00FB7F86" w14:paraId="57399820" w14:textId="28322FF2">
      <w:pPr>
        <w:pStyle w:val="FootnoteText"/>
      </w:pPr>
      <w:r>
        <w:rPr>
          <w:rStyle w:val="FootnoteReference"/>
        </w:rPr>
        <w:footnoteRef/>
      </w:r>
      <w:r>
        <w:t xml:space="preserve"> NOPR, 157 FERC ¶ 61,121 at P 138.</w:t>
      </w:r>
    </w:p>
  </w:footnote>
  <w:footnote w:id="464">
    <w:p w:rsidRPr="00407052" w:rsidR="00FB7F86" w:rsidP="00341AEA" w:rsidRDefault="00FB7F86" w14:paraId="10736A93" w14:textId="4E10F7EC">
      <w:pPr>
        <w:pStyle w:val="FootnoteText"/>
      </w:pPr>
      <w:r w:rsidRPr="00407052">
        <w:rPr>
          <w:rStyle w:val="FootnoteReference"/>
        </w:rPr>
        <w:footnoteRef/>
      </w:r>
      <w:r w:rsidRPr="00407052">
        <w:t xml:space="preserve"> </w:t>
      </w:r>
      <w:r>
        <w:rPr>
          <w:i/>
          <w:iCs/>
        </w:rPr>
        <w:t>Id.</w:t>
      </w:r>
      <w:r>
        <w:t xml:space="preserve"> </w:t>
      </w:r>
      <w:r w:rsidRPr="00407052">
        <w:t>P</w:t>
      </w:r>
      <w:r>
        <w:t> </w:t>
      </w:r>
      <w:r w:rsidRPr="00407052">
        <w:t>139.</w:t>
      </w:r>
    </w:p>
  </w:footnote>
  <w:footnote w:id="465">
    <w:p w:rsidRPr="00407052" w:rsidR="00FB7F86" w:rsidP="00341AEA" w:rsidRDefault="00FB7F86" w14:paraId="36CC49FE" w14:textId="7C04018E">
      <w:pPr>
        <w:pStyle w:val="FootnoteText"/>
      </w:pPr>
      <w:r w:rsidRPr="00407052">
        <w:rPr>
          <w:rStyle w:val="FootnoteReference"/>
        </w:rPr>
        <w:footnoteRef/>
      </w:r>
      <w:r w:rsidRPr="00407052">
        <w:t xml:space="preserve"> </w:t>
      </w:r>
      <w:r>
        <w:rPr>
          <w:i/>
          <w:iCs/>
        </w:rPr>
        <w:t>Id.</w:t>
      </w:r>
      <w:r>
        <w:t xml:space="preserve"> </w:t>
      </w:r>
      <w:r w:rsidRPr="00407052">
        <w:t>P</w:t>
      </w:r>
      <w:r>
        <w:t> </w:t>
      </w:r>
      <w:r w:rsidRPr="00407052">
        <w:t>140.</w:t>
      </w:r>
    </w:p>
  </w:footnote>
  <w:footnote w:id="466">
    <w:p w:rsidRPr="00407052" w:rsidR="00FB7F86" w:rsidP="00341AEA" w:rsidRDefault="00FB7F86" w14:paraId="563F5EC7" w14:textId="20B44394">
      <w:pPr>
        <w:pStyle w:val="FootnoteText"/>
      </w:pPr>
      <w:r w:rsidRPr="00407052">
        <w:rPr>
          <w:rStyle w:val="FootnoteReference"/>
        </w:rPr>
        <w:footnoteRef/>
      </w:r>
      <w:r w:rsidRPr="00407052">
        <w:t xml:space="preserve"> </w:t>
      </w:r>
      <w:r>
        <w:rPr>
          <w:i/>
          <w:iCs/>
        </w:rPr>
        <w:t>Id.</w:t>
      </w:r>
      <w:r>
        <w:t xml:space="preserve"> </w:t>
      </w:r>
      <w:r w:rsidRPr="00407052">
        <w:t>n.233 (citing CAISO and NYISO tariff provisions).</w:t>
      </w:r>
    </w:p>
  </w:footnote>
  <w:footnote w:id="467">
    <w:p w:rsidRPr="00407052" w:rsidR="00FB7F86" w:rsidP="00341AEA" w:rsidRDefault="00FB7F86" w14:paraId="5823D966" w14:textId="643B934A">
      <w:pPr>
        <w:pStyle w:val="FootnoteText"/>
      </w:pPr>
      <w:r w:rsidRPr="00407052">
        <w:rPr>
          <w:rStyle w:val="FootnoteReference"/>
        </w:rPr>
        <w:footnoteRef/>
      </w:r>
      <w:r w:rsidRPr="00407052">
        <w:t xml:space="preserve"> </w:t>
      </w:r>
      <w:r>
        <w:rPr>
          <w:i/>
          <w:iCs/>
        </w:rPr>
        <w:t>Id.</w:t>
      </w:r>
      <w:r>
        <w:t xml:space="preserve"> </w:t>
      </w:r>
      <w:r w:rsidRPr="00407052">
        <w:t>P</w:t>
      </w:r>
      <w:r>
        <w:t> </w:t>
      </w:r>
      <w:r w:rsidRPr="00407052">
        <w:t>141.</w:t>
      </w:r>
      <w:r>
        <w:t xml:space="preserve">  The Commission noted that its </w:t>
      </w:r>
      <w:r w:rsidRPr="002B21C0">
        <w:t>propos</w:t>
      </w:r>
      <w:r>
        <w:t>al</w:t>
      </w:r>
      <w:r w:rsidRPr="002B21C0">
        <w:t xml:space="preserve"> to allow the relevant distribution utility or utilities to review the list of distributed energy resources in a distributed energy resource aggregation </w:t>
      </w:r>
      <w:r>
        <w:t>would</w:t>
      </w:r>
      <w:r w:rsidRPr="002B21C0">
        <w:t xml:space="preserve"> help ensure that dispatch of the aggregated distributed energy resources as a single resource will not cause any reliability concerns.</w:t>
      </w:r>
    </w:p>
  </w:footnote>
  <w:footnote w:id="468">
    <w:p w:rsidR="00FB7F86" w:rsidRDefault="00FB7F86" w14:paraId="0DE7676D" w14:textId="47954356">
      <w:pPr>
        <w:pStyle w:val="FootnoteText"/>
      </w:pPr>
      <w:r>
        <w:rPr>
          <w:rStyle w:val="FootnoteReference"/>
        </w:rPr>
        <w:footnoteRef/>
      </w:r>
      <w:r>
        <w:t xml:space="preserve"> Supplemental Notice of Technical Conference at 2-3.</w:t>
      </w:r>
    </w:p>
  </w:footnote>
  <w:footnote w:id="469">
    <w:p w:rsidR="00FB7F86" w:rsidP="00F1349A" w:rsidRDefault="00FB7F86" w14:paraId="03E2CF77" w14:textId="29065C77">
      <w:pPr>
        <w:pStyle w:val="FootnoteText"/>
      </w:pPr>
      <w:r>
        <w:rPr>
          <w:rStyle w:val="FootnoteReference"/>
        </w:rPr>
        <w:footnoteRef/>
      </w:r>
      <w:r>
        <w:t xml:space="preserve"> </w:t>
      </w:r>
      <w:r w:rsidRPr="00177CA8">
        <w:rPr>
          <w:szCs w:val="26"/>
        </w:rPr>
        <w:t>Notice Inviting Post-Technical Conference Comments</w:t>
      </w:r>
      <w:r>
        <w:rPr>
          <w:szCs w:val="26"/>
        </w:rPr>
        <w:t xml:space="preserve"> at 2-3.</w:t>
      </w:r>
    </w:p>
  </w:footnote>
  <w:footnote w:id="470">
    <w:p w:rsidRPr="00716CDF" w:rsidR="00FB7F86" w:rsidP="00341AEA" w:rsidRDefault="00FB7F86" w14:paraId="3A76A017" w14:textId="6B5A74FB">
      <w:pPr>
        <w:pStyle w:val="FootnoteText"/>
        <w:rPr>
          <w:szCs w:val="26"/>
        </w:rPr>
      </w:pPr>
      <w:r w:rsidRPr="00716CDF">
        <w:rPr>
          <w:rStyle w:val="FootnoteReference"/>
          <w:szCs w:val="26"/>
        </w:rPr>
        <w:footnoteRef/>
      </w:r>
      <w:r w:rsidRPr="00716CDF">
        <w:rPr>
          <w:szCs w:val="26"/>
        </w:rPr>
        <w:t xml:space="preserve"> </w:t>
      </w:r>
      <w:r w:rsidRPr="00716CDF">
        <w:rPr>
          <w:i/>
          <w:szCs w:val="26"/>
        </w:rPr>
        <w:t>See</w:t>
      </w:r>
      <w:r>
        <w:rPr>
          <w:i/>
          <w:szCs w:val="26"/>
        </w:rPr>
        <w:t>, e.g.</w:t>
      </w:r>
      <w:r w:rsidRPr="002C0479">
        <w:rPr>
          <w:szCs w:val="26"/>
        </w:rPr>
        <w:t>,</w:t>
      </w:r>
      <w:r w:rsidRPr="00DE70CD">
        <w:rPr>
          <w:szCs w:val="26"/>
        </w:rPr>
        <w:t xml:space="preserve"> </w:t>
      </w:r>
      <w:r w:rsidRPr="00716CDF">
        <w:rPr>
          <w:szCs w:val="26"/>
        </w:rPr>
        <w:t xml:space="preserve">Advanced Energy Management </w:t>
      </w:r>
      <w:r>
        <w:rPr>
          <w:szCs w:val="26"/>
        </w:rPr>
        <w:t>Comments (RM16-23) at</w:t>
      </w:r>
      <w:r w:rsidRPr="00716CDF">
        <w:rPr>
          <w:szCs w:val="26"/>
        </w:rPr>
        <w:t xml:space="preserve"> 24; DER/Storage Developers </w:t>
      </w:r>
      <w:r>
        <w:rPr>
          <w:szCs w:val="26"/>
        </w:rPr>
        <w:t>Comments (RM16-23) at</w:t>
      </w:r>
      <w:r w:rsidRPr="00716CDF">
        <w:rPr>
          <w:szCs w:val="26"/>
        </w:rPr>
        <w:t xml:space="preserve"> 4; Efficient Holding</w:t>
      </w:r>
      <w:r>
        <w:rPr>
          <w:szCs w:val="26"/>
        </w:rPr>
        <w:t>s</w:t>
      </w:r>
      <w:r w:rsidRPr="00716CDF">
        <w:rPr>
          <w:szCs w:val="26"/>
        </w:rPr>
        <w:t xml:space="preserve"> </w:t>
      </w:r>
      <w:r>
        <w:rPr>
          <w:szCs w:val="26"/>
        </w:rPr>
        <w:t>Comments (RM16-23) at</w:t>
      </w:r>
      <w:r w:rsidRPr="00716CDF">
        <w:rPr>
          <w:szCs w:val="26"/>
        </w:rPr>
        <w:t xml:space="preserve"> 17</w:t>
      </w:r>
      <w:r>
        <w:rPr>
          <w:szCs w:val="26"/>
        </w:rPr>
        <w:t>-18</w:t>
      </w:r>
      <w:r w:rsidRPr="00716CDF">
        <w:rPr>
          <w:szCs w:val="26"/>
        </w:rPr>
        <w:t xml:space="preserve">; IRC </w:t>
      </w:r>
      <w:r>
        <w:rPr>
          <w:szCs w:val="26"/>
        </w:rPr>
        <w:t>Comments (RM16-23) at</w:t>
      </w:r>
      <w:r w:rsidRPr="00716CDF">
        <w:rPr>
          <w:szCs w:val="26"/>
        </w:rPr>
        <w:t xml:space="preserve"> 8; NRG </w:t>
      </w:r>
      <w:r>
        <w:rPr>
          <w:szCs w:val="26"/>
        </w:rPr>
        <w:t>Comments (RM16-23) at</w:t>
      </w:r>
      <w:r w:rsidRPr="00716CDF">
        <w:rPr>
          <w:szCs w:val="26"/>
        </w:rPr>
        <w:t xml:space="preserve"> 10-11</w:t>
      </w:r>
      <w:r>
        <w:rPr>
          <w:szCs w:val="26"/>
        </w:rPr>
        <w:t>.</w:t>
      </w:r>
    </w:p>
  </w:footnote>
  <w:footnote w:id="471">
    <w:p w:rsidRPr="00716CDF" w:rsidR="00FB7F86" w:rsidP="00341AEA" w:rsidRDefault="00FB7F86" w14:paraId="73E873D6" w14:textId="77777777">
      <w:pPr>
        <w:pStyle w:val="FootnoteText"/>
        <w:rPr>
          <w:szCs w:val="26"/>
        </w:rPr>
      </w:pPr>
      <w:r w:rsidRPr="00716CDF">
        <w:rPr>
          <w:rStyle w:val="FootnoteReference"/>
          <w:szCs w:val="26"/>
        </w:rPr>
        <w:footnoteRef/>
      </w:r>
      <w:r w:rsidRPr="00716CDF">
        <w:rPr>
          <w:szCs w:val="26"/>
        </w:rPr>
        <w:t xml:space="preserve"> IRC </w:t>
      </w:r>
      <w:r>
        <w:rPr>
          <w:szCs w:val="26"/>
        </w:rPr>
        <w:t>Comments (RM16-23) at</w:t>
      </w:r>
      <w:r w:rsidRPr="00716CDF">
        <w:rPr>
          <w:szCs w:val="26"/>
        </w:rPr>
        <w:t xml:space="preserve"> 8.</w:t>
      </w:r>
    </w:p>
  </w:footnote>
  <w:footnote w:id="472">
    <w:p w:rsidRPr="00716CDF" w:rsidR="00FB7F86" w:rsidP="00341AEA" w:rsidRDefault="00FB7F86" w14:paraId="37B0BEA5" w14:textId="77777777">
      <w:pPr>
        <w:pStyle w:val="FootnoteText"/>
        <w:rPr>
          <w:szCs w:val="26"/>
        </w:rPr>
      </w:pPr>
      <w:r w:rsidRPr="00716CDF">
        <w:rPr>
          <w:rStyle w:val="FootnoteReference"/>
          <w:szCs w:val="26"/>
        </w:rPr>
        <w:footnoteRef/>
      </w:r>
      <w:r w:rsidRPr="00716CDF">
        <w:rPr>
          <w:szCs w:val="26"/>
        </w:rPr>
        <w:t xml:space="preserve"> Advanced Energy Economy </w:t>
      </w:r>
      <w:r>
        <w:rPr>
          <w:szCs w:val="26"/>
        </w:rPr>
        <w:t>Comments (RM16-23) at</w:t>
      </w:r>
      <w:r w:rsidRPr="00716CDF">
        <w:rPr>
          <w:szCs w:val="26"/>
        </w:rPr>
        <w:t xml:space="preserve"> 45.</w:t>
      </w:r>
    </w:p>
  </w:footnote>
  <w:footnote w:id="473">
    <w:p w:rsidRPr="00716CDF" w:rsidR="00FB7F86" w:rsidP="00341AEA" w:rsidRDefault="00FB7F86" w14:paraId="128E9AFB" w14:textId="77777777">
      <w:pPr>
        <w:pStyle w:val="FootnoteText"/>
        <w:rPr>
          <w:szCs w:val="26"/>
        </w:rPr>
      </w:pPr>
      <w:r w:rsidRPr="00716CDF">
        <w:rPr>
          <w:rStyle w:val="FootnoteReference"/>
          <w:szCs w:val="26"/>
        </w:rPr>
        <w:footnoteRef/>
      </w:r>
      <w:r w:rsidRPr="00716CDF">
        <w:rPr>
          <w:szCs w:val="26"/>
        </w:rPr>
        <w:t xml:space="preserve"> Advanced Energy Management </w:t>
      </w:r>
      <w:r>
        <w:rPr>
          <w:szCs w:val="26"/>
        </w:rPr>
        <w:t>Comments (RM16-23) at</w:t>
      </w:r>
      <w:r w:rsidRPr="00716CDF">
        <w:rPr>
          <w:szCs w:val="26"/>
        </w:rPr>
        <w:t xml:space="preserve"> 24.</w:t>
      </w:r>
    </w:p>
  </w:footnote>
  <w:footnote w:id="474">
    <w:p w:rsidRPr="004656B5" w:rsidR="00FB7F86" w:rsidP="00341AEA" w:rsidRDefault="00FB7F86" w14:paraId="03DC5D43" w14:textId="55C5C956">
      <w:pPr>
        <w:pStyle w:val="FootnoteText"/>
        <w:rPr>
          <w:szCs w:val="26"/>
        </w:rPr>
      </w:pPr>
      <w:r w:rsidRPr="004656B5">
        <w:rPr>
          <w:rStyle w:val="FootnoteReference"/>
        </w:rPr>
        <w:footnoteRef/>
      </w:r>
      <w:r w:rsidRPr="004656B5">
        <w:rPr>
          <w:szCs w:val="26"/>
        </w:rPr>
        <w:t xml:space="preserve"> </w:t>
      </w:r>
      <w:r>
        <w:rPr>
          <w:i/>
          <w:iCs/>
          <w:szCs w:val="26"/>
        </w:rPr>
        <w:t>See, e.g.</w:t>
      </w:r>
      <w:r w:rsidRPr="002C0479">
        <w:rPr>
          <w:szCs w:val="26"/>
        </w:rPr>
        <w:t>,</w:t>
      </w:r>
      <w:r>
        <w:rPr>
          <w:i/>
          <w:iCs/>
          <w:szCs w:val="26"/>
        </w:rPr>
        <w:t xml:space="preserve"> </w:t>
      </w:r>
      <w:r w:rsidRPr="004656B5">
        <w:rPr>
          <w:szCs w:val="26"/>
        </w:rPr>
        <w:t xml:space="preserve">Advanced Energy Buyers </w:t>
      </w:r>
      <w:r>
        <w:rPr>
          <w:szCs w:val="26"/>
        </w:rPr>
        <w:t>Comments (2018 RM18-9</w:t>
      </w:r>
      <w:r w:rsidRPr="004656B5">
        <w:rPr>
          <w:szCs w:val="26"/>
        </w:rPr>
        <w:t>) at 7</w:t>
      </w:r>
      <w:r>
        <w:rPr>
          <w:szCs w:val="26"/>
        </w:rPr>
        <w:t xml:space="preserve">; </w:t>
      </w:r>
      <w:r w:rsidRPr="00022301">
        <w:rPr>
          <w:szCs w:val="26"/>
        </w:rPr>
        <w:t xml:space="preserve">CAISO </w:t>
      </w:r>
      <w:r>
        <w:rPr>
          <w:szCs w:val="26"/>
        </w:rPr>
        <w:t>Comments (2018 RM18-9</w:t>
      </w:r>
      <w:r w:rsidRPr="00022301">
        <w:rPr>
          <w:szCs w:val="26"/>
        </w:rPr>
        <w:t>) at 10</w:t>
      </w:r>
      <w:r>
        <w:rPr>
          <w:szCs w:val="26"/>
        </w:rPr>
        <w:t xml:space="preserve">-11; </w:t>
      </w:r>
      <w:r>
        <w:t>EPRI Comments (2018 RM18-9</w:t>
      </w:r>
      <w:r w:rsidRPr="004656B5">
        <w:rPr>
          <w:szCs w:val="26"/>
        </w:rPr>
        <w:t xml:space="preserve">) </w:t>
      </w:r>
      <w:r>
        <w:t xml:space="preserve">at 6; NRG Comments (2018 RM18-9) at 4-5; </w:t>
      </w:r>
      <w:r w:rsidRPr="004656B5">
        <w:rPr>
          <w:szCs w:val="26"/>
        </w:rPr>
        <w:t>S</w:t>
      </w:r>
      <w:r>
        <w:rPr>
          <w:szCs w:val="26"/>
        </w:rPr>
        <w:t>EIA</w:t>
      </w:r>
      <w:r w:rsidRPr="004656B5">
        <w:rPr>
          <w:szCs w:val="26"/>
        </w:rPr>
        <w:t xml:space="preserve"> </w:t>
      </w:r>
      <w:r>
        <w:rPr>
          <w:szCs w:val="26"/>
        </w:rPr>
        <w:t>Comments (2018 RM18-9</w:t>
      </w:r>
      <w:r w:rsidRPr="004656B5">
        <w:rPr>
          <w:szCs w:val="26"/>
        </w:rPr>
        <w:t>) at 14.</w:t>
      </w:r>
    </w:p>
  </w:footnote>
  <w:footnote w:id="475">
    <w:p w:rsidR="00FB7F86" w:rsidP="00341AEA" w:rsidRDefault="00FB7F86" w14:paraId="37F29128" w14:textId="77777777">
      <w:pPr>
        <w:pStyle w:val="FootnoteText"/>
      </w:pPr>
      <w:r>
        <w:rPr>
          <w:rStyle w:val="FootnoteReference"/>
        </w:rPr>
        <w:footnoteRef/>
      </w:r>
      <w:r>
        <w:t xml:space="preserve"> </w:t>
      </w:r>
      <w:r w:rsidRPr="004656B5">
        <w:rPr>
          <w:szCs w:val="26"/>
        </w:rPr>
        <w:t xml:space="preserve">Advanced Energy Management </w:t>
      </w:r>
      <w:r>
        <w:rPr>
          <w:szCs w:val="26"/>
        </w:rPr>
        <w:t>Comments (2018 RM18-9</w:t>
      </w:r>
      <w:r w:rsidRPr="004656B5">
        <w:rPr>
          <w:szCs w:val="26"/>
        </w:rPr>
        <w:t>) at 5</w:t>
      </w:r>
      <w:r>
        <w:rPr>
          <w:szCs w:val="26"/>
        </w:rPr>
        <w:t xml:space="preserve">; </w:t>
      </w:r>
      <w:r w:rsidRPr="004656B5">
        <w:rPr>
          <w:szCs w:val="26"/>
        </w:rPr>
        <w:t xml:space="preserve">Direct </w:t>
      </w:r>
      <w:r>
        <w:rPr>
          <w:szCs w:val="26"/>
        </w:rPr>
        <w:t>Energy Comments (2018 RM18-9</w:t>
      </w:r>
      <w:r w:rsidRPr="004656B5">
        <w:rPr>
          <w:szCs w:val="26"/>
        </w:rPr>
        <w:t xml:space="preserve">) </w:t>
      </w:r>
      <w:r>
        <w:rPr>
          <w:szCs w:val="26"/>
        </w:rPr>
        <w:t xml:space="preserve">at 2-3; </w:t>
      </w:r>
      <w:r w:rsidRPr="004656B5">
        <w:rPr>
          <w:szCs w:val="26"/>
        </w:rPr>
        <w:t xml:space="preserve">Lorenzo Kristov </w:t>
      </w:r>
      <w:r>
        <w:rPr>
          <w:szCs w:val="26"/>
        </w:rPr>
        <w:t>Comments (2018 RM18-9</w:t>
      </w:r>
      <w:r w:rsidRPr="004656B5">
        <w:rPr>
          <w:szCs w:val="26"/>
        </w:rPr>
        <w:t>) at 14</w:t>
      </w:r>
      <w:r>
        <w:rPr>
          <w:szCs w:val="26"/>
        </w:rPr>
        <w:t xml:space="preserve">; </w:t>
      </w:r>
      <w:r w:rsidRPr="004656B5">
        <w:rPr>
          <w:szCs w:val="26"/>
        </w:rPr>
        <w:t xml:space="preserve">SEIA </w:t>
      </w:r>
      <w:r>
        <w:rPr>
          <w:szCs w:val="26"/>
        </w:rPr>
        <w:t>Comments (2018 RM18-9</w:t>
      </w:r>
      <w:r w:rsidRPr="004656B5">
        <w:rPr>
          <w:szCs w:val="26"/>
        </w:rPr>
        <w:t>) at 14.</w:t>
      </w:r>
    </w:p>
  </w:footnote>
  <w:footnote w:id="476">
    <w:p w:rsidRPr="00716CDF" w:rsidR="00FB7F86" w:rsidP="00341AEA" w:rsidRDefault="00FB7F86" w14:paraId="6FB77FC0" w14:textId="77777777">
      <w:pPr>
        <w:pStyle w:val="FootnoteText"/>
        <w:rPr>
          <w:szCs w:val="26"/>
        </w:rPr>
      </w:pPr>
      <w:r w:rsidRPr="00716CDF">
        <w:rPr>
          <w:rStyle w:val="FootnoteReference"/>
          <w:szCs w:val="26"/>
        </w:rPr>
        <w:footnoteRef/>
      </w:r>
      <w:r w:rsidRPr="00716CDF">
        <w:rPr>
          <w:szCs w:val="26"/>
        </w:rPr>
        <w:t xml:space="preserve"> Advanced Energy Economy </w:t>
      </w:r>
      <w:r>
        <w:rPr>
          <w:szCs w:val="26"/>
        </w:rPr>
        <w:t>Comments (RM16-23) at</w:t>
      </w:r>
      <w:r w:rsidRPr="00716CDF">
        <w:rPr>
          <w:szCs w:val="26"/>
        </w:rPr>
        <w:t xml:space="preserve"> 45.</w:t>
      </w:r>
    </w:p>
  </w:footnote>
  <w:footnote w:id="477">
    <w:p w:rsidRPr="00716CDF" w:rsidR="00FB7F86" w:rsidP="00341AEA" w:rsidRDefault="00FB7F86" w14:paraId="6DACC8E1" w14:textId="6079AB93">
      <w:pPr>
        <w:pStyle w:val="FootnoteText"/>
        <w:rPr>
          <w:szCs w:val="26"/>
        </w:rPr>
      </w:pPr>
      <w:r w:rsidRPr="00716CDF">
        <w:rPr>
          <w:rStyle w:val="FootnoteReference"/>
          <w:szCs w:val="26"/>
        </w:rPr>
        <w:footnoteRef/>
      </w:r>
      <w:r w:rsidRPr="00716CDF">
        <w:rPr>
          <w:szCs w:val="26"/>
        </w:rPr>
        <w:t xml:space="preserve"> </w:t>
      </w:r>
      <w:r>
        <w:rPr>
          <w:i/>
          <w:iCs/>
          <w:szCs w:val="26"/>
        </w:rPr>
        <w:t>Id.</w:t>
      </w:r>
      <w:r w:rsidRPr="00716CDF">
        <w:rPr>
          <w:szCs w:val="26"/>
        </w:rPr>
        <w:t xml:space="preserve">; DER/Storage Developers </w:t>
      </w:r>
      <w:r>
        <w:rPr>
          <w:szCs w:val="26"/>
        </w:rPr>
        <w:t>Comments (RM16-23) at</w:t>
      </w:r>
      <w:r w:rsidRPr="00716CDF">
        <w:rPr>
          <w:szCs w:val="26"/>
        </w:rPr>
        <w:t xml:space="preserve"> 4; Tesla/SolarCity </w:t>
      </w:r>
      <w:r>
        <w:rPr>
          <w:szCs w:val="26"/>
        </w:rPr>
        <w:t>Comments (RM16-23) at</w:t>
      </w:r>
      <w:r w:rsidRPr="00716CDF">
        <w:rPr>
          <w:szCs w:val="26"/>
        </w:rPr>
        <w:t xml:space="preserve"> 28.</w:t>
      </w:r>
      <w:r>
        <w:rPr>
          <w:szCs w:val="26"/>
        </w:rPr>
        <w:t xml:space="preserve">  CAISO uses load distribution factors to reflect the relative amount of load at each node.  The sum of all load distribution factors for a single aggregation is one.  </w:t>
      </w:r>
      <w:r>
        <w:rPr>
          <w:i/>
          <w:iCs/>
          <w:szCs w:val="26"/>
        </w:rPr>
        <w:t>See</w:t>
      </w:r>
      <w:r>
        <w:rPr>
          <w:szCs w:val="26"/>
        </w:rPr>
        <w:t xml:space="preserve"> CAISO Tariff, Appendix A.</w:t>
      </w:r>
    </w:p>
  </w:footnote>
  <w:footnote w:id="478">
    <w:p w:rsidRPr="00716CDF" w:rsidR="00FB7F86" w:rsidP="00341AEA" w:rsidRDefault="00FB7F86" w14:paraId="18A361BE" w14:textId="77777777">
      <w:pPr>
        <w:pStyle w:val="FootnoteText"/>
        <w:rPr>
          <w:szCs w:val="26"/>
        </w:rPr>
      </w:pPr>
      <w:r w:rsidRPr="00716CDF">
        <w:rPr>
          <w:rStyle w:val="FootnoteReference"/>
          <w:szCs w:val="26"/>
        </w:rPr>
        <w:footnoteRef/>
      </w:r>
      <w:r w:rsidRPr="00716CDF">
        <w:rPr>
          <w:szCs w:val="26"/>
        </w:rPr>
        <w:t xml:space="preserve"> Advanced Energy Management </w:t>
      </w:r>
      <w:r>
        <w:rPr>
          <w:szCs w:val="26"/>
        </w:rPr>
        <w:t>Comments (RM16-23) at</w:t>
      </w:r>
      <w:r w:rsidRPr="00716CDF">
        <w:rPr>
          <w:szCs w:val="26"/>
        </w:rPr>
        <w:t xml:space="preserve"> 25.</w:t>
      </w:r>
    </w:p>
  </w:footnote>
  <w:footnote w:id="479">
    <w:p w:rsidR="00FB7F86" w:rsidP="00341AEA" w:rsidRDefault="00FB7F86" w14:paraId="4EE96F31" w14:textId="1B25790E">
      <w:pPr>
        <w:pStyle w:val="FootnoteText"/>
      </w:pPr>
      <w:r>
        <w:rPr>
          <w:rStyle w:val="FootnoteReference"/>
        </w:rPr>
        <w:footnoteRef/>
      </w:r>
      <w:r>
        <w:t xml:space="preserve"> </w:t>
      </w:r>
      <w:r>
        <w:rPr>
          <w:i/>
          <w:iCs/>
        </w:rPr>
        <w:t>See, e.g.</w:t>
      </w:r>
      <w:r w:rsidRPr="002C0479">
        <w:t>,</w:t>
      </w:r>
      <w:r>
        <w:rPr>
          <w:i/>
          <w:iCs/>
        </w:rPr>
        <w:t xml:space="preserve"> </w:t>
      </w:r>
      <w:r w:rsidRPr="00716CDF">
        <w:rPr>
          <w:szCs w:val="26"/>
        </w:rPr>
        <w:t xml:space="preserve">AES Companies </w:t>
      </w:r>
      <w:r>
        <w:rPr>
          <w:szCs w:val="26"/>
        </w:rPr>
        <w:t>Comments (RM16-23) at</w:t>
      </w:r>
      <w:r w:rsidRPr="00716CDF">
        <w:rPr>
          <w:szCs w:val="26"/>
        </w:rPr>
        <w:t xml:space="preserve"> 36</w:t>
      </w:r>
      <w:r>
        <w:rPr>
          <w:szCs w:val="26"/>
        </w:rPr>
        <w:t xml:space="preserve">; </w:t>
      </w:r>
      <w:r w:rsidRPr="00716CDF">
        <w:rPr>
          <w:szCs w:val="26"/>
        </w:rPr>
        <w:t>Efficient Holding</w:t>
      </w:r>
      <w:r>
        <w:rPr>
          <w:szCs w:val="26"/>
        </w:rPr>
        <w:t>s</w:t>
      </w:r>
      <w:r w:rsidRPr="00716CDF">
        <w:rPr>
          <w:szCs w:val="26"/>
        </w:rPr>
        <w:t xml:space="preserve"> </w:t>
      </w:r>
      <w:r>
        <w:rPr>
          <w:szCs w:val="26"/>
        </w:rPr>
        <w:t>Comments (RM16-23) at</w:t>
      </w:r>
      <w:r w:rsidRPr="00716CDF">
        <w:rPr>
          <w:szCs w:val="26"/>
        </w:rPr>
        <w:t xml:space="preserve"> 18</w:t>
      </w:r>
      <w:r>
        <w:rPr>
          <w:szCs w:val="26"/>
        </w:rPr>
        <w:t>;</w:t>
      </w:r>
      <w:r w:rsidRPr="00B82375">
        <w:rPr>
          <w:szCs w:val="26"/>
        </w:rPr>
        <w:t xml:space="preserve"> </w:t>
      </w:r>
      <w:r w:rsidRPr="00716CDF">
        <w:rPr>
          <w:szCs w:val="26"/>
        </w:rPr>
        <w:t xml:space="preserve">Public Interest Organizations </w:t>
      </w:r>
      <w:r>
        <w:rPr>
          <w:szCs w:val="26"/>
        </w:rPr>
        <w:t>Comments (RM16-23) at</w:t>
      </w:r>
      <w:r w:rsidRPr="00716CDF">
        <w:rPr>
          <w:szCs w:val="26"/>
        </w:rPr>
        <w:t xml:space="preserve"> 24</w:t>
      </w:r>
      <w:r>
        <w:rPr>
          <w:szCs w:val="26"/>
        </w:rPr>
        <w:t xml:space="preserve">; </w:t>
      </w:r>
      <w:r w:rsidRPr="00716CDF">
        <w:rPr>
          <w:szCs w:val="26"/>
        </w:rPr>
        <w:t xml:space="preserve">R Street Institute </w:t>
      </w:r>
      <w:r>
        <w:rPr>
          <w:szCs w:val="26"/>
        </w:rPr>
        <w:t>Comments (RM16-23) at</w:t>
      </w:r>
      <w:r w:rsidRPr="00716CDF">
        <w:rPr>
          <w:szCs w:val="26"/>
        </w:rPr>
        <w:t xml:space="preserve"> 9</w:t>
      </w:r>
      <w:r>
        <w:rPr>
          <w:szCs w:val="26"/>
        </w:rPr>
        <w:t xml:space="preserve">; </w:t>
      </w:r>
      <w:r w:rsidRPr="004656B5">
        <w:rPr>
          <w:szCs w:val="26"/>
        </w:rPr>
        <w:t xml:space="preserve">Sunrun </w:t>
      </w:r>
      <w:r>
        <w:rPr>
          <w:szCs w:val="26"/>
        </w:rPr>
        <w:t>Comments (2018 RM18-9)</w:t>
      </w:r>
      <w:r w:rsidRPr="004656B5">
        <w:rPr>
          <w:szCs w:val="26"/>
        </w:rPr>
        <w:t xml:space="preserve"> at 14</w:t>
      </w:r>
      <w:r>
        <w:rPr>
          <w:szCs w:val="26"/>
        </w:rPr>
        <w:t>.</w:t>
      </w:r>
    </w:p>
  </w:footnote>
  <w:footnote w:id="480">
    <w:p w:rsidRPr="00716CDF" w:rsidR="00FB7F86" w:rsidP="00341AEA" w:rsidRDefault="00FB7F86" w14:paraId="6C5B9B57" w14:textId="77777777">
      <w:pPr>
        <w:pStyle w:val="FootnoteText"/>
        <w:rPr>
          <w:szCs w:val="26"/>
        </w:rPr>
      </w:pPr>
      <w:r w:rsidRPr="00716CDF">
        <w:rPr>
          <w:rStyle w:val="FootnoteReference"/>
          <w:szCs w:val="26"/>
        </w:rPr>
        <w:footnoteRef/>
      </w:r>
      <w:r w:rsidRPr="00716CDF">
        <w:rPr>
          <w:szCs w:val="26"/>
        </w:rPr>
        <w:t xml:space="preserve"> Advanced Energy Economy </w:t>
      </w:r>
      <w:r>
        <w:rPr>
          <w:szCs w:val="26"/>
        </w:rPr>
        <w:t>Comments (RM16-23) at</w:t>
      </w:r>
      <w:r w:rsidRPr="00716CDF">
        <w:rPr>
          <w:szCs w:val="26"/>
        </w:rPr>
        <w:t xml:space="preserve"> </w:t>
      </w:r>
      <w:r>
        <w:rPr>
          <w:szCs w:val="26"/>
        </w:rPr>
        <w:t>46-</w:t>
      </w:r>
      <w:r w:rsidRPr="00716CDF">
        <w:rPr>
          <w:szCs w:val="26"/>
        </w:rPr>
        <w:t>47</w:t>
      </w:r>
      <w:r>
        <w:rPr>
          <w:szCs w:val="26"/>
        </w:rPr>
        <w:t xml:space="preserve">; </w:t>
      </w:r>
      <w:r w:rsidRPr="00716CDF">
        <w:rPr>
          <w:szCs w:val="26"/>
        </w:rPr>
        <w:t xml:space="preserve">Advanced Energy Management </w:t>
      </w:r>
      <w:r>
        <w:rPr>
          <w:szCs w:val="26"/>
        </w:rPr>
        <w:t>Comments (RM16-23) at</w:t>
      </w:r>
      <w:r w:rsidRPr="00716CDF">
        <w:rPr>
          <w:szCs w:val="26"/>
        </w:rPr>
        <w:t xml:space="preserve"> 24.</w:t>
      </w:r>
    </w:p>
  </w:footnote>
  <w:footnote w:id="481">
    <w:p w:rsidRPr="004656B5" w:rsidR="00FB7F86" w:rsidP="00341AEA" w:rsidRDefault="00FB7F86" w14:paraId="11635211" w14:textId="77777777">
      <w:pPr>
        <w:pStyle w:val="FootnoteText"/>
        <w:rPr>
          <w:szCs w:val="26"/>
        </w:rPr>
      </w:pPr>
      <w:r w:rsidRPr="004656B5">
        <w:rPr>
          <w:rStyle w:val="FootnoteReference"/>
        </w:rPr>
        <w:footnoteRef/>
      </w:r>
      <w:r w:rsidRPr="004656B5">
        <w:rPr>
          <w:szCs w:val="26"/>
        </w:rPr>
        <w:t xml:space="preserve"> Advanced Energy Economy </w:t>
      </w:r>
      <w:r>
        <w:rPr>
          <w:szCs w:val="26"/>
        </w:rPr>
        <w:t>Comments (2018 RM18-9)</w:t>
      </w:r>
      <w:r w:rsidRPr="004656B5">
        <w:rPr>
          <w:szCs w:val="26"/>
        </w:rPr>
        <w:t xml:space="preserve"> at 22</w:t>
      </w:r>
      <w:r>
        <w:rPr>
          <w:szCs w:val="26"/>
        </w:rPr>
        <w:t xml:space="preserve">; </w:t>
      </w:r>
      <w:r w:rsidRPr="00022301">
        <w:rPr>
          <w:szCs w:val="26"/>
        </w:rPr>
        <w:t xml:space="preserve">CAISO </w:t>
      </w:r>
      <w:r>
        <w:rPr>
          <w:szCs w:val="26"/>
        </w:rPr>
        <w:t>Comments (2018 RM18-9</w:t>
      </w:r>
      <w:r w:rsidRPr="00022301">
        <w:rPr>
          <w:szCs w:val="26"/>
        </w:rPr>
        <w:t xml:space="preserve">) at </w:t>
      </w:r>
      <w:r>
        <w:rPr>
          <w:szCs w:val="26"/>
        </w:rPr>
        <w:t>10-</w:t>
      </w:r>
      <w:r w:rsidRPr="00022301">
        <w:rPr>
          <w:szCs w:val="26"/>
        </w:rPr>
        <w:t>11</w:t>
      </w:r>
      <w:r w:rsidRPr="004656B5">
        <w:rPr>
          <w:szCs w:val="26"/>
        </w:rPr>
        <w:t>.</w:t>
      </w:r>
    </w:p>
  </w:footnote>
  <w:footnote w:id="482">
    <w:p w:rsidR="00FB7F86" w:rsidP="00341AEA" w:rsidRDefault="00FB7F86" w14:paraId="63613E5E" w14:textId="77777777">
      <w:pPr>
        <w:pStyle w:val="FootnoteText"/>
      </w:pPr>
      <w:r>
        <w:rPr>
          <w:rStyle w:val="FootnoteReference"/>
        </w:rPr>
        <w:footnoteRef/>
      </w:r>
      <w:r>
        <w:t xml:space="preserve"> </w:t>
      </w:r>
      <w:r w:rsidRPr="004656B5">
        <w:rPr>
          <w:szCs w:val="26"/>
        </w:rPr>
        <w:t xml:space="preserve">Advanced Energy Economy </w:t>
      </w:r>
      <w:r>
        <w:rPr>
          <w:szCs w:val="26"/>
        </w:rPr>
        <w:t>Comments (2018 RM18-9</w:t>
      </w:r>
      <w:r w:rsidRPr="004656B5">
        <w:rPr>
          <w:szCs w:val="26"/>
        </w:rPr>
        <w:t>) at 22</w:t>
      </w:r>
      <w:r>
        <w:rPr>
          <w:szCs w:val="26"/>
        </w:rPr>
        <w:t xml:space="preserve">; </w:t>
      </w:r>
      <w:r w:rsidRPr="004656B5">
        <w:rPr>
          <w:szCs w:val="26"/>
        </w:rPr>
        <w:t xml:space="preserve">Advanced Energy Management </w:t>
      </w:r>
      <w:r>
        <w:rPr>
          <w:szCs w:val="26"/>
        </w:rPr>
        <w:t>Comments (2018 RM18-9</w:t>
      </w:r>
      <w:r w:rsidRPr="004656B5">
        <w:rPr>
          <w:szCs w:val="26"/>
        </w:rPr>
        <w:t>) at 5-6</w:t>
      </w:r>
      <w:r>
        <w:rPr>
          <w:szCs w:val="26"/>
        </w:rPr>
        <w:t xml:space="preserve">; </w:t>
      </w:r>
      <w:r w:rsidRPr="004656B5">
        <w:rPr>
          <w:szCs w:val="26"/>
        </w:rPr>
        <w:t xml:space="preserve">Direct Energy </w:t>
      </w:r>
      <w:r>
        <w:rPr>
          <w:szCs w:val="26"/>
        </w:rPr>
        <w:t>Comments (2018 RM18-9</w:t>
      </w:r>
      <w:r w:rsidRPr="004656B5">
        <w:rPr>
          <w:szCs w:val="26"/>
        </w:rPr>
        <w:t>) at 6 (citing Technical Conference Transcript at 17, 18, 53)</w:t>
      </w:r>
      <w:r>
        <w:rPr>
          <w:szCs w:val="26"/>
        </w:rPr>
        <w:t xml:space="preserve">; </w:t>
      </w:r>
      <w:r w:rsidRPr="004656B5">
        <w:rPr>
          <w:szCs w:val="26"/>
        </w:rPr>
        <w:t xml:space="preserve">Sunrun </w:t>
      </w:r>
      <w:r>
        <w:rPr>
          <w:szCs w:val="26"/>
        </w:rPr>
        <w:t>Comments (2018 RM18-9</w:t>
      </w:r>
      <w:r w:rsidRPr="004656B5">
        <w:rPr>
          <w:szCs w:val="26"/>
        </w:rPr>
        <w:t>) at 14</w:t>
      </w:r>
      <w:r>
        <w:rPr>
          <w:szCs w:val="26"/>
        </w:rPr>
        <w:t>.</w:t>
      </w:r>
    </w:p>
  </w:footnote>
  <w:footnote w:id="483">
    <w:p w:rsidR="00FB7F86" w:rsidP="00341AEA" w:rsidRDefault="00FB7F86" w14:paraId="1BA0FB1D" w14:textId="4F3B60E0">
      <w:pPr>
        <w:pStyle w:val="FootnoteText"/>
      </w:pPr>
      <w:r>
        <w:rPr>
          <w:rStyle w:val="FootnoteReference"/>
        </w:rPr>
        <w:footnoteRef/>
      </w:r>
      <w:r>
        <w:t xml:space="preserve"> </w:t>
      </w:r>
      <w:r>
        <w:rPr>
          <w:i/>
          <w:iCs/>
        </w:rPr>
        <w:t>See, e.g.</w:t>
      </w:r>
      <w:r w:rsidRPr="002C0479">
        <w:t>,</w:t>
      </w:r>
      <w:r>
        <w:rPr>
          <w:i/>
          <w:iCs/>
        </w:rPr>
        <w:t xml:space="preserve"> </w:t>
      </w:r>
      <w:r w:rsidRPr="004656B5">
        <w:rPr>
          <w:szCs w:val="26"/>
        </w:rPr>
        <w:t xml:space="preserve">Advanced Energy Economy </w:t>
      </w:r>
      <w:r>
        <w:rPr>
          <w:szCs w:val="26"/>
        </w:rPr>
        <w:t>Comments (2018 RM18-9</w:t>
      </w:r>
      <w:r w:rsidRPr="004656B5">
        <w:rPr>
          <w:szCs w:val="26"/>
        </w:rPr>
        <w:t>) at 22</w:t>
      </w:r>
      <w:r>
        <w:rPr>
          <w:szCs w:val="26"/>
        </w:rPr>
        <w:t xml:space="preserve">; </w:t>
      </w:r>
      <w:r w:rsidRPr="004656B5">
        <w:rPr>
          <w:szCs w:val="26"/>
        </w:rPr>
        <w:t xml:space="preserve">Advanced Energy Management </w:t>
      </w:r>
      <w:r>
        <w:rPr>
          <w:szCs w:val="26"/>
        </w:rPr>
        <w:t>Comments (2018 RM18-9</w:t>
      </w:r>
      <w:r w:rsidRPr="004656B5">
        <w:rPr>
          <w:szCs w:val="26"/>
        </w:rPr>
        <w:t>) at 6 (citing ISO</w:t>
      </w:r>
      <w:r>
        <w:rPr>
          <w:szCs w:val="26"/>
        </w:rPr>
        <w:t>-NE</w:t>
      </w:r>
      <w:r w:rsidRPr="004656B5">
        <w:rPr>
          <w:szCs w:val="26"/>
        </w:rPr>
        <w:t xml:space="preserve"> Comments, Docket No. AD16-20-000 (filed Feb</w:t>
      </w:r>
      <w:r>
        <w:rPr>
          <w:szCs w:val="26"/>
        </w:rPr>
        <w:t>.</w:t>
      </w:r>
      <w:r w:rsidRPr="004656B5">
        <w:rPr>
          <w:szCs w:val="26"/>
        </w:rPr>
        <w:t xml:space="preserve"> 13, 2017)</w:t>
      </w:r>
      <w:r w:rsidDel="001F2780">
        <w:rPr>
          <w:szCs w:val="26"/>
        </w:rPr>
        <w:t xml:space="preserve"> (</w:t>
      </w:r>
      <w:r w:rsidRPr="004656B5" w:rsidDel="001F2780">
        <w:rPr>
          <w:szCs w:val="26"/>
        </w:rPr>
        <w:t>“ISO-NE explains</w:t>
      </w:r>
      <w:r w:rsidDel="001F2780">
        <w:rPr>
          <w:szCs w:val="26"/>
        </w:rPr>
        <w:t xml:space="preserve"> </w:t>
      </w:r>
      <w:r w:rsidRPr="004656B5" w:rsidDel="001F2780">
        <w:rPr>
          <w:szCs w:val="26"/>
        </w:rPr>
        <w:t xml:space="preserve">that, for the capacity market, demand resources may consist of an aggregation of multiple end-use customers, though they must be at least 100 kW and located within a dispatch zone or load zone as required under the participation model through which they are participating. </w:t>
      </w:r>
      <w:r w:rsidDel="001F2780">
        <w:rPr>
          <w:szCs w:val="26"/>
        </w:rPr>
        <w:t xml:space="preserve"> </w:t>
      </w:r>
      <w:r w:rsidRPr="004656B5" w:rsidDel="001F2780">
        <w:rPr>
          <w:szCs w:val="26"/>
        </w:rPr>
        <w:t>ISO-NE further explains that for the energy and reserve markets, demand response resources may also be aggregated as long as they are individually at least 10 kW, have an expected maximum interruptible capacity of 5 MW or less, and are located within a dispatch zone and reserve zone.”)</w:t>
      </w:r>
      <w:r>
        <w:rPr>
          <w:szCs w:val="26"/>
        </w:rPr>
        <w:t xml:space="preserve">); </w:t>
      </w:r>
      <w:r w:rsidRPr="00022301">
        <w:rPr>
          <w:szCs w:val="26"/>
        </w:rPr>
        <w:t>CAISO</w:t>
      </w:r>
      <w:r w:rsidRPr="004656B5">
        <w:rPr>
          <w:szCs w:val="26"/>
        </w:rPr>
        <w:t xml:space="preserve"> </w:t>
      </w:r>
      <w:r>
        <w:rPr>
          <w:szCs w:val="26"/>
        </w:rPr>
        <w:t>Comments (2018 RM18-9</w:t>
      </w:r>
      <w:r w:rsidRPr="004656B5">
        <w:rPr>
          <w:szCs w:val="26"/>
        </w:rPr>
        <w:t xml:space="preserve">) at </w:t>
      </w:r>
      <w:r w:rsidRPr="00022301">
        <w:rPr>
          <w:szCs w:val="26"/>
        </w:rPr>
        <w:t>10</w:t>
      </w:r>
      <w:r>
        <w:rPr>
          <w:szCs w:val="26"/>
        </w:rPr>
        <w:t xml:space="preserve">, 12-13; </w:t>
      </w:r>
      <w:r w:rsidRPr="004656B5">
        <w:rPr>
          <w:szCs w:val="26"/>
        </w:rPr>
        <w:t xml:space="preserve">Lorenzo Kristov </w:t>
      </w:r>
      <w:r>
        <w:rPr>
          <w:szCs w:val="26"/>
        </w:rPr>
        <w:t>Comments (2018 RM18-9)</w:t>
      </w:r>
      <w:r w:rsidRPr="004656B5">
        <w:rPr>
          <w:szCs w:val="26"/>
        </w:rPr>
        <w:t xml:space="preserve"> at 14</w:t>
      </w:r>
      <w:r>
        <w:rPr>
          <w:szCs w:val="26"/>
        </w:rPr>
        <w:t>; PJM Market Monitor Comments (2018 RM18-9) at 7-8</w:t>
      </w:r>
      <w:r w:rsidRPr="00022301">
        <w:rPr>
          <w:szCs w:val="26"/>
        </w:rPr>
        <w:t>.</w:t>
      </w:r>
    </w:p>
  </w:footnote>
  <w:footnote w:id="484">
    <w:p w:rsidR="00FB7F86" w:rsidP="00341AEA" w:rsidRDefault="00FB7F86" w14:paraId="09CE4F52" w14:textId="77777777">
      <w:pPr>
        <w:pStyle w:val="FootnoteText"/>
      </w:pPr>
      <w:r>
        <w:rPr>
          <w:rStyle w:val="FootnoteReference"/>
        </w:rPr>
        <w:footnoteRef/>
      </w:r>
      <w:r>
        <w:t xml:space="preserve"> Organization of MISO States Comments (2018 RM18-9) at 2 (citing </w:t>
      </w:r>
      <w:r w:rsidRPr="00034C4C">
        <w:t>Midcontinent Independent System Operator, Open Access Transmission, Energy, and Operating Reserve Markets Tari</w:t>
      </w:r>
      <w:r>
        <w:t>ff, Module E-1, Section 69A.3.5).</w:t>
      </w:r>
    </w:p>
  </w:footnote>
  <w:footnote w:id="485">
    <w:p w:rsidRPr="00094ED5" w:rsidR="00FB7F86" w:rsidP="00341AEA" w:rsidRDefault="00FB7F86" w14:paraId="4AC5B0B7" w14:textId="77777777">
      <w:pPr>
        <w:pStyle w:val="FootnoteText"/>
        <w:rPr>
          <w:szCs w:val="26"/>
        </w:rPr>
      </w:pPr>
      <w:r w:rsidRPr="00094ED5">
        <w:rPr>
          <w:rStyle w:val="FootnoteReference"/>
          <w:szCs w:val="26"/>
        </w:rPr>
        <w:footnoteRef/>
      </w:r>
      <w:r w:rsidRPr="00094ED5">
        <w:rPr>
          <w:szCs w:val="26"/>
        </w:rPr>
        <w:t xml:space="preserve"> PJM </w:t>
      </w:r>
      <w:r>
        <w:rPr>
          <w:szCs w:val="26"/>
        </w:rPr>
        <w:t>Comments (RM16-23) at</w:t>
      </w:r>
      <w:r w:rsidRPr="00094ED5">
        <w:rPr>
          <w:szCs w:val="26"/>
        </w:rPr>
        <w:t xml:space="preserve"> 28.</w:t>
      </w:r>
    </w:p>
  </w:footnote>
  <w:footnote w:id="486">
    <w:p w:rsidRPr="00094ED5" w:rsidR="00FB7F86" w:rsidP="00341AEA" w:rsidRDefault="00FB7F86" w14:paraId="1D19319A" w14:textId="77777777">
      <w:pPr>
        <w:pStyle w:val="FootnoteText"/>
        <w:rPr>
          <w:szCs w:val="26"/>
        </w:rPr>
      </w:pPr>
      <w:r w:rsidRPr="00094ED5">
        <w:rPr>
          <w:rStyle w:val="FootnoteReference"/>
          <w:szCs w:val="26"/>
        </w:rPr>
        <w:footnoteRef/>
      </w:r>
      <w:r w:rsidRPr="00094ED5">
        <w:rPr>
          <w:szCs w:val="26"/>
        </w:rPr>
        <w:t xml:space="preserve"> Xcel Energy Services </w:t>
      </w:r>
      <w:r>
        <w:rPr>
          <w:szCs w:val="26"/>
        </w:rPr>
        <w:t>Comments (RM16-23) at</w:t>
      </w:r>
      <w:r w:rsidRPr="00094ED5">
        <w:rPr>
          <w:szCs w:val="26"/>
        </w:rPr>
        <w:t xml:space="preserve"> 25.</w:t>
      </w:r>
    </w:p>
  </w:footnote>
  <w:footnote w:id="487">
    <w:p w:rsidRPr="00094ED5" w:rsidR="00FB7F86" w:rsidP="00341AEA" w:rsidRDefault="00FB7F86" w14:paraId="6A90A19B" w14:textId="77777777">
      <w:pPr>
        <w:pStyle w:val="FootnoteText"/>
        <w:rPr>
          <w:szCs w:val="26"/>
        </w:rPr>
      </w:pPr>
      <w:r w:rsidRPr="00094ED5">
        <w:rPr>
          <w:rStyle w:val="FootnoteReference"/>
          <w:szCs w:val="26"/>
        </w:rPr>
        <w:footnoteRef/>
      </w:r>
      <w:r w:rsidRPr="00094ED5">
        <w:rPr>
          <w:szCs w:val="26"/>
        </w:rPr>
        <w:t xml:space="preserve"> Avangrid </w:t>
      </w:r>
      <w:r>
        <w:rPr>
          <w:szCs w:val="26"/>
        </w:rPr>
        <w:t>Comments (RM16-23) at</w:t>
      </w:r>
      <w:r w:rsidRPr="00094ED5">
        <w:rPr>
          <w:szCs w:val="26"/>
        </w:rPr>
        <w:t xml:space="preserve"> 12.</w:t>
      </w:r>
    </w:p>
  </w:footnote>
  <w:footnote w:id="488">
    <w:p w:rsidR="00FB7F86" w:rsidP="00341AEA" w:rsidRDefault="00FB7F86" w14:paraId="4994AE25" w14:textId="20BE4336">
      <w:pPr>
        <w:pStyle w:val="FootnoteText"/>
      </w:pPr>
      <w:r>
        <w:rPr>
          <w:rStyle w:val="FootnoteReference"/>
        </w:rPr>
        <w:footnoteRef/>
      </w:r>
      <w:r>
        <w:t xml:space="preserve"> </w:t>
      </w:r>
      <w:r w:rsidRPr="004656B5">
        <w:rPr>
          <w:szCs w:val="26"/>
        </w:rPr>
        <w:t xml:space="preserve">Advanced Energy Economy </w:t>
      </w:r>
      <w:r>
        <w:rPr>
          <w:szCs w:val="26"/>
        </w:rPr>
        <w:t>Comments (2018 RM18-9)</w:t>
      </w:r>
      <w:r w:rsidRPr="004656B5">
        <w:rPr>
          <w:szCs w:val="26"/>
        </w:rPr>
        <w:t xml:space="preserve"> at 22 (citing Technical Conference Transcript, Comments of Andrew Levitt, Senior Market Strategist, PJM Interconnection, L.L.C., at p. 20, lines 2-8, and P</w:t>
      </w:r>
      <w:r>
        <w:rPr>
          <w:szCs w:val="26"/>
        </w:rPr>
        <w:t> </w:t>
      </w:r>
      <w:r w:rsidRPr="004656B5">
        <w:rPr>
          <w:szCs w:val="26"/>
        </w:rPr>
        <w:t>49, lines 21-24 (noting the ability of economic dispatch engines to manage any constraints that may be caused by dispatching individual resources within an aggregation)</w:t>
      </w:r>
      <w:r>
        <w:rPr>
          <w:szCs w:val="26"/>
        </w:rPr>
        <w:t xml:space="preserve">); CAISO Comments (2018 RM18-9) at 5; </w:t>
      </w:r>
      <w:r w:rsidRPr="00CF5818">
        <w:rPr>
          <w:szCs w:val="26"/>
        </w:rPr>
        <w:t xml:space="preserve">Eversource Comments </w:t>
      </w:r>
      <w:r>
        <w:rPr>
          <w:szCs w:val="26"/>
        </w:rPr>
        <w:t xml:space="preserve">(2018 RM18-9) </w:t>
      </w:r>
      <w:r w:rsidRPr="00CF5818">
        <w:rPr>
          <w:szCs w:val="26"/>
        </w:rPr>
        <w:t>at 13</w:t>
      </w:r>
      <w:r>
        <w:rPr>
          <w:szCs w:val="26"/>
        </w:rPr>
        <w:t>;</w:t>
      </w:r>
      <w:r w:rsidRPr="00F961E2">
        <w:t xml:space="preserve"> </w:t>
      </w:r>
      <w:r>
        <w:t>PJM Comments (2018 RM18-9) at 5, 11-12; SEIA Comments (2018 RM18-9) at 14.</w:t>
      </w:r>
    </w:p>
  </w:footnote>
  <w:footnote w:id="489">
    <w:p w:rsidRPr="00716CDF" w:rsidR="00FB7F86" w:rsidP="004220E9" w:rsidRDefault="00FB7F86" w14:paraId="29F0C133" w14:textId="77777777">
      <w:pPr>
        <w:pStyle w:val="FootnoteText"/>
        <w:rPr>
          <w:szCs w:val="26"/>
        </w:rPr>
      </w:pPr>
      <w:r w:rsidRPr="00716CDF">
        <w:rPr>
          <w:rStyle w:val="FootnoteReference"/>
          <w:szCs w:val="26"/>
        </w:rPr>
        <w:footnoteRef/>
      </w:r>
      <w:r w:rsidRPr="00716CDF">
        <w:rPr>
          <w:szCs w:val="26"/>
        </w:rPr>
        <w:t xml:space="preserve"> Tesla/SolarCity </w:t>
      </w:r>
      <w:r>
        <w:rPr>
          <w:szCs w:val="26"/>
        </w:rPr>
        <w:t>Comments (RM16-23) at</w:t>
      </w:r>
      <w:r w:rsidRPr="00716CDF">
        <w:rPr>
          <w:szCs w:val="26"/>
        </w:rPr>
        <w:t xml:space="preserve"> 26.</w:t>
      </w:r>
    </w:p>
  </w:footnote>
  <w:footnote w:id="490">
    <w:p w:rsidR="00FB7F86" w:rsidP="004220E9" w:rsidRDefault="00FB7F86" w14:paraId="1430918E" w14:textId="10E99F83">
      <w:pPr>
        <w:pStyle w:val="FootnoteText"/>
      </w:pPr>
      <w:r>
        <w:rPr>
          <w:rStyle w:val="FootnoteReference"/>
        </w:rPr>
        <w:footnoteRef/>
      </w:r>
      <w:r>
        <w:t xml:space="preserve"> </w:t>
      </w:r>
      <w:r w:rsidRPr="00877762">
        <w:rPr>
          <w:i/>
        </w:rPr>
        <w:t>See</w:t>
      </w:r>
      <w:r>
        <w:rPr>
          <w:i/>
        </w:rPr>
        <w:t>, e.g.</w:t>
      </w:r>
      <w:r w:rsidRPr="00576C32">
        <w:t>,</w:t>
      </w:r>
      <w:r>
        <w:t xml:space="preserve"> EPRI Comments (2018 RM18-9) at 7-8; </w:t>
      </w:r>
      <w:r w:rsidRPr="004656B5">
        <w:rPr>
          <w:szCs w:val="26"/>
        </w:rPr>
        <w:t xml:space="preserve">Lorenzo Kristov </w:t>
      </w:r>
      <w:r>
        <w:rPr>
          <w:szCs w:val="26"/>
        </w:rPr>
        <w:t>Comments (2018 RM18-9</w:t>
      </w:r>
      <w:r>
        <w:t xml:space="preserve">) </w:t>
      </w:r>
      <w:r w:rsidRPr="004656B5">
        <w:rPr>
          <w:szCs w:val="26"/>
        </w:rPr>
        <w:t>at 14</w:t>
      </w:r>
      <w:r>
        <w:rPr>
          <w:szCs w:val="26"/>
        </w:rPr>
        <w:t xml:space="preserve">; </w:t>
      </w:r>
      <w:r>
        <w:t>Organization of MISO States Comments (2018 RM18-9) at 2; PJM Comments (2018 RM18-9) at 12.</w:t>
      </w:r>
    </w:p>
  </w:footnote>
  <w:footnote w:id="491">
    <w:p w:rsidR="00FB7F86" w:rsidP="004220E9" w:rsidRDefault="00FB7F86" w14:paraId="264CA7C4" w14:textId="77777777">
      <w:pPr>
        <w:pStyle w:val="FootnoteText"/>
      </w:pPr>
      <w:r>
        <w:rPr>
          <w:rStyle w:val="FootnoteReference"/>
        </w:rPr>
        <w:footnoteRef/>
      </w:r>
      <w:r>
        <w:t xml:space="preserve"> Organization of MISO States Comments (2018 RM18-9) at 2.</w:t>
      </w:r>
    </w:p>
  </w:footnote>
  <w:footnote w:id="492">
    <w:p w:rsidRPr="004656B5" w:rsidR="00FB7F86" w:rsidP="004220E9" w:rsidRDefault="00FB7F86" w14:paraId="65CCC000" w14:textId="77777777">
      <w:pPr>
        <w:pStyle w:val="FootnoteText"/>
        <w:rPr>
          <w:szCs w:val="26"/>
        </w:rPr>
      </w:pPr>
      <w:r w:rsidRPr="004656B5">
        <w:rPr>
          <w:rStyle w:val="FootnoteReference"/>
        </w:rPr>
        <w:footnoteRef/>
      </w:r>
      <w:r w:rsidRPr="004656B5">
        <w:rPr>
          <w:szCs w:val="26"/>
        </w:rPr>
        <w:t xml:space="preserve"> Lorenzo Kristov </w:t>
      </w:r>
      <w:r>
        <w:rPr>
          <w:szCs w:val="26"/>
        </w:rPr>
        <w:t>Comments (2018 RM18-9</w:t>
      </w:r>
      <w:r>
        <w:t xml:space="preserve">) </w:t>
      </w:r>
      <w:r w:rsidRPr="004656B5">
        <w:rPr>
          <w:szCs w:val="26"/>
        </w:rPr>
        <w:t>at 14.</w:t>
      </w:r>
    </w:p>
  </w:footnote>
  <w:footnote w:id="493">
    <w:p w:rsidR="00FB7F86" w:rsidP="004220E9" w:rsidRDefault="00FB7F86" w14:paraId="7AEEA9DF" w14:textId="77777777">
      <w:pPr>
        <w:pStyle w:val="FootnoteText"/>
      </w:pPr>
      <w:r>
        <w:rPr>
          <w:rStyle w:val="FootnoteReference"/>
        </w:rPr>
        <w:footnoteRef/>
      </w:r>
      <w:r>
        <w:t xml:space="preserve"> SEIA Comments (2018 RM18-9) at 14.</w:t>
      </w:r>
    </w:p>
  </w:footnote>
  <w:footnote w:id="494">
    <w:p w:rsidR="00FB7F86" w:rsidP="00740D12" w:rsidRDefault="00FB7F86" w14:paraId="1EA9594F" w14:textId="20474F76">
      <w:pPr>
        <w:pStyle w:val="FootnoteText"/>
      </w:pPr>
      <w:r>
        <w:rPr>
          <w:rStyle w:val="FootnoteReference"/>
        </w:rPr>
        <w:footnoteRef/>
      </w:r>
      <w:r>
        <w:t xml:space="preserve"> </w:t>
      </w:r>
      <w:r w:rsidRPr="00716CDF">
        <w:rPr>
          <w:szCs w:val="26"/>
        </w:rPr>
        <w:t xml:space="preserve">ISO-NE Comments </w:t>
      </w:r>
      <w:r>
        <w:rPr>
          <w:szCs w:val="26"/>
        </w:rPr>
        <w:t xml:space="preserve">(RM16-23) </w:t>
      </w:r>
      <w:r w:rsidRPr="00716CDF">
        <w:rPr>
          <w:szCs w:val="26"/>
        </w:rPr>
        <w:t xml:space="preserve">at </w:t>
      </w:r>
      <w:r>
        <w:rPr>
          <w:szCs w:val="26"/>
        </w:rPr>
        <w:t>37-</w:t>
      </w:r>
      <w:r w:rsidRPr="00716CDF">
        <w:rPr>
          <w:szCs w:val="26"/>
        </w:rPr>
        <w:t>40</w:t>
      </w:r>
      <w:r>
        <w:rPr>
          <w:szCs w:val="26"/>
        </w:rPr>
        <w:t xml:space="preserve">; </w:t>
      </w:r>
      <w:r>
        <w:t xml:space="preserve">NYISO Comments (RM16-23) at 17; </w:t>
      </w:r>
      <w:r w:rsidRPr="00716CDF">
        <w:rPr>
          <w:color w:val="000000"/>
          <w:szCs w:val="26"/>
        </w:rPr>
        <w:t xml:space="preserve">NYISO Indicated Transmission Owners </w:t>
      </w:r>
      <w:r>
        <w:rPr>
          <w:color w:val="000000"/>
          <w:szCs w:val="26"/>
        </w:rPr>
        <w:t>Comments (RM16-23) at</w:t>
      </w:r>
      <w:r w:rsidRPr="00716CDF">
        <w:rPr>
          <w:color w:val="000000"/>
          <w:szCs w:val="26"/>
        </w:rPr>
        <w:t xml:space="preserve"> </w:t>
      </w:r>
      <w:r>
        <w:rPr>
          <w:color w:val="000000"/>
          <w:szCs w:val="26"/>
        </w:rPr>
        <w:t>13-</w:t>
      </w:r>
      <w:r w:rsidRPr="00716CDF">
        <w:rPr>
          <w:color w:val="000000"/>
          <w:szCs w:val="26"/>
        </w:rPr>
        <w:t>14</w:t>
      </w:r>
      <w:r>
        <w:rPr>
          <w:color w:val="000000"/>
          <w:szCs w:val="26"/>
        </w:rPr>
        <w:t>;</w:t>
      </w:r>
      <w:r>
        <w:t xml:space="preserve"> </w:t>
      </w:r>
      <w:r w:rsidRPr="00716CDF">
        <w:rPr>
          <w:szCs w:val="26"/>
        </w:rPr>
        <w:t xml:space="preserve">PJM Market Monitor </w:t>
      </w:r>
      <w:r>
        <w:rPr>
          <w:szCs w:val="26"/>
        </w:rPr>
        <w:t>Comments (RM16-23) at</w:t>
      </w:r>
      <w:r w:rsidRPr="00716CDF">
        <w:rPr>
          <w:szCs w:val="26"/>
        </w:rPr>
        <w:t xml:space="preserve"> 13</w:t>
      </w:r>
      <w:r>
        <w:t>.</w:t>
      </w:r>
    </w:p>
  </w:footnote>
  <w:footnote w:id="495">
    <w:p w:rsidRPr="00AC20F1" w:rsidR="00FB7F86" w:rsidP="00740D12" w:rsidRDefault="00FB7F86" w14:paraId="61D3DFC6" w14:textId="4ED5CD94">
      <w:pPr>
        <w:pStyle w:val="FootnoteText"/>
        <w:rPr>
          <w:b/>
        </w:rPr>
      </w:pPr>
      <w:r>
        <w:rPr>
          <w:rStyle w:val="FootnoteReference"/>
        </w:rPr>
        <w:footnoteRef/>
      </w:r>
      <w:r>
        <w:t xml:space="preserve"> </w:t>
      </w:r>
      <w:r>
        <w:rPr>
          <w:i/>
          <w:iCs/>
        </w:rPr>
        <w:t>See, e.g.</w:t>
      </w:r>
      <w:r w:rsidRPr="00576C32">
        <w:t>,</w:t>
      </w:r>
      <w:r>
        <w:rPr>
          <w:i/>
          <w:iCs/>
        </w:rPr>
        <w:t xml:space="preserve"> </w:t>
      </w:r>
      <w:r w:rsidRPr="00716CDF">
        <w:rPr>
          <w:szCs w:val="26"/>
        </w:rPr>
        <w:t xml:space="preserve">American Petroleum Institute </w:t>
      </w:r>
      <w:r>
        <w:rPr>
          <w:szCs w:val="26"/>
        </w:rPr>
        <w:t>Comments (RM16-23) at</w:t>
      </w:r>
      <w:r w:rsidRPr="00716CDF">
        <w:rPr>
          <w:szCs w:val="26"/>
        </w:rPr>
        <w:t xml:space="preserve"> 10-11</w:t>
      </w:r>
      <w:r>
        <w:rPr>
          <w:szCs w:val="26"/>
        </w:rPr>
        <w:t xml:space="preserve">; </w:t>
      </w:r>
      <w:r w:rsidRPr="00716CDF">
        <w:rPr>
          <w:szCs w:val="26"/>
        </w:rPr>
        <w:t xml:space="preserve">Duke Energy </w:t>
      </w:r>
      <w:r>
        <w:rPr>
          <w:szCs w:val="26"/>
        </w:rPr>
        <w:t>Comments (RM16-23) at</w:t>
      </w:r>
      <w:r w:rsidRPr="00716CDF">
        <w:rPr>
          <w:szCs w:val="26"/>
        </w:rPr>
        <w:t xml:space="preserve"> </w:t>
      </w:r>
      <w:r>
        <w:rPr>
          <w:szCs w:val="26"/>
        </w:rPr>
        <w:t xml:space="preserve">3, </w:t>
      </w:r>
      <w:r w:rsidRPr="00716CDF">
        <w:rPr>
          <w:szCs w:val="26"/>
        </w:rPr>
        <w:t>5</w:t>
      </w:r>
      <w:r>
        <w:rPr>
          <w:szCs w:val="26"/>
        </w:rPr>
        <w:t xml:space="preserve">-6; </w:t>
      </w:r>
      <w:r w:rsidRPr="00716CDF">
        <w:rPr>
          <w:szCs w:val="26"/>
        </w:rPr>
        <w:t xml:space="preserve">EEI </w:t>
      </w:r>
      <w:r>
        <w:rPr>
          <w:szCs w:val="26"/>
        </w:rPr>
        <w:t>Comments (RM16-23) at</w:t>
      </w:r>
      <w:r w:rsidRPr="00716CDF">
        <w:rPr>
          <w:szCs w:val="26"/>
        </w:rPr>
        <w:t xml:space="preserve"> 28</w:t>
      </w:r>
      <w:r>
        <w:rPr>
          <w:szCs w:val="26"/>
        </w:rPr>
        <w:t xml:space="preserve">-29; </w:t>
      </w:r>
      <w:r w:rsidRPr="00716CDF">
        <w:rPr>
          <w:szCs w:val="26"/>
        </w:rPr>
        <w:t xml:space="preserve">Institute for Policy Integrity </w:t>
      </w:r>
      <w:r>
        <w:rPr>
          <w:szCs w:val="26"/>
        </w:rPr>
        <w:t>Comments (RM16-23) at</w:t>
      </w:r>
      <w:r w:rsidRPr="00716CDF">
        <w:rPr>
          <w:szCs w:val="26"/>
        </w:rPr>
        <w:t xml:space="preserve"> 9</w:t>
      </w:r>
      <w:r>
        <w:rPr>
          <w:szCs w:val="26"/>
        </w:rPr>
        <w:t xml:space="preserve">; </w:t>
      </w:r>
      <w:r w:rsidRPr="00716CDF">
        <w:rPr>
          <w:szCs w:val="26"/>
        </w:rPr>
        <w:t xml:space="preserve">Pacific Gas &amp; Electric </w:t>
      </w:r>
      <w:r>
        <w:rPr>
          <w:szCs w:val="26"/>
        </w:rPr>
        <w:t>Comments (RM16-23) at</w:t>
      </w:r>
      <w:r w:rsidRPr="00716CDF">
        <w:rPr>
          <w:szCs w:val="26"/>
        </w:rPr>
        <w:t xml:space="preserve"> 18</w:t>
      </w:r>
      <w:r>
        <w:rPr>
          <w:szCs w:val="26"/>
        </w:rPr>
        <w:t>-19.</w:t>
      </w:r>
    </w:p>
  </w:footnote>
  <w:footnote w:id="496">
    <w:p w:rsidRPr="00716CDF" w:rsidR="00FB7F86" w:rsidP="00740D12" w:rsidRDefault="00FB7F86" w14:paraId="66B94F54" w14:textId="1D55CBC3">
      <w:pPr>
        <w:pStyle w:val="FootnoteText"/>
        <w:rPr>
          <w:szCs w:val="26"/>
        </w:rPr>
      </w:pPr>
      <w:r w:rsidRPr="00716CDF">
        <w:rPr>
          <w:rStyle w:val="FootnoteReference"/>
          <w:szCs w:val="26"/>
        </w:rPr>
        <w:footnoteRef/>
      </w:r>
      <w:r w:rsidRPr="00716CDF">
        <w:rPr>
          <w:szCs w:val="26"/>
        </w:rPr>
        <w:t xml:space="preserve"> </w:t>
      </w:r>
      <w:r>
        <w:rPr>
          <w:i/>
          <w:iCs/>
          <w:szCs w:val="26"/>
        </w:rPr>
        <w:t>See, e.g.</w:t>
      </w:r>
      <w:r w:rsidRPr="00576C32">
        <w:rPr>
          <w:szCs w:val="26"/>
        </w:rPr>
        <w:t>,</w:t>
      </w:r>
      <w:r>
        <w:rPr>
          <w:i/>
          <w:iCs/>
          <w:szCs w:val="26"/>
        </w:rPr>
        <w:t xml:space="preserve"> </w:t>
      </w:r>
      <w:r w:rsidRPr="00716CDF">
        <w:rPr>
          <w:szCs w:val="26"/>
        </w:rPr>
        <w:t xml:space="preserve">CAISO </w:t>
      </w:r>
      <w:r>
        <w:rPr>
          <w:szCs w:val="26"/>
        </w:rPr>
        <w:t>Comments (RM16-23) at</w:t>
      </w:r>
      <w:r w:rsidRPr="00716CDF">
        <w:rPr>
          <w:szCs w:val="26"/>
        </w:rPr>
        <w:t xml:space="preserve"> 27</w:t>
      </w:r>
      <w:r>
        <w:rPr>
          <w:szCs w:val="26"/>
        </w:rPr>
        <w:t xml:space="preserve">; </w:t>
      </w:r>
      <w:r w:rsidRPr="00716CDF">
        <w:rPr>
          <w:szCs w:val="26"/>
        </w:rPr>
        <w:t xml:space="preserve">ISO-NE </w:t>
      </w:r>
      <w:r>
        <w:rPr>
          <w:szCs w:val="26"/>
        </w:rPr>
        <w:t>Comments (RM16-23) at</w:t>
      </w:r>
      <w:r w:rsidRPr="00716CDF">
        <w:rPr>
          <w:szCs w:val="26"/>
        </w:rPr>
        <w:t xml:space="preserve"> 37; MISO </w:t>
      </w:r>
      <w:r>
        <w:rPr>
          <w:szCs w:val="26"/>
        </w:rPr>
        <w:t>Comments (RM16-23) at</w:t>
      </w:r>
      <w:r w:rsidRPr="00716CDF">
        <w:rPr>
          <w:szCs w:val="26"/>
        </w:rPr>
        <w:t xml:space="preserve"> 21-22;</w:t>
      </w:r>
      <w:r w:rsidRPr="001F3CC8">
        <w:rPr>
          <w:szCs w:val="26"/>
        </w:rPr>
        <w:t xml:space="preserve"> </w:t>
      </w:r>
      <w:r w:rsidRPr="004656B5">
        <w:rPr>
          <w:szCs w:val="26"/>
        </w:rPr>
        <w:t xml:space="preserve">NYISO </w:t>
      </w:r>
      <w:r w:rsidRPr="00906C41">
        <w:rPr>
          <w:szCs w:val="26"/>
        </w:rPr>
        <w:t xml:space="preserve">Comments (2018 RM18-9) at 6, 16; </w:t>
      </w:r>
      <w:r w:rsidRPr="00716CDF">
        <w:rPr>
          <w:szCs w:val="26"/>
        </w:rPr>
        <w:t xml:space="preserve">SPP </w:t>
      </w:r>
      <w:r>
        <w:rPr>
          <w:szCs w:val="26"/>
        </w:rPr>
        <w:t>Comments (RM16-23) at</w:t>
      </w:r>
      <w:r w:rsidRPr="00716CDF">
        <w:rPr>
          <w:szCs w:val="26"/>
        </w:rPr>
        <w:t xml:space="preserve"> 17</w:t>
      </w:r>
      <w:r>
        <w:rPr>
          <w:szCs w:val="26"/>
        </w:rPr>
        <w:t>-19</w:t>
      </w:r>
      <w:r>
        <w:t>.</w:t>
      </w:r>
    </w:p>
  </w:footnote>
  <w:footnote w:id="497">
    <w:p w:rsidRPr="00A50DBE" w:rsidR="00FB7F86" w:rsidP="00C36920" w:rsidRDefault="00FB7F86" w14:paraId="4B9A7BB6" w14:textId="77777777">
      <w:pPr>
        <w:pStyle w:val="FootnoteText"/>
        <w:rPr>
          <w:szCs w:val="26"/>
        </w:rPr>
      </w:pPr>
      <w:r w:rsidRPr="00A50DBE">
        <w:rPr>
          <w:rStyle w:val="FootnoteReference"/>
          <w:szCs w:val="26"/>
        </w:rPr>
        <w:footnoteRef/>
      </w:r>
      <w:r w:rsidRPr="00A50DBE">
        <w:rPr>
          <w:szCs w:val="26"/>
        </w:rPr>
        <w:t xml:space="preserve"> PJM Market Monitor </w:t>
      </w:r>
      <w:r>
        <w:rPr>
          <w:szCs w:val="26"/>
        </w:rPr>
        <w:t>Comments (2018 RM18-9)</w:t>
      </w:r>
      <w:r w:rsidRPr="00A50DBE">
        <w:rPr>
          <w:szCs w:val="26"/>
        </w:rPr>
        <w:t xml:space="preserve"> at 12.</w:t>
      </w:r>
    </w:p>
  </w:footnote>
  <w:footnote w:id="498">
    <w:p w:rsidRPr="00022301" w:rsidR="00FB7F86" w:rsidP="00740D12" w:rsidRDefault="00FB7F86" w14:paraId="6E254119" w14:textId="5CBAD341">
      <w:pPr>
        <w:pStyle w:val="FootnoteText"/>
        <w:rPr>
          <w:szCs w:val="26"/>
        </w:rPr>
      </w:pPr>
      <w:r w:rsidRPr="00022301">
        <w:rPr>
          <w:rStyle w:val="FootnoteReference"/>
        </w:rPr>
        <w:footnoteRef/>
      </w:r>
      <w:r w:rsidRPr="00022301">
        <w:rPr>
          <w:szCs w:val="26"/>
        </w:rPr>
        <w:t xml:space="preserve"> </w:t>
      </w:r>
      <w:r>
        <w:rPr>
          <w:i/>
          <w:iCs/>
          <w:szCs w:val="26"/>
        </w:rPr>
        <w:t>Id.</w:t>
      </w:r>
      <w:r w:rsidRPr="00A50DBE">
        <w:rPr>
          <w:szCs w:val="26"/>
        </w:rPr>
        <w:t xml:space="preserve"> </w:t>
      </w:r>
      <w:r w:rsidRPr="00022301">
        <w:rPr>
          <w:szCs w:val="26"/>
        </w:rPr>
        <w:t>at 4.</w:t>
      </w:r>
    </w:p>
  </w:footnote>
  <w:footnote w:id="499">
    <w:p w:rsidRPr="00716CDF" w:rsidR="00FB7F86" w:rsidP="00740D12" w:rsidRDefault="00FB7F86" w14:paraId="263F5864" w14:textId="77777777">
      <w:pPr>
        <w:pStyle w:val="FootnoteText"/>
        <w:rPr>
          <w:szCs w:val="26"/>
        </w:rPr>
      </w:pPr>
      <w:r w:rsidRPr="00716CDF">
        <w:rPr>
          <w:rStyle w:val="FootnoteReference"/>
          <w:szCs w:val="26"/>
        </w:rPr>
        <w:footnoteRef/>
      </w:r>
      <w:r w:rsidRPr="00716CDF">
        <w:rPr>
          <w:szCs w:val="26"/>
        </w:rPr>
        <w:t xml:space="preserve"> </w:t>
      </w:r>
      <w:r w:rsidRPr="00716CDF">
        <w:rPr>
          <w:color w:val="000000"/>
          <w:szCs w:val="26"/>
        </w:rPr>
        <w:t xml:space="preserve">NYISO Indicated Transmission Owners </w:t>
      </w:r>
      <w:r>
        <w:rPr>
          <w:color w:val="000000"/>
          <w:szCs w:val="26"/>
        </w:rPr>
        <w:t>Comments (RM16-23) at</w:t>
      </w:r>
      <w:r w:rsidRPr="00716CDF">
        <w:rPr>
          <w:color w:val="000000"/>
          <w:szCs w:val="26"/>
        </w:rPr>
        <w:t xml:space="preserve"> </w:t>
      </w:r>
      <w:r>
        <w:rPr>
          <w:color w:val="000000"/>
          <w:szCs w:val="26"/>
        </w:rPr>
        <w:t>13-</w:t>
      </w:r>
      <w:r w:rsidRPr="00716CDF">
        <w:rPr>
          <w:color w:val="000000"/>
          <w:szCs w:val="26"/>
        </w:rPr>
        <w:t>14.</w:t>
      </w:r>
    </w:p>
  </w:footnote>
  <w:footnote w:id="500">
    <w:p w:rsidRPr="004656B5" w:rsidR="00FB7F86" w:rsidP="00740D12" w:rsidRDefault="00FB7F86" w14:paraId="672EB4FD" w14:textId="77777777">
      <w:pPr>
        <w:pStyle w:val="FootnoteText"/>
        <w:rPr>
          <w:szCs w:val="26"/>
        </w:rPr>
      </w:pPr>
      <w:r w:rsidRPr="004656B5">
        <w:rPr>
          <w:rStyle w:val="FootnoteReference"/>
        </w:rPr>
        <w:footnoteRef/>
      </w:r>
      <w:r w:rsidRPr="004656B5">
        <w:rPr>
          <w:szCs w:val="26"/>
        </w:rPr>
        <w:t xml:space="preserve"> EPSA </w:t>
      </w:r>
      <w:r>
        <w:rPr>
          <w:szCs w:val="26"/>
        </w:rPr>
        <w:t>Comments (2018 RM18-9)</w:t>
      </w:r>
      <w:r w:rsidRPr="004656B5">
        <w:rPr>
          <w:szCs w:val="26"/>
        </w:rPr>
        <w:t xml:space="preserve"> at 8</w:t>
      </w:r>
      <w:r>
        <w:rPr>
          <w:szCs w:val="26"/>
        </w:rPr>
        <w:t xml:space="preserve">-9; </w:t>
      </w:r>
      <w:r w:rsidRPr="004656B5">
        <w:rPr>
          <w:szCs w:val="26"/>
        </w:rPr>
        <w:t xml:space="preserve">PJM Market Monitor </w:t>
      </w:r>
      <w:r>
        <w:rPr>
          <w:szCs w:val="26"/>
        </w:rPr>
        <w:t>Comments (2018 RM18-9)</w:t>
      </w:r>
      <w:r w:rsidRPr="004656B5">
        <w:rPr>
          <w:szCs w:val="26"/>
        </w:rPr>
        <w:t xml:space="preserve"> at 2-3.</w:t>
      </w:r>
    </w:p>
  </w:footnote>
  <w:footnote w:id="501">
    <w:p w:rsidR="00FB7F86" w:rsidP="00740D12" w:rsidRDefault="00FB7F86" w14:paraId="05E244C0" w14:textId="77777777">
      <w:pPr>
        <w:pStyle w:val="FootnoteText"/>
      </w:pPr>
      <w:r>
        <w:rPr>
          <w:rStyle w:val="FootnoteReference"/>
        </w:rPr>
        <w:footnoteRef/>
      </w:r>
      <w:r>
        <w:t xml:space="preserve"> EPRI Comments (2018 RM18-9) at 6.</w:t>
      </w:r>
    </w:p>
  </w:footnote>
  <w:footnote w:id="502">
    <w:p w:rsidR="00FB7F86" w:rsidP="00740D12" w:rsidRDefault="00FB7F86" w14:paraId="5474305F" w14:textId="4BC45F9A">
      <w:pPr>
        <w:pStyle w:val="FootnoteText"/>
      </w:pPr>
      <w:r>
        <w:rPr>
          <w:rStyle w:val="FootnoteReference"/>
        </w:rPr>
        <w:footnoteRef/>
      </w:r>
      <w:r>
        <w:t xml:space="preserve"> </w:t>
      </w:r>
      <w:r w:rsidRPr="004656B5">
        <w:rPr>
          <w:szCs w:val="26"/>
        </w:rPr>
        <w:t xml:space="preserve">NYISO </w:t>
      </w:r>
      <w:r>
        <w:rPr>
          <w:szCs w:val="26"/>
        </w:rPr>
        <w:t>Comments (2018 RM18-9)</w:t>
      </w:r>
      <w:r w:rsidRPr="004656B5">
        <w:rPr>
          <w:szCs w:val="26"/>
        </w:rPr>
        <w:t xml:space="preserve"> at 6</w:t>
      </w:r>
      <w:r>
        <w:rPr>
          <w:szCs w:val="26"/>
        </w:rPr>
        <w:t>, 8.</w:t>
      </w:r>
    </w:p>
  </w:footnote>
  <w:footnote w:id="503">
    <w:p w:rsidR="00FB7F86" w:rsidP="00740D12" w:rsidRDefault="00FB7F86" w14:paraId="08709650" w14:textId="6C5A1E37">
      <w:pPr>
        <w:pStyle w:val="FootnoteText"/>
      </w:pPr>
      <w:r>
        <w:rPr>
          <w:rStyle w:val="FootnoteReference"/>
        </w:rPr>
        <w:footnoteRef/>
      </w:r>
      <w:r>
        <w:t xml:space="preserve"> </w:t>
      </w:r>
      <w:r w:rsidRPr="00022301">
        <w:rPr>
          <w:szCs w:val="26"/>
        </w:rPr>
        <w:t xml:space="preserve">CAISO </w:t>
      </w:r>
      <w:r>
        <w:rPr>
          <w:szCs w:val="26"/>
        </w:rPr>
        <w:t>Comments (2018 RM18-9</w:t>
      </w:r>
      <w:r w:rsidRPr="00022301">
        <w:rPr>
          <w:szCs w:val="26"/>
        </w:rPr>
        <w:t>) at 5-6</w:t>
      </w:r>
      <w:r>
        <w:rPr>
          <w:szCs w:val="26"/>
        </w:rPr>
        <w:t xml:space="preserve">; </w:t>
      </w:r>
      <w:r w:rsidRPr="00022301">
        <w:rPr>
          <w:szCs w:val="26"/>
        </w:rPr>
        <w:t xml:space="preserve">EPRI </w:t>
      </w:r>
      <w:r>
        <w:rPr>
          <w:szCs w:val="26"/>
        </w:rPr>
        <w:t>Comments (2018 RM18-9</w:t>
      </w:r>
      <w:r w:rsidRPr="00022301">
        <w:rPr>
          <w:szCs w:val="26"/>
        </w:rPr>
        <w:t>) at 3-4</w:t>
      </w:r>
      <w:r>
        <w:rPr>
          <w:szCs w:val="26"/>
        </w:rPr>
        <w:t xml:space="preserve">; </w:t>
      </w:r>
      <w:r w:rsidRPr="004656B5">
        <w:rPr>
          <w:szCs w:val="26"/>
        </w:rPr>
        <w:t xml:space="preserve">MISO </w:t>
      </w:r>
      <w:r>
        <w:rPr>
          <w:szCs w:val="26"/>
        </w:rPr>
        <w:t>Comments (2018 RM18-9)</w:t>
      </w:r>
      <w:r w:rsidRPr="004656B5">
        <w:rPr>
          <w:szCs w:val="26"/>
        </w:rPr>
        <w:t xml:space="preserve"> at 18</w:t>
      </w:r>
      <w:r>
        <w:rPr>
          <w:szCs w:val="26"/>
        </w:rPr>
        <w:t xml:space="preserve">; </w:t>
      </w:r>
      <w:r w:rsidRPr="004656B5">
        <w:rPr>
          <w:szCs w:val="26"/>
        </w:rPr>
        <w:t xml:space="preserve">NYISO </w:t>
      </w:r>
      <w:r>
        <w:rPr>
          <w:szCs w:val="26"/>
        </w:rPr>
        <w:t>Comments (2018 RM18-9)</w:t>
      </w:r>
      <w:r w:rsidRPr="004656B5">
        <w:rPr>
          <w:szCs w:val="26"/>
        </w:rPr>
        <w:t xml:space="preserve"> at 6</w:t>
      </w:r>
      <w:r>
        <w:rPr>
          <w:szCs w:val="26"/>
        </w:rPr>
        <w:t xml:space="preserve">; </w:t>
      </w:r>
      <w:r w:rsidRPr="004656B5">
        <w:rPr>
          <w:szCs w:val="26"/>
        </w:rPr>
        <w:t xml:space="preserve">PJM Market Monitor </w:t>
      </w:r>
      <w:r>
        <w:rPr>
          <w:szCs w:val="26"/>
        </w:rPr>
        <w:t>Comments (2018 RM18-9)</w:t>
      </w:r>
      <w:r w:rsidRPr="004656B5">
        <w:rPr>
          <w:szCs w:val="26"/>
        </w:rPr>
        <w:t xml:space="preserve"> at 3</w:t>
      </w:r>
      <w:r>
        <w:rPr>
          <w:szCs w:val="26"/>
        </w:rPr>
        <w:t>.</w:t>
      </w:r>
    </w:p>
  </w:footnote>
  <w:footnote w:id="504">
    <w:p w:rsidRPr="00094ED5" w:rsidR="00FB7F86" w:rsidP="00740D12" w:rsidRDefault="00FB7F86" w14:paraId="624340D2" w14:textId="30E6D8A2">
      <w:pPr>
        <w:pStyle w:val="FootnoteText"/>
      </w:pPr>
      <w:r w:rsidRPr="00094ED5">
        <w:rPr>
          <w:rStyle w:val="FootnoteReference"/>
          <w:szCs w:val="26"/>
        </w:rPr>
        <w:footnoteRef/>
      </w:r>
      <w:r w:rsidRPr="00094ED5">
        <w:t xml:space="preserve"> </w:t>
      </w:r>
      <w:r w:rsidRPr="00094ED5">
        <w:rPr>
          <w:i/>
        </w:rPr>
        <w:t>See</w:t>
      </w:r>
      <w:r>
        <w:rPr>
          <w:i/>
        </w:rPr>
        <w:t>, e.g.</w:t>
      </w:r>
      <w:r w:rsidRPr="00576C32">
        <w:t>,</w:t>
      </w:r>
      <w:r w:rsidRPr="00DE70CD">
        <w:t xml:space="preserve"> </w:t>
      </w:r>
      <w:r w:rsidRPr="00094ED5">
        <w:t xml:space="preserve">American Petroleum Institute </w:t>
      </w:r>
      <w:r>
        <w:t>Comments (RM16-23) at</w:t>
      </w:r>
      <w:r w:rsidRPr="00094ED5">
        <w:t xml:space="preserve"> 10-11;</w:t>
      </w:r>
      <w:r w:rsidRPr="002C5836">
        <w:t xml:space="preserve"> </w:t>
      </w:r>
      <w:r w:rsidRPr="00094ED5">
        <w:t xml:space="preserve">EEI </w:t>
      </w:r>
      <w:r>
        <w:t>Comments (RM16-23) at</w:t>
      </w:r>
      <w:r w:rsidRPr="00094ED5">
        <w:t xml:space="preserve"> 28 -30;</w:t>
      </w:r>
      <w:r w:rsidRPr="002C5836">
        <w:t xml:space="preserve"> </w:t>
      </w:r>
      <w:r>
        <w:t>I</w:t>
      </w:r>
      <w:r w:rsidRPr="00094ED5">
        <w:t xml:space="preserve">SO-NE </w:t>
      </w:r>
      <w:r>
        <w:t>Comments (RM16-23) at</w:t>
      </w:r>
      <w:r w:rsidRPr="00094ED5">
        <w:t xml:space="preserve"> 37-40; NYISO Indicated Transmission Owners at 16-17</w:t>
      </w:r>
      <w:r>
        <w:t xml:space="preserve">; </w:t>
      </w:r>
      <w:r w:rsidRPr="00094ED5">
        <w:t xml:space="preserve">PJM Market Monitor </w:t>
      </w:r>
      <w:r>
        <w:t>Comments (RM16-23) at</w:t>
      </w:r>
      <w:r w:rsidRPr="00094ED5">
        <w:t xml:space="preserve"> 13</w:t>
      </w:r>
      <w:r>
        <w:t>.</w:t>
      </w:r>
    </w:p>
  </w:footnote>
  <w:footnote w:id="505">
    <w:p w:rsidRPr="00022301" w:rsidR="00FB7F86" w:rsidP="00740D12" w:rsidRDefault="00FB7F86" w14:paraId="491A9640" w14:textId="77777777">
      <w:pPr>
        <w:pStyle w:val="FootnoteText"/>
        <w:rPr>
          <w:szCs w:val="26"/>
        </w:rPr>
      </w:pPr>
      <w:r w:rsidRPr="00022301">
        <w:rPr>
          <w:rStyle w:val="FootnoteReference"/>
        </w:rPr>
        <w:footnoteRef/>
      </w:r>
      <w:r w:rsidRPr="00022301">
        <w:rPr>
          <w:szCs w:val="26"/>
        </w:rPr>
        <w:t xml:space="preserve"> Calpine </w:t>
      </w:r>
      <w:r>
        <w:rPr>
          <w:szCs w:val="26"/>
        </w:rPr>
        <w:t>Comments (2018 RM18-9</w:t>
      </w:r>
      <w:r w:rsidRPr="00022301">
        <w:rPr>
          <w:szCs w:val="26"/>
        </w:rPr>
        <w:t xml:space="preserve">) at </w:t>
      </w:r>
      <w:r>
        <w:rPr>
          <w:szCs w:val="26"/>
        </w:rPr>
        <w:t>4-</w:t>
      </w:r>
      <w:r w:rsidRPr="00022301">
        <w:rPr>
          <w:szCs w:val="26"/>
        </w:rPr>
        <w:t>5</w:t>
      </w:r>
      <w:r>
        <w:rPr>
          <w:szCs w:val="26"/>
        </w:rPr>
        <w:t xml:space="preserve"> </w:t>
      </w:r>
      <w:r w:rsidRPr="004656B5">
        <w:rPr>
          <w:szCs w:val="26"/>
        </w:rPr>
        <w:t>(citing comments of Dr. Joseph Bowring, Technical Conference Transcript at 37</w:t>
      </w:r>
      <w:r>
        <w:rPr>
          <w:szCs w:val="26"/>
        </w:rPr>
        <w:t xml:space="preserve">; </w:t>
      </w:r>
      <w:r w:rsidRPr="004656B5">
        <w:rPr>
          <w:szCs w:val="26"/>
        </w:rPr>
        <w:t>comments of Jeff Bladen, Technical Conference Transcript at 36)</w:t>
      </w:r>
      <w:r w:rsidRPr="00022301">
        <w:rPr>
          <w:szCs w:val="26"/>
        </w:rPr>
        <w:t>.</w:t>
      </w:r>
    </w:p>
  </w:footnote>
  <w:footnote w:id="506">
    <w:p w:rsidRPr="00716CDF" w:rsidR="00FB7F86" w:rsidP="00341AEA" w:rsidRDefault="00FB7F86" w14:paraId="3E28FFD0" w14:textId="77777777">
      <w:pPr>
        <w:pStyle w:val="FootnoteText"/>
        <w:rPr>
          <w:szCs w:val="26"/>
        </w:rPr>
      </w:pPr>
      <w:r w:rsidRPr="00716CDF">
        <w:rPr>
          <w:rStyle w:val="FootnoteReference"/>
          <w:szCs w:val="26"/>
        </w:rPr>
        <w:footnoteRef/>
      </w:r>
      <w:r w:rsidRPr="00716CDF">
        <w:rPr>
          <w:szCs w:val="26"/>
        </w:rPr>
        <w:t xml:space="preserve"> Tesla/SolarCity </w:t>
      </w:r>
      <w:r>
        <w:rPr>
          <w:szCs w:val="26"/>
        </w:rPr>
        <w:t>Comments (RM16-23) at</w:t>
      </w:r>
      <w:r w:rsidRPr="00716CDF">
        <w:rPr>
          <w:szCs w:val="26"/>
        </w:rPr>
        <w:t xml:space="preserve"> 27.</w:t>
      </w:r>
    </w:p>
  </w:footnote>
  <w:footnote w:id="507">
    <w:p w:rsidRPr="00716CDF" w:rsidR="00FB7F86" w:rsidP="001A6BD8" w:rsidRDefault="00FB7F86" w14:paraId="3F379EB0" w14:textId="77777777">
      <w:pPr>
        <w:pStyle w:val="FootnoteText"/>
        <w:rPr>
          <w:szCs w:val="26"/>
        </w:rPr>
      </w:pPr>
      <w:r w:rsidRPr="00716CDF">
        <w:rPr>
          <w:rStyle w:val="FootnoteReference"/>
          <w:szCs w:val="26"/>
        </w:rPr>
        <w:footnoteRef/>
      </w:r>
      <w:r w:rsidRPr="00716CDF">
        <w:rPr>
          <w:szCs w:val="26"/>
        </w:rPr>
        <w:t xml:space="preserve"> Mensah </w:t>
      </w:r>
      <w:r>
        <w:rPr>
          <w:szCs w:val="26"/>
        </w:rPr>
        <w:t>Comments (RM16-23) at</w:t>
      </w:r>
      <w:r w:rsidRPr="00716CDF">
        <w:rPr>
          <w:szCs w:val="26"/>
        </w:rPr>
        <w:t xml:space="preserve"> 3.</w:t>
      </w:r>
    </w:p>
  </w:footnote>
  <w:footnote w:id="508">
    <w:p w:rsidRPr="004656B5" w:rsidR="00FB7F86" w:rsidP="00341AEA" w:rsidRDefault="00FB7F86" w14:paraId="24A282E1" w14:textId="77777777">
      <w:pPr>
        <w:pStyle w:val="FootnoteText"/>
        <w:rPr>
          <w:szCs w:val="26"/>
        </w:rPr>
      </w:pPr>
      <w:r w:rsidRPr="004656B5">
        <w:rPr>
          <w:rStyle w:val="FootnoteReference"/>
        </w:rPr>
        <w:footnoteRef/>
      </w:r>
      <w:r w:rsidRPr="004656B5">
        <w:rPr>
          <w:szCs w:val="26"/>
        </w:rPr>
        <w:t xml:space="preserve"> MISO </w:t>
      </w:r>
      <w:r>
        <w:rPr>
          <w:szCs w:val="26"/>
        </w:rPr>
        <w:t>Comments (2018 RM18-9)</w:t>
      </w:r>
      <w:r w:rsidRPr="004656B5">
        <w:rPr>
          <w:szCs w:val="26"/>
        </w:rPr>
        <w:t xml:space="preserve"> at 20 (citing Technical Conference Transcript at 9-11, 14-15</w:t>
      </w:r>
      <w:r>
        <w:rPr>
          <w:szCs w:val="26"/>
        </w:rPr>
        <w:t>, 20-23</w:t>
      </w:r>
      <w:r w:rsidRPr="004656B5">
        <w:rPr>
          <w:szCs w:val="26"/>
        </w:rPr>
        <w:t>).</w:t>
      </w:r>
    </w:p>
  </w:footnote>
  <w:footnote w:id="509">
    <w:p w:rsidRPr="004656B5" w:rsidR="00FB7F86" w:rsidP="00341AEA" w:rsidRDefault="00FB7F86" w14:paraId="526090BB" w14:textId="77777777">
      <w:pPr>
        <w:pStyle w:val="FootnoteText"/>
        <w:rPr>
          <w:szCs w:val="26"/>
        </w:rPr>
      </w:pPr>
      <w:r w:rsidRPr="004656B5">
        <w:rPr>
          <w:rStyle w:val="FootnoteReference"/>
        </w:rPr>
        <w:footnoteRef/>
      </w:r>
      <w:r w:rsidRPr="004656B5">
        <w:rPr>
          <w:szCs w:val="26"/>
        </w:rPr>
        <w:t xml:space="preserve"> Calpine </w:t>
      </w:r>
      <w:r>
        <w:rPr>
          <w:szCs w:val="26"/>
        </w:rPr>
        <w:t>Comments (2018 RM18-9)</w:t>
      </w:r>
      <w:r w:rsidRPr="004656B5">
        <w:rPr>
          <w:szCs w:val="26"/>
        </w:rPr>
        <w:t xml:space="preserve"> at 5-6</w:t>
      </w:r>
      <w:r>
        <w:rPr>
          <w:szCs w:val="26"/>
        </w:rPr>
        <w:t xml:space="preserve">; </w:t>
      </w:r>
      <w:r w:rsidRPr="004656B5">
        <w:rPr>
          <w:szCs w:val="26"/>
        </w:rPr>
        <w:t xml:space="preserve">SoCal Edison </w:t>
      </w:r>
      <w:r>
        <w:rPr>
          <w:szCs w:val="26"/>
        </w:rPr>
        <w:t>Comments (2018 RM18-9)</w:t>
      </w:r>
      <w:r w:rsidRPr="004656B5">
        <w:rPr>
          <w:szCs w:val="26"/>
        </w:rPr>
        <w:t xml:space="preserve"> at 3.</w:t>
      </w:r>
    </w:p>
  </w:footnote>
  <w:footnote w:id="510">
    <w:p w:rsidRPr="00022301" w:rsidR="00FB7F86" w:rsidP="00341AEA" w:rsidRDefault="00FB7F86" w14:paraId="5D9D38C3" w14:textId="77777777">
      <w:pPr>
        <w:pStyle w:val="FootnoteText"/>
        <w:rPr>
          <w:szCs w:val="26"/>
        </w:rPr>
      </w:pPr>
      <w:r w:rsidRPr="00022301">
        <w:rPr>
          <w:rStyle w:val="FootnoteReference"/>
        </w:rPr>
        <w:footnoteRef/>
      </w:r>
      <w:r w:rsidRPr="00022301">
        <w:rPr>
          <w:szCs w:val="26"/>
        </w:rPr>
        <w:t xml:space="preserve"> PJM </w:t>
      </w:r>
      <w:r>
        <w:rPr>
          <w:szCs w:val="26"/>
        </w:rPr>
        <w:t>Comments (2018 RM18-9</w:t>
      </w:r>
      <w:r w:rsidRPr="00022301">
        <w:rPr>
          <w:szCs w:val="26"/>
        </w:rPr>
        <w:t>) at 6-7.</w:t>
      </w:r>
    </w:p>
  </w:footnote>
  <w:footnote w:id="511">
    <w:p w:rsidRPr="00716CDF" w:rsidR="00FB7F86" w:rsidP="00341AEA" w:rsidRDefault="00FB7F86" w14:paraId="73978114" w14:textId="60F133F5">
      <w:pPr>
        <w:pStyle w:val="FootnoteText"/>
        <w:rPr>
          <w:szCs w:val="26"/>
        </w:rPr>
      </w:pPr>
      <w:r w:rsidRPr="00716CDF">
        <w:rPr>
          <w:rStyle w:val="FootnoteReference"/>
          <w:szCs w:val="26"/>
        </w:rPr>
        <w:footnoteRef/>
      </w:r>
      <w:r w:rsidRPr="00716CDF">
        <w:rPr>
          <w:szCs w:val="26"/>
        </w:rPr>
        <w:t xml:space="preserve"> AES Companies </w:t>
      </w:r>
      <w:r>
        <w:rPr>
          <w:szCs w:val="26"/>
        </w:rPr>
        <w:t>Comments (RM16-23) at</w:t>
      </w:r>
      <w:r w:rsidRPr="00716CDF">
        <w:rPr>
          <w:szCs w:val="26"/>
        </w:rPr>
        <w:t xml:space="preserve"> 10, 34</w:t>
      </w:r>
      <w:r>
        <w:rPr>
          <w:szCs w:val="26"/>
        </w:rPr>
        <w:t>;</w:t>
      </w:r>
      <w:r w:rsidRPr="00E674FE">
        <w:rPr>
          <w:szCs w:val="26"/>
        </w:rPr>
        <w:t xml:space="preserve"> </w:t>
      </w:r>
      <w:r w:rsidRPr="00716CDF">
        <w:rPr>
          <w:szCs w:val="26"/>
        </w:rPr>
        <w:t xml:space="preserve">MISO Transmission Owners </w:t>
      </w:r>
      <w:r>
        <w:rPr>
          <w:szCs w:val="26"/>
        </w:rPr>
        <w:t>Comments (RM16-23) at</w:t>
      </w:r>
      <w:r w:rsidRPr="00716CDF">
        <w:rPr>
          <w:szCs w:val="26"/>
        </w:rPr>
        <w:t xml:space="preserve"> 21.</w:t>
      </w:r>
    </w:p>
  </w:footnote>
  <w:footnote w:id="512">
    <w:p w:rsidRPr="004656B5" w:rsidR="00FB7F86" w:rsidP="00341AEA" w:rsidRDefault="00FB7F86" w14:paraId="163FE038" w14:textId="630CCD66">
      <w:pPr>
        <w:pStyle w:val="FootnoteText"/>
        <w:rPr>
          <w:szCs w:val="26"/>
        </w:rPr>
      </w:pPr>
      <w:r w:rsidRPr="004656B5">
        <w:rPr>
          <w:rStyle w:val="FootnoteReference"/>
        </w:rPr>
        <w:footnoteRef/>
      </w:r>
      <w:r w:rsidRPr="004656B5">
        <w:rPr>
          <w:szCs w:val="26"/>
        </w:rPr>
        <w:t xml:space="preserve"> Advanced Energy Economy </w:t>
      </w:r>
      <w:r>
        <w:rPr>
          <w:szCs w:val="26"/>
        </w:rPr>
        <w:t>Comments (2018 RM18-9)</w:t>
      </w:r>
      <w:r w:rsidRPr="004656B5">
        <w:rPr>
          <w:szCs w:val="26"/>
        </w:rPr>
        <w:t xml:space="preserve"> at 22-23</w:t>
      </w:r>
      <w:r>
        <w:rPr>
          <w:szCs w:val="26"/>
        </w:rPr>
        <w:t xml:space="preserve">; </w:t>
      </w:r>
      <w:r w:rsidRPr="004656B5">
        <w:rPr>
          <w:szCs w:val="26"/>
        </w:rPr>
        <w:t xml:space="preserve">Advanced Energy Management </w:t>
      </w:r>
      <w:r>
        <w:rPr>
          <w:szCs w:val="26"/>
        </w:rPr>
        <w:t>Comments (2018 RM18-9)</w:t>
      </w:r>
      <w:r w:rsidRPr="004656B5">
        <w:rPr>
          <w:szCs w:val="26"/>
        </w:rPr>
        <w:t xml:space="preserve"> at 6</w:t>
      </w:r>
      <w:r>
        <w:rPr>
          <w:szCs w:val="26"/>
        </w:rPr>
        <w:t xml:space="preserve">; </w:t>
      </w:r>
      <w:r w:rsidRPr="004656B5">
        <w:rPr>
          <w:szCs w:val="26"/>
        </w:rPr>
        <w:t xml:space="preserve">Direct Energy </w:t>
      </w:r>
      <w:r>
        <w:rPr>
          <w:szCs w:val="26"/>
        </w:rPr>
        <w:t>Comments (2018 RM18-9)</w:t>
      </w:r>
      <w:r w:rsidRPr="004656B5">
        <w:rPr>
          <w:szCs w:val="26"/>
        </w:rPr>
        <w:t xml:space="preserve"> at 3-4</w:t>
      </w:r>
      <w:r>
        <w:rPr>
          <w:szCs w:val="26"/>
        </w:rPr>
        <w:t xml:space="preserve"> </w:t>
      </w:r>
      <w:r w:rsidRPr="004656B5">
        <w:rPr>
          <w:szCs w:val="26"/>
        </w:rPr>
        <w:t xml:space="preserve">(describing examples of </w:t>
      </w:r>
      <w:r>
        <w:rPr>
          <w:szCs w:val="26"/>
        </w:rPr>
        <w:t>distributed energy resource</w:t>
      </w:r>
      <w:r w:rsidRPr="004656B5">
        <w:rPr>
          <w:szCs w:val="26"/>
        </w:rPr>
        <w:t xml:space="preserve"> aggregations being operated in Belgium, France and Australia)</w:t>
      </w:r>
      <w:r>
        <w:rPr>
          <w:szCs w:val="26"/>
        </w:rPr>
        <w:t xml:space="preserve">; </w:t>
      </w:r>
      <w:r w:rsidRPr="004656B5">
        <w:rPr>
          <w:szCs w:val="26"/>
        </w:rPr>
        <w:t xml:space="preserve">NRG </w:t>
      </w:r>
      <w:r>
        <w:rPr>
          <w:szCs w:val="26"/>
        </w:rPr>
        <w:t>Comments (2018 RM18-9)</w:t>
      </w:r>
      <w:r w:rsidRPr="004656B5">
        <w:rPr>
          <w:szCs w:val="26"/>
        </w:rPr>
        <w:t xml:space="preserve"> at 5.</w:t>
      </w:r>
    </w:p>
  </w:footnote>
  <w:footnote w:id="513">
    <w:p w:rsidRPr="004656B5" w:rsidR="00FB7F86" w:rsidP="00341AEA" w:rsidRDefault="00FB7F86" w14:paraId="2B8972E0" w14:textId="77777777">
      <w:pPr>
        <w:pStyle w:val="FootnoteText"/>
        <w:rPr>
          <w:szCs w:val="26"/>
        </w:rPr>
      </w:pPr>
      <w:r w:rsidRPr="004656B5">
        <w:rPr>
          <w:rStyle w:val="FootnoteReference"/>
        </w:rPr>
        <w:footnoteRef/>
      </w:r>
      <w:r w:rsidRPr="004656B5">
        <w:rPr>
          <w:szCs w:val="26"/>
        </w:rPr>
        <w:t xml:space="preserve"> Direct Energy </w:t>
      </w:r>
      <w:r>
        <w:rPr>
          <w:szCs w:val="26"/>
        </w:rPr>
        <w:t>Comments (2018 RM18-9)</w:t>
      </w:r>
      <w:r w:rsidRPr="004656B5">
        <w:rPr>
          <w:szCs w:val="26"/>
        </w:rPr>
        <w:t xml:space="preserve"> at 4-5</w:t>
      </w:r>
      <w:r>
        <w:rPr>
          <w:szCs w:val="26"/>
        </w:rPr>
        <w:t xml:space="preserve">, </w:t>
      </w:r>
      <w:r w:rsidRPr="004656B5">
        <w:rPr>
          <w:szCs w:val="26"/>
        </w:rPr>
        <w:t>6-7 (citing Technical Conference Transcript at 9, 34).</w:t>
      </w:r>
    </w:p>
  </w:footnote>
  <w:footnote w:id="514">
    <w:p w:rsidR="00FB7F86" w:rsidP="004B3235" w:rsidRDefault="00FB7F86" w14:paraId="71F8F63B" w14:textId="7BCC4809">
      <w:pPr>
        <w:pStyle w:val="FootnoteText"/>
      </w:pPr>
      <w:r>
        <w:rPr>
          <w:rStyle w:val="FootnoteReference"/>
        </w:rPr>
        <w:footnoteRef/>
      </w:r>
      <w:r>
        <w:t xml:space="preserve"> </w:t>
      </w:r>
      <w:r w:rsidRPr="005731BC">
        <w:rPr>
          <w:i/>
          <w:iCs/>
        </w:rPr>
        <w:t>See supra</w:t>
      </w:r>
      <w:r w:rsidRPr="005731BC">
        <w:t xml:space="preserve"> Section IV.C.4 (Minimum and Maximum Size of Aggregation).</w:t>
      </w:r>
    </w:p>
  </w:footnote>
  <w:footnote w:id="515">
    <w:p w:rsidR="00FB7F86" w:rsidRDefault="00FB7F86" w14:paraId="607E03A3" w14:textId="4656EB4F">
      <w:pPr>
        <w:pStyle w:val="FootnoteText"/>
      </w:pPr>
      <w:r>
        <w:rPr>
          <w:rStyle w:val="FootnoteReference"/>
        </w:rPr>
        <w:footnoteRef/>
      </w:r>
      <w:r>
        <w:t xml:space="preserve"> </w:t>
      </w:r>
      <w:r>
        <w:rPr>
          <w:i/>
          <w:iCs/>
        </w:rPr>
        <w:t>See</w:t>
      </w:r>
      <w:r>
        <w:rPr>
          <w:i/>
        </w:rPr>
        <w:t xml:space="preserve"> </w:t>
      </w:r>
      <w:r>
        <w:t>CAISO Comments (2018 RM18-9) at 10; PJM Comments (RM16-23) at 28.</w:t>
      </w:r>
    </w:p>
  </w:footnote>
  <w:footnote w:id="516">
    <w:p w:rsidR="00FB7F86" w:rsidP="000D5DA4" w:rsidRDefault="00FB7F86" w14:paraId="2664DB6B" w14:textId="77777777">
      <w:pPr>
        <w:pStyle w:val="FootnoteText"/>
      </w:pPr>
      <w:r w:rsidRPr="005D4968">
        <w:rPr>
          <w:rStyle w:val="FootnoteReference"/>
        </w:rPr>
        <w:footnoteRef/>
      </w:r>
      <w:r w:rsidRPr="005D4968">
        <w:t xml:space="preserve"> Distribution factors indicate how much of the total response from a distributed energy resource aggregation would be coming from each node at which one or more resources participating in the aggregation are located.</w:t>
      </w:r>
    </w:p>
  </w:footnote>
  <w:footnote w:id="517">
    <w:p w:rsidR="00FB7F86" w:rsidP="003C749A" w:rsidRDefault="00FB7F86" w14:paraId="0983A657" w14:textId="6C0A5F44">
      <w:pPr>
        <w:pStyle w:val="FootnoteText"/>
      </w:pPr>
      <w:r>
        <w:rPr>
          <w:rStyle w:val="FootnoteReference"/>
        </w:rPr>
        <w:footnoteRef/>
      </w:r>
      <w:r>
        <w:t xml:space="preserve"> NOPR, 157 FERC ¶ 61,121 at P 143.</w:t>
      </w:r>
    </w:p>
  </w:footnote>
  <w:footnote w:id="518">
    <w:p w:rsidR="00FB7F86" w:rsidRDefault="00FB7F86" w14:paraId="01EDE7D6" w14:textId="33219250">
      <w:pPr>
        <w:pStyle w:val="FootnoteText"/>
      </w:pPr>
      <w:r>
        <w:rPr>
          <w:rStyle w:val="FootnoteReference"/>
        </w:rPr>
        <w:footnoteRef/>
      </w:r>
      <w:r>
        <w:t xml:space="preserve"> </w:t>
      </w:r>
      <w:r w:rsidRPr="00177CA8">
        <w:rPr>
          <w:szCs w:val="26"/>
        </w:rPr>
        <w:t>Notice Inviting Post-Technical Conference Comments</w:t>
      </w:r>
      <w:r>
        <w:rPr>
          <w:szCs w:val="26"/>
        </w:rPr>
        <w:t xml:space="preserve"> at 4-5.</w:t>
      </w:r>
    </w:p>
  </w:footnote>
  <w:footnote w:id="519">
    <w:p w:rsidRPr="00716CDF" w:rsidR="00FB7F86" w:rsidP="003C749A" w:rsidRDefault="00FB7F86" w14:paraId="72B3F2F8" w14:textId="16A53BB7">
      <w:pPr>
        <w:pStyle w:val="FootnoteText"/>
        <w:rPr>
          <w:szCs w:val="26"/>
        </w:rPr>
      </w:pPr>
      <w:r w:rsidRPr="00716CDF">
        <w:rPr>
          <w:rStyle w:val="FootnoteReference"/>
        </w:rPr>
        <w:footnoteRef/>
      </w:r>
      <w:r>
        <w:rPr>
          <w:i/>
          <w:iCs/>
          <w:szCs w:val="26"/>
        </w:rPr>
        <w:t>See, e.g.</w:t>
      </w:r>
      <w:r w:rsidRPr="00976A78">
        <w:rPr>
          <w:szCs w:val="26"/>
        </w:rPr>
        <w:t>,</w:t>
      </w:r>
      <w:r>
        <w:rPr>
          <w:i/>
          <w:iCs/>
          <w:szCs w:val="26"/>
        </w:rPr>
        <w:t xml:space="preserve"> </w:t>
      </w:r>
      <w:r w:rsidRPr="00234C8B">
        <w:rPr>
          <w:szCs w:val="26"/>
        </w:rPr>
        <w:t>CAISO</w:t>
      </w:r>
      <w:r w:rsidRPr="00716CDF">
        <w:rPr>
          <w:szCs w:val="26"/>
        </w:rPr>
        <w:t xml:space="preserve"> </w:t>
      </w:r>
      <w:r>
        <w:rPr>
          <w:szCs w:val="26"/>
        </w:rPr>
        <w:t>Comments (RM16-23) at</w:t>
      </w:r>
      <w:r w:rsidRPr="00716CDF">
        <w:rPr>
          <w:szCs w:val="26"/>
        </w:rPr>
        <w:t xml:space="preserve"> 30;</w:t>
      </w:r>
      <w:r>
        <w:rPr>
          <w:szCs w:val="26"/>
        </w:rPr>
        <w:t xml:space="preserve"> </w:t>
      </w:r>
      <w:r w:rsidRPr="00234C8B">
        <w:rPr>
          <w:szCs w:val="26"/>
        </w:rPr>
        <w:t>DER/Storage Developers</w:t>
      </w:r>
      <w:r w:rsidRPr="00716CDF">
        <w:rPr>
          <w:szCs w:val="26"/>
        </w:rPr>
        <w:t xml:space="preserve"> </w:t>
      </w:r>
      <w:r>
        <w:rPr>
          <w:szCs w:val="26"/>
        </w:rPr>
        <w:t>Comments (RM16-23) at</w:t>
      </w:r>
      <w:r w:rsidRPr="00716CDF">
        <w:rPr>
          <w:szCs w:val="26"/>
        </w:rPr>
        <w:t xml:space="preserve"> 4; </w:t>
      </w:r>
      <w:r w:rsidRPr="00234C8B">
        <w:rPr>
          <w:szCs w:val="26"/>
        </w:rPr>
        <w:t xml:space="preserve">NextEra </w:t>
      </w:r>
      <w:r>
        <w:rPr>
          <w:szCs w:val="26"/>
        </w:rPr>
        <w:t>Comments (RM16-23) at</w:t>
      </w:r>
      <w:r w:rsidRPr="00716CDF">
        <w:rPr>
          <w:szCs w:val="26"/>
        </w:rPr>
        <w:t xml:space="preserve"> 15</w:t>
      </w:r>
      <w:r>
        <w:rPr>
          <w:szCs w:val="26"/>
        </w:rPr>
        <w:t xml:space="preserve">; </w:t>
      </w:r>
      <w:r w:rsidRPr="00234C8B">
        <w:rPr>
          <w:szCs w:val="26"/>
        </w:rPr>
        <w:t>SEIA</w:t>
      </w:r>
      <w:r w:rsidRPr="00716CDF">
        <w:rPr>
          <w:szCs w:val="26"/>
        </w:rPr>
        <w:t xml:space="preserve"> </w:t>
      </w:r>
      <w:r>
        <w:rPr>
          <w:szCs w:val="26"/>
        </w:rPr>
        <w:t>Comments (RM16-23) at</w:t>
      </w:r>
      <w:r w:rsidRPr="00716CDF">
        <w:rPr>
          <w:szCs w:val="26"/>
        </w:rPr>
        <w:t xml:space="preserve"> 19</w:t>
      </w:r>
      <w:r>
        <w:rPr>
          <w:szCs w:val="26"/>
        </w:rPr>
        <w:t xml:space="preserve">; </w:t>
      </w:r>
      <w:r w:rsidRPr="008E4836">
        <w:rPr>
          <w:szCs w:val="26"/>
        </w:rPr>
        <w:t>Xcel</w:t>
      </w:r>
      <w:r w:rsidRPr="00716CDF">
        <w:rPr>
          <w:szCs w:val="26"/>
        </w:rPr>
        <w:t xml:space="preserve"> Energy Services </w:t>
      </w:r>
      <w:r>
        <w:rPr>
          <w:szCs w:val="26"/>
        </w:rPr>
        <w:t>Comments (RM16-23) at</w:t>
      </w:r>
      <w:r w:rsidRPr="00716CDF">
        <w:rPr>
          <w:szCs w:val="26"/>
        </w:rPr>
        <w:t xml:space="preserve"> 25. </w:t>
      </w:r>
    </w:p>
  </w:footnote>
  <w:footnote w:id="520">
    <w:p w:rsidRPr="00716CDF" w:rsidR="00FB7F86" w:rsidP="003C749A" w:rsidRDefault="00FB7F86" w14:paraId="32431584" w14:textId="77777777">
      <w:pPr>
        <w:pStyle w:val="FootnoteText"/>
        <w:rPr>
          <w:szCs w:val="26"/>
        </w:rPr>
      </w:pPr>
      <w:r w:rsidRPr="00716CDF">
        <w:rPr>
          <w:rStyle w:val="FootnoteReference"/>
        </w:rPr>
        <w:footnoteRef/>
      </w:r>
      <w:r w:rsidRPr="00716CDF">
        <w:rPr>
          <w:szCs w:val="26"/>
        </w:rPr>
        <w:t xml:space="preserve"> Tesla/SolarCity </w:t>
      </w:r>
      <w:r>
        <w:rPr>
          <w:szCs w:val="26"/>
        </w:rPr>
        <w:t>Comments (RM16-23) at</w:t>
      </w:r>
      <w:r w:rsidRPr="00716CDF">
        <w:rPr>
          <w:szCs w:val="26"/>
        </w:rPr>
        <w:t xml:space="preserve"> 28.</w:t>
      </w:r>
    </w:p>
  </w:footnote>
  <w:footnote w:id="521">
    <w:p w:rsidRPr="00716CDF" w:rsidR="00FB7F86" w:rsidP="003C749A" w:rsidRDefault="00FB7F86" w14:paraId="529D32E8" w14:textId="77777777">
      <w:pPr>
        <w:pStyle w:val="FootnoteText"/>
        <w:rPr>
          <w:szCs w:val="26"/>
        </w:rPr>
      </w:pPr>
      <w:r w:rsidRPr="00716CDF">
        <w:rPr>
          <w:rStyle w:val="FootnoteReference"/>
        </w:rPr>
        <w:footnoteRef/>
      </w:r>
      <w:r w:rsidRPr="00716CDF">
        <w:rPr>
          <w:szCs w:val="26"/>
        </w:rPr>
        <w:t xml:space="preserve"> DER/Storage Developers </w:t>
      </w:r>
      <w:r>
        <w:rPr>
          <w:szCs w:val="26"/>
        </w:rPr>
        <w:t>Comments (RM16-23) at</w:t>
      </w:r>
      <w:r w:rsidRPr="00716CDF">
        <w:rPr>
          <w:szCs w:val="26"/>
        </w:rPr>
        <w:t xml:space="preserve"> 4.</w:t>
      </w:r>
    </w:p>
  </w:footnote>
  <w:footnote w:id="522">
    <w:p w:rsidR="00FB7F86" w:rsidP="00D9048C" w:rsidRDefault="00FB7F86" w14:paraId="2E1D1BFA" w14:textId="77777777">
      <w:pPr>
        <w:pStyle w:val="FootnoteText"/>
      </w:pPr>
      <w:r>
        <w:rPr>
          <w:rStyle w:val="FootnoteReference"/>
        </w:rPr>
        <w:footnoteRef/>
      </w:r>
      <w:r>
        <w:t xml:space="preserve"> CAISO Comments (2018 RM18-9) at 11.</w:t>
      </w:r>
    </w:p>
  </w:footnote>
  <w:footnote w:id="523">
    <w:p w:rsidRPr="00716CDF" w:rsidR="00FB7F86" w:rsidP="003C749A" w:rsidRDefault="00FB7F86" w14:paraId="7C7D0023" w14:textId="77777777">
      <w:pPr>
        <w:pStyle w:val="FootnoteText"/>
        <w:rPr>
          <w:szCs w:val="26"/>
        </w:rPr>
      </w:pPr>
      <w:r w:rsidRPr="00716CDF">
        <w:rPr>
          <w:rStyle w:val="FootnoteReference"/>
        </w:rPr>
        <w:footnoteRef/>
      </w:r>
      <w:r w:rsidRPr="00716CDF">
        <w:rPr>
          <w:szCs w:val="26"/>
        </w:rPr>
        <w:t xml:space="preserve"> CAISO </w:t>
      </w:r>
      <w:r>
        <w:rPr>
          <w:szCs w:val="26"/>
        </w:rPr>
        <w:t>Comments (RM16-23) at</w:t>
      </w:r>
      <w:r w:rsidRPr="00716CDF">
        <w:rPr>
          <w:szCs w:val="26"/>
        </w:rPr>
        <w:t xml:space="preserve"> </w:t>
      </w:r>
      <w:r>
        <w:rPr>
          <w:szCs w:val="26"/>
        </w:rPr>
        <w:t>30-</w:t>
      </w:r>
      <w:r w:rsidRPr="00716CDF">
        <w:rPr>
          <w:szCs w:val="26"/>
        </w:rPr>
        <w:t>31.</w:t>
      </w:r>
    </w:p>
  </w:footnote>
  <w:footnote w:id="524">
    <w:p w:rsidR="00FB7F86" w:rsidP="003C749A" w:rsidRDefault="00FB7F86" w14:paraId="258CB6A8" w14:textId="5BF08A89">
      <w:pPr>
        <w:pStyle w:val="FootnoteText"/>
      </w:pPr>
      <w:r>
        <w:rPr>
          <w:rStyle w:val="FootnoteReference"/>
        </w:rPr>
        <w:footnoteRef/>
      </w:r>
      <w:r>
        <w:t xml:space="preserve"> CAISO Comments (2018 RM18-9) at 11.</w:t>
      </w:r>
    </w:p>
  </w:footnote>
  <w:footnote w:id="525">
    <w:p w:rsidR="00FB7F86" w:rsidRDefault="00FB7F86" w14:paraId="7C84905C" w14:textId="1C9F7C43">
      <w:pPr>
        <w:pStyle w:val="FootnoteText"/>
      </w:pPr>
      <w:r>
        <w:rPr>
          <w:rStyle w:val="FootnoteReference"/>
        </w:rPr>
        <w:footnoteRef/>
      </w:r>
      <w:r>
        <w:t xml:space="preserve"> Microgrid Resources Coalition (2018 RM18-9) at 9.</w:t>
      </w:r>
    </w:p>
  </w:footnote>
  <w:footnote w:id="526">
    <w:p w:rsidR="00FB7F86" w:rsidRDefault="00FB7F86" w14:paraId="0CFF4E98" w14:textId="1C354CC9">
      <w:pPr>
        <w:pStyle w:val="FootnoteText"/>
      </w:pPr>
      <w:r>
        <w:rPr>
          <w:rStyle w:val="FootnoteReference"/>
        </w:rPr>
        <w:footnoteRef/>
      </w:r>
      <w:r>
        <w:t xml:space="preserve"> Lorenzo Kristov Comments (2018 RM18-9) at 14.</w:t>
      </w:r>
    </w:p>
  </w:footnote>
  <w:footnote w:id="527">
    <w:p w:rsidRPr="00716CDF" w:rsidR="00FB7F86" w:rsidP="003C749A" w:rsidRDefault="00FB7F86" w14:paraId="0834D8EB" w14:textId="77F58297">
      <w:pPr>
        <w:pStyle w:val="FootnoteText"/>
        <w:rPr>
          <w:szCs w:val="26"/>
        </w:rPr>
      </w:pPr>
      <w:r w:rsidRPr="00716CDF">
        <w:rPr>
          <w:rStyle w:val="FootnoteReference"/>
        </w:rPr>
        <w:footnoteRef/>
      </w:r>
      <w:r w:rsidRPr="00716CDF">
        <w:rPr>
          <w:szCs w:val="26"/>
        </w:rPr>
        <w:t xml:space="preserve"> NYISO </w:t>
      </w:r>
      <w:r>
        <w:rPr>
          <w:szCs w:val="26"/>
        </w:rPr>
        <w:t>Comments (RM16-23) at</w:t>
      </w:r>
      <w:r w:rsidRPr="00716CDF">
        <w:rPr>
          <w:szCs w:val="26"/>
        </w:rPr>
        <w:t xml:space="preserve"> 17.</w:t>
      </w:r>
      <w:r>
        <w:rPr>
          <w:szCs w:val="26"/>
        </w:rPr>
        <w:t xml:space="preserve">  The Commission accepted NYISO’s tariff provisions related to aggregations, which require that facilities within an aggregation are electrically connected to the same transmission node.</w:t>
      </w:r>
      <w:r w:rsidRPr="009F0529">
        <w:rPr>
          <w:szCs w:val="26"/>
        </w:rPr>
        <w:t xml:space="preserve"> </w:t>
      </w:r>
      <w:r>
        <w:rPr>
          <w:szCs w:val="26"/>
        </w:rPr>
        <w:t xml:space="preserve"> NYISO Aggregation Order, </w:t>
      </w:r>
      <w:r w:rsidRPr="001353C4">
        <w:rPr>
          <w:szCs w:val="26"/>
        </w:rPr>
        <w:t>170 FERC ¶</w:t>
      </w:r>
      <w:r>
        <w:rPr>
          <w:szCs w:val="26"/>
        </w:rPr>
        <w:t> </w:t>
      </w:r>
      <w:r w:rsidRPr="001353C4">
        <w:rPr>
          <w:szCs w:val="26"/>
        </w:rPr>
        <w:t>61,033</w:t>
      </w:r>
      <w:r>
        <w:rPr>
          <w:szCs w:val="26"/>
        </w:rPr>
        <w:t xml:space="preserve"> at PP 6, 11. </w:t>
      </w:r>
    </w:p>
  </w:footnote>
  <w:footnote w:id="528">
    <w:p w:rsidRPr="00716CDF" w:rsidR="00FB7F86" w:rsidP="003C749A" w:rsidRDefault="00FB7F86" w14:paraId="4090E0AA" w14:textId="7D07F9BF">
      <w:pPr>
        <w:pStyle w:val="FootnoteText"/>
        <w:rPr>
          <w:szCs w:val="26"/>
        </w:rPr>
      </w:pPr>
      <w:r w:rsidRPr="00716CDF">
        <w:rPr>
          <w:rStyle w:val="FootnoteReference"/>
        </w:rPr>
        <w:footnoteRef/>
      </w:r>
      <w:r w:rsidRPr="00716CDF">
        <w:rPr>
          <w:szCs w:val="26"/>
        </w:rPr>
        <w:t xml:space="preserve"> SPP </w:t>
      </w:r>
      <w:r>
        <w:rPr>
          <w:szCs w:val="26"/>
        </w:rPr>
        <w:t>Comments (RM16-23) at</w:t>
      </w:r>
      <w:r w:rsidRPr="00716CDF">
        <w:rPr>
          <w:szCs w:val="26"/>
        </w:rPr>
        <w:t xml:space="preserve"> 19.</w:t>
      </w:r>
      <w:r>
        <w:rPr>
          <w:szCs w:val="26"/>
        </w:rPr>
        <w:t xml:space="preserve"> </w:t>
      </w:r>
    </w:p>
  </w:footnote>
  <w:footnote w:id="529">
    <w:p w:rsidRPr="00716CDF" w:rsidR="00FB7F86" w:rsidP="003C749A" w:rsidRDefault="00FB7F86" w14:paraId="1107AD88" w14:textId="77777777">
      <w:pPr>
        <w:pStyle w:val="FootnoteText"/>
        <w:rPr>
          <w:szCs w:val="26"/>
        </w:rPr>
      </w:pPr>
      <w:r w:rsidRPr="00716CDF">
        <w:rPr>
          <w:rStyle w:val="FootnoteReference"/>
        </w:rPr>
        <w:footnoteRef/>
      </w:r>
      <w:r w:rsidRPr="00716CDF">
        <w:rPr>
          <w:szCs w:val="26"/>
        </w:rPr>
        <w:t xml:space="preserve"> MISO </w:t>
      </w:r>
      <w:r>
        <w:rPr>
          <w:szCs w:val="26"/>
        </w:rPr>
        <w:t>Comments (RM16-23) at</w:t>
      </w:r>
      <w:r w:rsidRPr="00716CDF">
        <w:rPr>
          <w:szCs w:val="26"/>
        </w:rPr>
        <w:t xml:space="preserve"> 23.</w:t>
      </w:r>
    </w:p>
  </w:footnote>
  <w:footnote w:id="530">
    <w:p w:rsidRPr="00716CDF" w:rsidR="00FB7F86" w:rsidP="003C749A" w:rsidRDefault="00FB7F86" w14:paraId="6E98F0BA" w14:textId="77777777">
      <w:pPr>
        <w:pStyle w:val="FootnoteText"/>
        <w:rPr>
          <w:szCs w:val="26"/>
        </w:rPr>
      </w:pPr>
      <w:r w:rsidRPr="00716CDF">
        <w:rPr>
          <w:rStyle w:val="FootnoteReference"/>
        </w:rPr>
        <w:footnoteRef/>
      </w:r>
      <w:r w:rsidRPr="00716CDF">
        <w:rPr>
          <w:szCs w:val="26"/>
        </w:rPr>
        <w:t xml:space="preserve"> SPP </w:t>
      </w:r>
      <w:r>
        <w:rPr>
          <w:szCs w:val="26"/>
        </w:rPr>
        <w:t>Comments (RM16-23) at</w:t>
      </w:r>
      <w:r w:rsidRPr="00716CDF">
        <w:rPr>
          <w:szCs w:val="26"/>
        </w:rPr>
        <w:t xml:space="preserve"> </w:t>
      </w:r>
      <w:r>
        <w:rPr>
          <w:szCs w:val="26"/>
        </w:rPr>
        <w:t>19-</w:t>
      </w:r>
      <w:r w:rsidRPr="00716CDF">
        <w:rPr>
          <w:szCs w:val="26"/>
        </w:rPr>
        <w:t>20.</w:t>
      </w:r>
    </w:p>
  </w:footnote>
  <w:footnote w:id="531">
    <w:p w:rsidR="00FB7F86" w:rsidRDefault="00FB7F86" w14:paraId="723DD063" w14:textId="399973D3">
      <w:pPr>
        <w:pStyle w:val="FootnoteText"/>
      </w:pPr>
      <w:r w:rsidRPr="000803E7">
        <w:rPr>
          <w:rStyle w:val="FootnoteReference"/>
        </w:rPr>
        <w:footnoteRef/>
      </w:r>
      <w:r w:rsidRPr="000803E7">
        <w:t xml:space="preserve"> </w:t>
      </w:r>
      <w:r w:rsidRPr="00716CDF">
        <w:rPr>
          <w:szCs w:val="26"/>
        </w:rPr>
        <w:t xml:space="preserve">ISO-NE </w:t>
      </w:r>
      <w:r>
        <w:rPr>
          <w:szCs w:val="26"/>
        </w:rPr>
        <w:t>Comments (RM16-23) at</w:t>
      </w:r>
      <w:r w:rsidRPr="00716CDF">
        <w:rPr>
          <w:szCs w:val="26"/>
        </w:rPr>
        <w:t xml:space="preserve"> 42</w:t>
      </w:r>
      <w:r>
        <w:rPr>
          <w:szCs w:val="26"/>
        </w:rPr>
        <w:t>-43</w:t>
      </w:r>
      <w:r w:rsidRPr="00716CDF">
        <w:rPr>
          <w:szCs w:val="26"/>
        </w:rPr>
        <w:t>.</w:t>
      </w:r>
    </w:p>
  </w:footnote>
  <w:footnote w:id="532">
    <w:p w:rsidRPr="00716CDF" w:rsidR="00FB7F86" w:rsidP="001A5A3E" w:rsidRDefault="00FB7F86" w14:paraId="2AD7FA7E" w14:textId="77777777">
      <w:pPr>
        <w:pStyle w:val="FootnoteText"/>
        <w:rPr>
          <w:szCs w:val="26"/>
        </w:rPr>
      </w:pPr>
      <w:r w:rsidRPr="00716CDF">
        <w:rPr>
          <w:rStyle w:val="FootnoteReference"/>
        </w:rPr>
        <w:footnoteRef/>
      </w:r>
      <w:r w:rsidRPr="00716CDF">
        <w:rPr>
          <w:szCs w:val="26"/>
        </w:rPr>
        <w:t xml:space="preserve"> Pacific Gas &amp; Electric </w:t>
      </w:r>
      <w:r>
        <w:rPr>
          <w:szCs w:val="26"/>
        </w:rPr>
        <w:t>Comments (RM16-23) at</w:t>
      </w:r>
      <w:r w:rsidRPr="00716CDF">
        <w:rPr>
          <w:szCs w:val="26"/>
        </w:rPr>
        <w:t xml:space="preserve"> 19.</w:t>
      </w:r>
    </w:p>
  </w:footnote>
  <w:footnote w:id="533">
    <w:p w:rsidRPr="00716CDF" w:rsidR="00FB7F86" w:rsidP="00547F0F" w:rsidRDefault="00FB7F86" w14:paraId="2CC213C6" w14:textId="77777777">
      <w:pPr>
        <w:pStyle w:val="FootnoteText"/>
        <w:rPr>
          <w:szCs w:val="26"/>
        </w:rPr>
      </w:pPr>
      <w:r w:rsidRPr="00716CDF">
        <w:rPr>
          <w:rStyle w:val="FootnoteReference"/>
        </w:rPr>
        <w:footnoteRef/>
      </w:r>
      <w:r w:rsidRPr="00716CDF">
        <w:rPr>
          <w:szCs w:val="26"/>
        </w:rPr>
        <w:t xml:space="preserve"> NYISO Indicated Transmission Owners </w:t>
      </w:r>
      <w:r>
        <w:rPr>
          <w:szCs w:val="26"/>
        </w:rPr>
        <w:t>Comments (RM16-23) at</w:t>
      </w:r>
      <w:r w:rsidRPr="00716CDF">
        <w:rPr>
          <w:szCs w:val="26"/>
        </w:rPr>
        <w:t xml:space="preserve"> 20.</w:t>
      </w:r>
    </w:p>
  </w:footnote>
  <w:footnote w:id="534">
    <w:p w:rsidRPr="00716CDF" w:rsidR="00FB7F86" w:rsidP="003966D1" w:rsidRDefault="00FB7F86" w14:paraId="27BDD2C6" w14:textId="77777777">
      <w:pPr>
        <w:pStyle w:val="FootnoteText"/>
        <w:rPr>
          <w:szCs w:val="26"/>
        </w:rPr>
      </w:pPr>
      <w:r w:rsidRPr="00716CDF">
        <w:rPr>
          <w:rStyle w:val="FootnoteReference"/>
        </w:rPr>
        <w:footnoteRef/>
      </w:r>
      <w:r w:rsidRPr="00716CDF">
        <w:rPr>
          <w:szCs w:val="26"/>
        </w:rPr>
        <w:t xml:space="preserve"> ISO-NE </w:t>
      </w:r>
      <w:r>
        <w:rPr>
          <w:szCs w:val="26"/>
        </w:rPr>
        <w:t>Comments (RM16-23) at</w:t>
      </w:r>
      <w:r w:rsidRPr="00716CDF">
        <w:rPr>
          <w:szCs w:val="26"/>
        </w:rPr>
        <w:t xml:space="preserve"> 41.</w:t>
      </w:r>
    </w:p>
  </w:footnote>
  <w:footnote w:id="535">
    <w:p w:rsidRPr="00716CDF" w:rsidR="00FB7F86" w:rsidP="003966D1" w:rsidRDefault="00FB7F86" w14:paraId="384BAB5B" w14:textId="26D044B1">
      <w:pPr>
        <w:pStyle w:val="FootnoteText"/>
        <w:rPr>
          <w:szCs w:val="26"/>
        </w:rPr>
      </w:pPr>
      <w:r w:rsidRPr="00716CDF">
        <w:rPr>
          <w:rStyle w:val="FootnoteReference"/>
        </w:rPr>
        <w:footnoteRef/>
      </w:r>
      <w:r w:rsidRPr="00716CDF">
        <w:rPr>
          <w:szCs w:val="26"/>
        </w:rPr>
        <w:t xml:space="preserve"> </w:t>
      </w:r>
      <w:r>
        <w:rPr>
          <w:i/>
          <w:iCs/>
          <w:szCs w:val="26"/>
        </w:rPr>
        <w:t>Id.</w:t>
      </w:r>
      <w:r>
        <w:rPr>
          <w:szCs w:val="26"/>
        </w:rPr>
        <w:t xml:space="preserve"> at</w:t>
      </w:r>
      <w:r w:rsidRPr="00716CDF">
        <w:rPr>
          <w:szCs w:val="26"/>
        </w:rPr>
        <w:t xml:space="preserve"> 45.</w:t>
      </w:r>
    </w:p>
  </w:footnote>
  <w:footnote w:id="536">
    <w:p w:rsidRPr="00716CDF" w:rsidR="00FB7F86" w:rsidP="00547F0F" w:rsidRDefault="00FB7F86" w14:paraId="1FA58E4D" w14:textId="434BF4F2">
      <w:pPr>
        <w:pStyle w:val="FootnoteText"/>
        <w:rPr>
          <w:szCs w:val="26"/>
        </w:rPr>
      </w:pPr>
      <w:r w:rsidRPr="00716CDF">
        <w:rPr>
          <w:rStyle w:val="FootnoteReference"/>
        </w:rPr>
        <w:footnoteRef/>
      </w:r>
      <w:r w:rsidRPr="00716CDF">
        <w:rPr>
          <w:szCs w:val="26"/>
        </w:rPr>
        <w:t xml:space="preserve"> </w:t>
      </w:r>
      <w:r>
        <w:rPr>
          <w:i/>
          <w:iCs/>
          <w:szCs w:val="26"/>
        </w:rPr>
        <w:t>Id.</w:t>
      </w:r>
      <w:r>
        <w:rPr>
          <w:szCs w:val="26"/>
        </w:rPr>
        <w:t xml:space="preserve"> at</w:t>
      </w:r>
      <w:r w:rsidRPr="00716CDF">
        <w:rPr>
          <w:szCs w:val="26"/>
        </w:rPr>
        <w:t xml:space="preserve"> 42.</w:t>
      </w:r>
    </w:p>
  </w:footnote>
  <w:footnote w:id="537">
    <w:p w:rsidR="00FB7F86" w:rsidRDefault="00FB7F86" w14:paraId="4C54146B" w14:textId="3DF8C50F">
      <w:pPr>
        <w:pStyle w:val="FootnoteText"/>
      </w:pPr>
      <w:r w:rsidRPr="000803E7">
        <w:rPr>
          <w:rStyle w:val="FootnoteReference"/>
        </w:rPr>
        <w:footnoteRef/>
      </w:r>
      <w:r w:rsidRPr="000803E7">
        <w:t xml:space="preserve"> </w:t>
      </w:r>
      <w:r>
        <w:rPr>
          <w:i/>
          <w:iCs/>
          <w:szCs w:val="26"/>
        </w:rPr>
        <w:t>Id.</w:t>
      </w:r>
      <w:r>
        <w:rPr>
          <w:szCs w:val="26"/>
        </w:rPr>
        <w:t xml:space="preserve"> at</w:t>
      </w:r>
      <w:r w:rsidRPr="00716CDF">
        <w:rPr>
          <w:szCs w:val="26"/>
        </w:rPr>
        <w:t xml:space="preserve"> 4</w:t>
      </w:r>
      <w:r>
        <w:rPr>
          <w:szCs w:val="26"/>
        </w:rPr>
        <w:t>4.</w:t>
      </w:r>
    </w:p>
  </w:footnote>
  <w:footnote w:id="538">
    <w:p w:rsidRPr="00716CDF" w:rsidR="00FB7F86" w:rsidP="003C749A" w:rsidRDefault="00FB7F86" w14:paraId="75524167" w14:textId="79B76E6E">
      <w:pPr>
        <w:pStyle w:val="FootnoteText"/>
        <w:rPr>
          <w:szCs w:val="26"/>
        </w:rPr>
      </w:pPr>
      <w:r w:rsidRPr="00716CDF">
        <w:rPr>
          <w:rStyle w:val="FootnoteReference"/>
        </w:rPr>
        <w:footnoteRef/>
      </w:r>
      <w:r w:rsidRPr="00716CDF">
        <w:rPr>
          <w:szCs w:val="26"/>
        </w:rPr>
        <w:t xml:space="preserve"> </w:t>
      </w:r>
      <w:r>
        <w:rPr>
          <w:i/>
          <w:iCs/>
          <w:szCs w:val="26"/>
        </w:rPr>
        <w:t>Id.</w:t>
      </w:r>
      <w:r>
        <w:rPr>
          <w:szCs w:val="26"/>
        </w:rPr>
        <w:t xml:space="preserve"> at</w:t>
      </w:r>
      <w:r w:rsidRPr="00716CDF">
        <w:rPr>
          <w:szCs w:val="26"/>
        </w:rPr>
        <w:t xml:space="preserve"> </w:t>
      </w:r>
      <w:r>
        <w:rPr>
          <w:szCs w:val="26"/>
        </w:rPr>
        <w:t>44-</w:t>
      </w:r>
      <w:r w:rsidRPr="00716CDF">
        <w:rPr>
          <w:szCs w:val="26"/>
        </w:rPr>
        <w:t>45.</w:t>
      </w:r>
    </w:p>
  </w:footnote>
  <w:footnote w:id="539">
    <w:p w:rsidRPr="00716CDF" w:rsidR="00FB7F86" w:rsidP="003C749A" w:rsidRDefault="00FB7F86" w14:paraId="6BD8F164" w14:textId="73C1F0D2">
      <w:pPr>
        <w:pStyle w:val="FootnoteText"/>
        <w:rPr>
          <w:szCs w:val="26"/>
        </w:rPr>
      </w:pPr>
      <w:r w:rsidRPr="00716CDF">
        <w:rPr>
          <w:rStyle w:val="FootnoteReference"/>
        </w:rPr>
        <w:footnoteRef/>
      </w:r>
      <w:r>
        <w:rPr>
          <w:szCs w:val="26"/>
        </w:rPr>
        <w:t xml:space="preserve"> Dominion Comments (RM16-23) at 11;</w:t>
      </w:r>
      <w:r w:rsidRPr="00716CDF">
        <w:rPr>
          <w:szCs w:val="26"/>
        </w:rPr>
        <w:t xml:space="preserve"> NYISO </w:t>
      </w:r>
      <w:r>
        <w:rPr>
          <w:szCs w:val="26"/>
        </w:rPr>
        <w:t>Comments (RM16-23) at</w:t>
      </w:r>
      <w:r w:rsidRPr="00716CDF">
        <w:rPr>
          <w:szCs w:val="26"/>
        </w:rPr>
        <w:t xml:space="preserve"> 17</w:t>
      </w:r>
      <w:r>
        <w:rPr>
          <w:szCs w:val="26"/>
        </w:rPr>
        <w:t>.</w:t>
      </w:r>
    </w:p>
  </w:footnote>
  <w:footnote w:id="540">
    <w:p w:rsidRPr="00A50DBE" w:rsidR="00FB7F86" w:rsidP="003966D1" w:rsidRDefault="00FB7F86" w14:paraId="7B1751EB" w14:textId="77777777">
      <w:pPr>
        <w:pStyle w:val="FootnoteText"/>
        <w:rPr>
          <w:szCs w:val="26"/>
        </w:rPr>
      </w:pPr>
      <w:r w:rsidRPr="00A50DBE">
        <w:rPr>
          <w:rStyle w:val="FootnoteReference"/>
        </w:rPr>
        <w:footnoteRef/>
      </w:r>
      <w:r w:rsidRPr="00A50DBE">
        <w:rPr>
          <w:szCs w:val="26"/>
        </w:rPr>
        <w:t xml:space="preserve"> </w:t>
      </w:r>
      <w:r w:rsidRPr="00A50DBE">
        <w:rPr>
          <w:rFonts w:eastAsia="Cambria"/>
          <w:color w:val="000000"/>
          <w:szCs w:val="26"/>
        </w:rPr>
        <w:t xml:space="preserve">Stem </w:t>
      </w:r>
      <w:r>
        <w:rPr>
          <w:rFonts w:eastAsia="Cambria"/>
          <w:color w:val="000000"/>
          <w:szCs w:val="26"/>
        </w:rPr>
        <w:t>Comments (RM16-23) at</w:t>
      </w:r>
      <w:r w:rsidRPr="00A50DBE">
        <w:rPr>
          <w:rFonts w:eastAsia="Cambria"/>
          <w:color w:val="000000"/>
          <w:szCs w:val="26"/>
        </w:rPr>
        <w:t xml:space="preserve"> </w:t>
      </w:r>
      <w:r>
        <w:rPr>
          <w:rFonts w:eastAsia="Cambria"/>
          <w:color w:val="000000"/>
          <w:szCs w:val="26"/>
        </w:rPr>
        <w:t xml:space="preserve">15, </w:t>
      </w:r>
      <w:r w:rsidRPr="00A50DBE">
        <w:rPr>
          <w:rFonts w:eastAsia="Cambria"/>
          <w:color w:val="000000"/>
          <w:szCs w:val="26"/>
        </w:rPr>
        <w:t xml:space="preserve">16.  </w:t>
      </w:r>
    </w:p>
  </w:footnote>
  <w:footnote w:id="541">
    <w:p w:rsidRPr="00A50DBE" w:rsidR="00FB7F86" w:rsidP="0079032D" w:rsidRDefault="00FB7F86" w14:paraId="0802BC40" w14:textId="65A2F909">
      <w:pPr>
        <w:pStyle w:val="FootnoteText"/>
        <w:rPr>
          <w:szCs w:val="26"/>
        </w:rPr>
      </w:pPr>
      <w:r w:rsidRPr="00A50DBE">
        <w:rPr>
          <w:rStyle w:val="FootnoteReference"/>
        </w:rPr>
        <w:footnoteRef/>
      </w:r>
      <w:r w:rsidRPr="00A50DBE">
        <w:rPr>
          <w:szCs w:val="26"/>
        </w:rPr>
        <w:t xml:space="preserve"> </w:t>
      </w:r>
      <w:r>
        <w:rPr>
          <w:rFonts w:eastAsia="Cambria"/>
          <w:i/>
          <w:iCs/>
          <w:color w:val="000000"/>
          <w:szCs w:val="26"/>
        </w:rPr>
        <w:t>Id.</w:t>
      </w:r>
      <w:r>
        <w:rPr>
          <w:rFonts w:eastAsia="Cambria"/>
          <w:color w:val="000000"/>
          <w:szCs w:val="26"/>
        </w:rPr>
        <w:t xml:space="preserve"> at</w:t>
      </w:r>
      <w:r w:rsidRPr="00A50DBE">
        <w:rPr>
          <w:rFonts w:eastAsia="Cambria"/>
          <w:color w:val="000000"/>
          <w:szCs w:val="26"/>
        </w:rPr>
        <w:t xml:space="preserve"> 16.</w:t>
      </w:r>
    </w:p>
  </w:footnote>
  <w:footnote w:id="542">
    <w:p w:rsidR="00FB7F86" w:rsidP="003C749A" w:rsidRDefault="00FB7F86" w14:paraId="7CB16EC7" w14:textId="77777777">
      <w:pPr>
        <w:pStyle w:val="FootnoteText"/>
      </w:pPr>
      <w:r>
        <w:rPr>
          <w:rStyle w:val="FootnoteReference"/>
        </w:rPr>
        <w:footnoteRef/>
      </w:r>
      <w:r>
        <w:t xml:space="preserve"> PJM Market Monitor Comments (2018 RM18-9) at 5.</w:t>
      </w:r>
    </w:p>
  </w:footnote>
  <w:footnote w:id="543">
    <w:p w:rsidRPr="00716CDF" w:rsidR="00FB7F86" w:rsidP="003C749A" w:rsidRDefault="00FB7F86" w14:paraId="3DF3C666" w14:textId="77777777">
      <w:pPr>
        <w:pStyle w:val="FootnoteText"/>
        <w:rPr>
          <w:szCs w:val="26"/>
        </w:rPr>
      </w:pPr>
      <w:r w:rsidRPr="00716CDF">
        <w:rPr>
          <w:rStyle w:val="FootnoteReference"/>
        </w:rPr>
        <w:footnoteRef/>
      </w:r>
      <w:r w:rsidRPr="00716CDF">
        <w:rPr>
          <w:szCs w:val="26"/>
        </w:rPr>
        <w:t xml:space="preserve"> Dominion </w:t>
      </w:r>
      <w:r>
        <w:rPr>
          <w:szCs w:val="26"/>
        </w:rPr>
        <w:t>Comments (RM16-23) at</w:t>
      </w:r>
      <w:r w:rsidRPr="00716CDF">
        <w:rPr>
          <w:szCs w:val="26"/>
        </w:rPr>
        <w:t xml:space="preserve"> 11.</w:t>
      </w:r>
    </w:p>
  </w:footnote>
  <w:footnote w:id="544">
    <w:p w:rsidRPr="00A50DBE" w:rsidR="00FB7F86" w:rsidP="00EE495D" w:rsidRDefault="00FB7F86" w14:paraId="32227F9D" w14:textId="77777777">
      <w:pPr>
        <w:pStyle w:val="FootnoteText"/>
        <w:rPr>
          <w:szCs w:val="26"/>
        </w:rPr>
      </w:pPr>
      <w:r w:rsidRPr="00A50DBE">
        <w:rPr>
          <w:rStyle w:val="FootnoteReference"/>
        </w:rPr>
        <w:footnoteRef/>
      </w:r>
      <w:r w:rsidRPr="00A50DBE">
        <w:rPr>
          <w:szCs w:val="26"/>
        </w:rPr>
        <w:t xml:space="preserve"> NYISO Indicated Transmission Owners </w:t>
      </w:r>
      <w:r>
        <w:rPr>
          <w:szCs w:val="26"/>
        </w:rPr>
        <w:t>Comments (RM16-23) at</w:t>
      </w:r>
      <w:r w:rsidRPr="00A50DBE">
        <w:rPr>
          <w:szCs w:val="26"/>
        </w:rPr>
        <w:t xml:space="preserve"> 11.</w:t>
      </w:r>
    </w:p>
  </w:footnote>
  <w:footnote w:id="545">
    <w:p w:rsidRPr="00A50DBE" w:rsidR="00FB7F86" w:rsidP="00EE495D" w:rsidRDefault="00FB7F86" w14:paraId="70867676" w14:textId="73DA8635">
      <w:pPr>
        <w:pStyle w:val="FootnoteText"/>
        <w:rPr>
          <w:szCs w:val="26"/>
        </w:rPr>
      </w:pPr>
      <w:r w:rsidRPr="00A50DBE">
        <w:rPr>
          <w:rStyle w:val="FootnoteReference"/>
        </w:rPr>
        <w:footnoteRef/>
      </w:r>
      <w:r w:rsidRPr="00A50DBE">
        <w:rPr>
          <w:szCs w:val="26"/>
        </w:rPr>
        <w:t xml:space="preserve"> </w:t>
      </w:r>
      <w:r>
        <w:rPr>
          <w:i/>
          <w:iCs/>
          <w:szCs w:val="26"/>
        </w:rPr>
        <w:t>Id.</w:t>
      </w:r>
      <w:r>
        <w:rPr>
          <w:szCs w:val="26"/>
        </w:rPr>
        <w:t xml:space="preserve"> at</w:t>
      </w:r>
      <w:r w:rsidRPr="00A50DBE">
        <w:rPr>
          <w:szCs w:val="26"/>
        </w:rPr>
        <w:t xml:space="preserve"> 11</w:t>
      </w:r>
      <w:r>
        <w:rPr>
          <w:szCs w:val="26"/>
        </w:rPr>
        <w:t>-12</w:t>
      </w:r>
      <w:r w:rsidRPr="00A50DBE">
        <w:rPr>
          <w:szCs w:val="26"/>
        </w:rPr>
        <w:t>.</w:t>
      </w:r>
    </w:p>
  </w:footnote>
  <w:footnote w:id="546">
    <w:p w:rsidR="00FB7F86" w:rsidRDefault="00FB7F86" w14:paraId="2C7D6E32" w14:textId="77777777">
      <w:pPr>
        <w:pStyle w:val="FootnoteText"/>
      </w:pPr>
      <w:r w:rsidRPr="0011086C">
        <w:rPr>
          <w:rStyle w:val="FootnoteReference"/>
        </w:rPr>
        <w:footnoteRef/>
      </w:r>
      <w:r w:rsidRPr="0011086C">
        <w:t xml:space="preserve"> </w:t>
      </w:r>
      <w:r w:rsidRPr="00716CDF">
        <w:rPr>
          <w:szCs w:val="26"/>
        </w:rPr>
        <w:t xml:space="preserve">MISO </w:t>
      </w:r>
      <w:r>
        <w:rPr>
          <w:szCs w:val="26"/>
        </w:rPr>
        <w:t>Comments (RM16-23) at</w:t>
      </w:r>
      <w:r w:rsidRPr="00716CDF">
        <w:rPr>
          <w:szCs w:val="26"/>
        </w:rPr>
        <w:t xml:space="preserve"> 23</w:t>
      </w:r>
      <w:r>
        <w:rPr>
          <w:szCs w:val="26"/>
        </w:rPr>
        <w:t>.</w:t>
      </w:r>
    </w:p>
  </w:footnote>
  <w:footnote w:id="547">
    <w:p w:rsidRPr="00716CDF" w:rsidR="00FB7F86" w:rsidP="003C749A" w:rsidRDefault="00FB7F86" w14:paraId="77530685" w14:textId="51718F27">
      <w:pPr>
        <w:pStyle w:val="FootnoteText"/>
        <w:rPr>
          <w:szCs w:val="26"/>
        </w:rPr>
      </w:pPr>
      <w:r w:rsidRPr="00716CDF">
        <w:rPr>
          <w:rStyle w:val="FootnoteReference"/>
        </w:rPr>
        <w:footnoteRef/>
      </w:r>
      <w:r w:rsidRPr="00716CDF">
        <w:rPr>
          <w:szCs w:val="26"/>
        </w:rPr>
        <w:t xml:space="preserve"> </w:t>
      </w:r>
      <w:r>
        <w:rPr>
          <w:i/>
          <w:iCs/>
          <w:szCs w:val="26"/>
        </w:rPr>
        <w:t>Id.</w:t>
      </w:r>
      <w:r>
        <w:rPr>
          <w:szCs w:val="26"/>
        </w:rPr>
        <w:t xml:space="preserve"> at</w:t>
      </w:r>
      <w:r w:rsidRPr="00716CDF">
        <w:rPr>
          <w:szCs w:val="26"/>
        </w:rPr>
        <w:t xml:space="preserve"> </w:t>
      </w:r>
      <w:r>
        <w:rPr>
          <w:szCs w:val="26"/>
        </w:rPr>
        <w:t>23-</w:t>
      </w:r>
      <w:r w:rsidRPr="00716CDF">
        <w:rPr>
          <w:szCs w:val="26"/>
        </w:rPr>
        <w:t>24.</w:t>
      </w:r>
    </w:p>
  </w:footnote>
  <w:footnote w:id="548">
    <w:p w:rsidRPr="00716CDF" w:rsidR="00FB7F86" w:rsidP="003C749A" w:rsidRDefault="00FB7F86" w14:paraId="472E024B" w14:textId="77777777">
      <w:pPr>
        <w:pStyle w:val="FootnoteText"/>
        <w:rPr>
          <w:szCs w:val="26"/>
        </w:rPr>
      </w:pPr>
      <w:r w:rsidRPr="00716CDF">
        <w:rPr>
          <w:rStyle w:val="FootnoteReference"/>
        </w:rPr>
        <w:footnoteRef/>
      </w:r>
      <w:r w:rsidRPr="00716CDF">
        <w:rPr>
          <w:szCs w:val="26"/>
        </w:rPr>
        <w:t xml:space="preserve"> Advanced Microgrid Solutions </w:t>
      </w:r>
      <w:r>
        <w:rPr>
          <w:szCs w:val="26"/>
        </w:rPr>
        <w:t>Comments (RM16-23) at</w:t>
      </w:r>
      <w:r w:rsidRPr="00716CDF">
        <w:rPr>
          <w:szCs w:val="26"/>
        </w:rPr>
        <w:t xml:space="preserve"> 7.</w:t>
      </w:r>
    </w:p>
  </w:footnote>
  <w:footnote w:id="549">
    <w:p w:rsidR="00FB7F86" w:rsidRDefault="00FB7F86" w14:paraId="4F5C1E3F" w14:textId="308A34B4">
      <w:pPr>
        <w:pStyle w:val="FootnoteText"/>
      </w:pPr>
      <w:r>
        <w:rPr>
          <w:rStyle w:val="FootnoteReference"/>
        </w:rPr>
        <w:footnoteRef/>
      </w:r>
      <w:r>
        <w:t xml:space="preserve"> </w:t>
      </w:r>
      <w:r>
        <w:rPr>
          <w:i/>
          <w:iCs/>
          <w:szCs w:val="26"/>
        </w:rPr>
        <w:t>Id.</w:t>
      </w:r>
      <w:r>
        <w:rPr>
          <w:szCs w:val="26"/>
        </w:rPr>
        <w:t xml:space="preserve"> at</w:t>
      </w:r>
      <w:r w:rsidRPr="00716CDF">
        <w:rPr>
          <w:szCs w:val="26"/>
        </w:rPr>
        <w:t xml:space="preserve"> 8.</w:t>
      </w:r>
    </w:p>
  </w:footnote>
  <w:footnote w:id="550">
    <w:p w:rsidRPr="00A50DBE" w:rsidR="00FB7F86" w:rsidP="00547F0F" w:rsidRDefault="00FB7F86" w14:paraId="0CDA57D1" w14:textId="77777777">
      <w:pPr>
        <w:pStyle w:val="FootnoteText"/>
        <w:rPr>
          <w:szCs w:val="26"/>
        </w:rPr>
      </w:pPr>
      <w:r w:rsidRPr="00A50DBE">
        <w:rPr>
          <w:rStyle w:val="FootnoteReference"/>
          <w:szCs w:val="26"/>
        </w:rPr>
        <w:footnoteRef/>
      </w:r>
      <w:r w:rsidRPr="00A50DBE">
        <w:rPr>
          <w:szCs w:val="26"/>
        </w:rPr>
        <w:t xml:space="preserve"> </w:t>
      </w:r>
      <w:r w:rsidRPr="00A50DBE">
        <w:rPr>
          <w:rFonts w:eastAsia="Cambria"/>
          <w:color w:val="000000"/>
          <w:szCs w:val="26"/>
        </w:rPr>
        <w:t xml:space="preserve">Microgrid Resources Coalition </w:t>
      </w:r>
      <w:r>
        <w:rPr>
          <w:rFonts w:eastAsia="Cambria"/>
          <w:color w:val="000000"/>
          <w:szCs w:val="26"/>
        </w:rPr>
        <w:t>Comments (RM16-23) at</w:t>
      </w:r>
      <w:r w:rsidRPr="00A50DBE">
        <w:rPr>
          <w:rFonts w:eastAsia="Cambria"/>
          <w:color w:val="000000"/>
          <w:szCs w:val="26"/>
        </w:rPr>
        <w:t xml:space="preserve"> 6.</w:t>
      </w:r>
    </w:p>
  </w:footnote>
  <w:footnote w:id="551">
    <w:p w:rsidRPr="00716CDF" w:rsidR="00FB7F86" w:rsidP="003C749A" w:rsidRDefault="00FB7F86" w14:paraId="128A4068" w14:textId="77777777">
      <w:pPr>
        <w:pStyle w:val="FootnoteText"/>
        <w:rPr>
          <w:szCs w:val="26"/>
        </w:rPr>
      </w:pPr>
      <w:r w:rsidRPr="00716CDF">
        <w:rPr>
          <w:rStyle w:val="FootnoteReference"/>
        </w:rPr>
        <w:footnoteRef/>
      </w:r>
      <w:r w:rsidRPr="00716CDF">
        <w:rPr>
          <w:szCs w:val="26"/>
        </w:rPr>
        <w:t xml:space="preserve"> EPRI </w:t>
      </w:r>
      <w:r>
        <w:rPr>
          <w:szCs w:val="26"/>
        </w:rPr>
        <w:t>Comments (RM16-23) at</w:t>
      </w:r>
      <w:r w:rsidRPr="00716CDF">
        <w:rPr>
          <w:szCs w:val="26"/>
        </w:rPr>
        <w:t xml:space="preserve"> 28.</w:t>
      </w:r>
    </w:p>
  </w:footnote>
  <w:footnote w:id="552">
    <w:p w:rsidRPr="00716CDF" w:rsidR="00FB7F86" w:rsidP="003C749A" w:rsidRDefault="00FB7F86" w14:paraId="08F8F756" w14:textId="4F482C53">
      <w:pPr>
        <w:pStyle w:val="FootnoteText"/>
        <w:rPr>
          <w:szCs w:val="26"/>
        </w:rPr>
      </w:pPr>
      <w:r w:rsidRPr="00716CDF">
        <w:rPr>
          <w:rStyle w:val="FootnoteReference"/>
        </w:rPr>
        <w:footnoteRef/>
      </w:r>
      <w:r w:rsidRPr="00716CDF">
        <w:rPr>
          <w:szCs w:val="26"/>
        </w:rPr>
        <w:t xml:space="preserve"> </w:t>
      </w:r>
      <w:r>
        <w:rPr>
          <w:i/>
          <w:iCs/>
          <w:szCs w:val="26"/>
        </w:rPr>
        <w:t>Id.</w:t>
      </w:r>
      <w:r>
        <w:rPr>
          <w:szCs w:val="26"/>
        </w:rPr>
        <w:t xml:space="preserve"> at</w:t>
      </w:r>
      <w:r w:rsidRPr="00716CDF">
        <w:rPr>
          <w:szCs w:val="26"/>
        </w:rPr>
        <w:t xml:space="preserve"> 29.</w:t>
      </w:r>
    </w:p>
  </w:footnote>
  <w:footnote w:id="553">
    <w:p w:rsidRPr="00716CDF" w:rsidR="00FB7F86" w:rsidP="003C749A" w:rsidRDefault="00FB7F86" w14:paraId="65A06E14" w14:textId="77777777">
      <w:pPr>
        <w:pStyle w:val="FootnoteText"/>
        <w:rPr>
          <w:szCs w:val="26"/>
        </w:rPr>
      </w:pPr>
      <w:r w:rsidRPr="00716CDF">
        <w:rPr>
          <w:rStyle w:val="FootnoteReference"/>
        </w:rPr>
        <w:footnoteRef/>
      </w:r>
      <w:r w:rsidRPr="00716CDF">
        <w:rPr>
          <w:szCs w:val="26"/>
        </w:rPr>
        <w:t xml:space="preserve"> SPP </w:t>
      </w:r>
      <w:r>
        <w:rPr>
          <w:szCs w:val="26"/>
        </w:rPr>
        <w:t>Comments (RM16-23) at</w:t>
      </w:r>
      <w:r w:rsidRPr="00716CDF">
        <w:rPr>
          <w:szCs w:val="26"/>
        </w:rPr>
        <w:t xml:space="preserve"> 20.</w:t>
      </w:r>
    </w:p>
  </w:footnote>
  <w:footnote w:id="554">
    <w:p w:rsidRPr="00716CDF" w:rsidR="00FB7F86" w:rsidP="003C749A" w:rsidRDefault="00FB7F86" w14:paraId="56ABE462" w14:textId="77777777">
      <w:pPr>
        <w:pStyle w:val="FootnoteText"/>
        <w:rPr>
          <w:szCs w:val="26"/>
        </w:rPr>
      </w:pPr>
      <w:r w:rsidRPr="00716CDF">
        <w:rPr>
          <w:rStyle w:val="FootnoteReference"/>
        </w:rPr>
        <w:footnoteRef/>
      </w:r>
      <w:r w:rsidRPr="00716CDF">
        <w:rPr>
          <w:szCs w:val="26"/>
        </w:rPr>
        <w:t xml:space="preserve"> CAISO </w:t>
      </w:r>
      <w:r>
        <w:rPr>
          <w:szCs w:val="26"/>
        </w:rPr>
        <w:t>Comments (RM16-23) at</w:t>
      </w:r>
      <w:r w:rsidRPr="00716CDF">
        <w:rPr>
          <w:szCs w:val="26"/>
        </w:rPr>
        <w:t xml:space="preserve"> 31.</w:t>
      </w:r>
    </w:p>
  </w:footnote>
  <w:footnote w:id="555">
    <w:p w:rsidRPr="00716CDF" w:rsidR="00FB7F86" w:rsidP="003C749A" w:rsidRDefault="00FB7F86" w14:paraId="1B656BC1" w14:textId="77777777">
      <w:pPr>
        <w:pStyle w:val="FootnoteText"/>
        <w:rPr>
          <w:szCs w:val="26"/>
        </w:rPr>
      </w:pPr>
      <w:r w:rsidRPr="00716CDF">
        <w:rPr>
          <w:rStyle w:val="FootnoteReference"/>
        </w:rPr>
        <w:footnoteRef/>
      </w:r>
      <w:r w:rsidRPr="00716CDF">
        <w:rPr>
          <w:szCs w:val="26"/>
        </w:rPr>
        <w:t xml:space="preserve"> Duke Energy </w:t>
      </w:r>
      <w:r>
        <w:rPr>
          <w:szCs w:val="26"/>
        </w:rPr>
        <w:t>Comments (RM16-23) at</w:t>
      </w:r>
      <w:r w:rsidRPr="00716CDF">
        <w:rPr>
          <w:szCs w:val="26"/>
        </w:rPr>
        <w:t xml:space="preserve"> 6-7.</w:t>
      </w:r>
    </w:p>
  </w:footnote>
  <w:footnote w:id="556">
    <w:p w:rsidRPr="00716CDF" w:rsidR="00FB7F86" w:rsidP="009821FB" w:rsidRDefault="00FB7F86" w14:paraId="422A8CCC" w14:textId="77777777">
      <w:pPr>
        <w:pStyle w:val="FootnoteText"/>
        <w:rPr>
          <w:szCs w:val="26"/>
        </w:rPr>
      </w:pPr>
      <w:r w:rsidRPr="00716CDF">
        <w:rPr>
          <w:rStyle w:val="FootnoteReference"/>
        </w:rPr>
        <w:footnoteRef/>
      </w:r>
      <w:r w:rsidRPr="00716CDF">
        <w:rPr>
          <w:szCs w:val="26"/>
        </w:rPr>
        <w:t xml:space="preserve"> NRG </w:t>
      </w:r>
      <w:r>
        <w:rPr>
          <w:szCs w:val="26"/>
        </w:rPr>
        <w:t>Comments (RM16-23) at</w:t>
      </w:r>
      <w:r w:rsidRPr="00716CDF">
        <w:rPr>
          <w:szCs w:val="26"/>
        </w:rPr>
        <w:t xml:space="preserve"> 14.</w:t>
      </w:r>
    </w:p>
  </w:footnote>
  <w:footnote w:id="557">
    <w:p w:rsidR="00FB7F86" w:rsidP="003C749A" w:rsidRDefault="00FB7F86" w14:paraId="5CD59638" w14:textId="77777777">
      <w:pPr>
        <w:pStyle w:val="FootnoteText"/>
      </w:pPr>
      <w:r>
        <w:rPr>
          <w:rStyle w:val="FootnoteReference"/>
        </w:rPr>
        <w:footnoteRef/>
      </w:r>
      <w:r>
        <w:t xml:space="preserve"> EPRI Comments (2018 RM18-9) at 5.</w:t>
      </w:r>
    </w:p>
  </w:footnote>
  <w:footnote w:id="558">
    <w:p w:rsidR="00FB7F86" w:rsidRDefault="00FB7F86" w14:paraId="218A7687" w14:textId="5CCAB36D">
      <w:pPr>
        <w:pStyle w:val="FootnoteText"/>
      </w:pPr>
      <w:r>
        <w:rPr>
          <w:rStyle w:val="FootnoteReference"/>
        </w:rPr>
        <w:footnoteRef/>
      </w:r>
      <w:r>
        <w:t xml:space="preserve"> </w:t>
      </w:r>
      <w:r w:rsidRPr="00FF398D">
        <w:t>We note that distribution factors are only necessary to the extent that distributed energy resources participating in an aggregation are located at different nodes.  This methodology would apply only when distributed energy resources located at different nodes participate in the same aggregation to provide a particular market service.</w:t>
      </w:r>
    </w:p>
  </w:footnote>
  <w:footnote w:id="559">
    <w:p w:rsidRPr="00104998" w:rsidR="00FB7F86" w:rsidP="00FB7F86" w:rsidRDefault="00FB7F86" w14:paraId="1F9309CB" w14:textId="30459CD0">
      <w:pPr>
        <w:pStyle w:val="FootnoteText"/>
        <w:widowControl/>
      </w:pPr>
      <w:r>
        <w:rPr>
          <w:rStyle w:val="FootnoteReference"/>
        </w:rPr>
        <w:footnoteRef/>
      </w:r>
      <w:r>
        <w:t xml:space="preserve"> For example, such bidding parameters could include response rates, ramp rates, and upper and lower operating limits.  </w:t>
      </w:r>
      <w:r w:rsidRPr="00F733C2">
        <w:rPr>
          <w:i/>
          <w:iCs/>
        </w:rPr>
        <w:t>See</w:t>
      </w:r>
      <w:r>
        <w:t xml:space="preserve"> CAISO Tariff, Section 30.5.2.1; </w:t>
      </w:r>
      <w:r w:rsidRPr="00AC20F1">
        <w:rPr>
          <w:rFonts w:eastAsia="Cambria"/>
          <w:szCs w:val="26"/>
        </w:rPr>
        <w:t xml:space="preserve">NYISO Tariffs, NYISO MST, </w:t>
      </w:r>
      <w:r>
        <w:t>Section 4.2.1.3.3</w:t>
      </w:r>
      <w:r w:rsidRPr="00AC20F1">
        <w:rPr>
          <w:rFonts w:eastAsia="Cambria"/>
          <w:szCs w:val="26"/>
        </w:rPr>
        <w:t xml:space="preserve"> (1</w:t>
      </w:r>
      <w:r>
        <w:rPr>
          <w:rFonts w:eastAsia="Cambria"/>
          <w:szCs w:val="26"/>
        </w:rPr>
        <w:t>8</w:t>
      </w:r>
      <w:r w:rsidRPr="00AC20F1">
        <w:rPr>
          <w:rFonts w:eastAsia="Cambria"/>
          <w:szCs w:val="26"/>
        </w:rPr>
        <w:t>.0.0)</w:t>
      </w:r>
      <w:r>
        <w:t>.</w:t>
      </w:r>
    </w:p>
  </w:footnote>
  <w:footnote w:id="560">
    <w:p w:rsidR="00FB7F86" w:rsidP="007F6E35" w:rsidRDefault="00FB7F86" w14:paraId="446146C9" w14:textId="3ABE08A0">
      <w:pPr>
        <w:pStyle w:val="FootnoteText"/>
      </w:pPr>
      <w:r>
        <w:rPr>
          <w:rStyle w:val="FootnoteReference"/>
        </w:rPr>
        <w:footnoteRef/>
      </w:r>
      <w:r>
        <w:t xml:space="preserve"> NOPR, 157 FERC ¶ 61,121 at P 142.</w:t>
      </w:r>
    </w:p>
  </w:footnote>
  <w:footnote w:id="561">
    <w:p w:rsidR="00FB7F86" w:rsidP="007F6E35" w:rsidRDefault="00FB7F86" w14:paraId="13187515" w14:textId="1ED95534">
      <w:pPr>
        <w:pStyle w:val="FootnoteText"/>
      </w:pPr>
      <w:r>
        <w:rPr>
          <w:rStyle w:val="FootnoteReference"/>
        </w:rPr>
        <w:footnoteRef/>
      </w:r>
      <w:r>
        <w:t xml:space="preserve"> </w:t>
      </w:r>
      <w:r>
        <w:rPr>
          <w:i/>
          <w:iCs/>
        </w:rPr>
        <w:t>Id.</w:t>
      </w:r>
      <w:r>
        <w:t xml:space="preserve"> P 143.</w:t>
      </w:r>
    </w:p>
  </w:footnote>
  <w:footnote w:id="562">
    <w:p w:rsidR="00FB7F86" w:rsidP="00436212" w:rsidRDefault="00FB7F86" w14:paraId="5AB00746" w14:textId="12A678B2">
      <w:pPr>
        <w:pStyle w:val="FootnoteText"/>
        <w:spacing w:after="120"/>
        <w:contextualSpacing/>
        <w:rPr>
          <w:szCs w:val="26"/>
        </w:rPr>
      </w:pPr>
      <w:r w:rsidRPr="00D722BF">
        <w:rPr>
          <w:rStyle w:val="FootnoteReference"/>
        </w:rPr>
        <w:footnoteRef/>
      </w:r>
      <w:r w:rsidRPr="00D722BF">
        <w:rPr>
          <w:szCs w:val="26"/>
        </w:rPr>
        <w:t xml:space="preserve"> </w:t>
      </w:r>
      <w:r>
        <w:rPr>
          <w:i/>
          <w:iCs/>
        </w:rPr>
        <w:t>Id.</w:t>
      </w:r>
      <w:r w:rsidRPr="00D722BF">
        <w:rPr>
          <w:szCs w:val="26"/>
        </w:rPr>
        <w:t xml:space="preserve"> P</w:t>
      </w:r>
      <w:r>
        <w:rPr>
          <w:szCs w:val="26"/>
        </w:rPr>
        <w:t> </w:t>
      </w:r>
      <w:r w:rsidRPr="00D722BF">
        <w:rPr>
          <w:szCs w:val="26"/>
        </w:rPr>
        <w:t>145.</w:t>
      </w:r>
    </w:p>
    <w:p w:rsidRPr="00D722BF" w:rsidR="00FB7F86" w:rsidP="00436212" w:rsidRDefault="00FB7F86" w14:paraId="2E13F96C" w14:textId="77777777">
      <w:pPr>
        <w:pStyle w:val="FootnoteText"/>
        <w:spacing w:after="120"/>
        <w:contextualSpacing/>
        <w:rPr>
          <w:szCs w:val="26"/>
        </w:rPr>
      </w:pPr>
    </w:p>
  </w:footnote>
  <w:footnote w:id="563">
    <w:p w:rsidR="00FB7F86" w:rsidP="00436212" w:rsidRDefault="00FB7F86" w14:paraId="4F547AC7" w14:textId="1770FF1C">
      <w:pPr>
        <w:pStyle w:val="FootnoteText"/>
        <w:spacing w:after="120"/>
        <w:contextualSpacing/>
        <w:rPr>
          <w:szCs w:val="26"/>
        </w:rPr>
      </w:pPr>
      <w:r w:rsidRPr="00D722BF">
        <w:rPr>
          <w:rStyle w:val="FootnoteReference"/>
        </w:rPr>
        <w:footnoteRef/>
      </w:r>
      <w:r w:rsidRPr="00D722BF">
        <w:rPr>
          <w:szCs w:val="26"/>
        </w:rPr>
        <w:t xml:space="preserve"> </w:t>
      </w:r>
      <w:r>
        <w:rPr>
          <w:i/>
          <w:iCs/>
        </w:rPr>
        <w:t>Id.</w:t>
      </w:r>
      <w:r w:rsidRPr="00D722BF">
        <w:rPr>
          <w:szCs w:val="26"/>
        </w:rPr>
        <w:t xml:space="preserve"> P</w:t>
      </w:r>
      <w:r>
        <w:rPr>
          <w:szCs w:val="26"/>
        </w:rPr>
        <w:t> </w:t>
      </w:r>
      <w:r w:rsidRPr="00D722BF">
        <w:rPr>
          <w:szCs w:val="26"/>
        </w:rPr>
        <w:t>147.</w:t>
      </w:r>
    </w:p>
    <w:p w:rsidRPr="00D722BF" w:rsidR="00FB7F86" w:rsidP="00436212" w:rsidRDefault="00FB7F86" w14:paraId="76F6F643" w14:textId="77777777">
      <w:pPr>
        <w:pStyle w:val="FootnoteText"/>
        <w:spacing w:after="120"/>
        <w:contextualSpacing/>
        <w:rPr>
          <w:szCs w:val="26"/>
        </w:rPr>
      </w:pPr>
    </w:p>
  </w:footnote>
  <w:footnote w:id="564">
    <w:p w:rsidR="00FB7F86" w:rsidP="00436212" w:rsidRDefault="00FB7F86" w14:paraId="7B525D99" w14:textId="64F7A2B9">
      <w:pPr>
        <w:pStyle w:val="FootnoteText"/>
        <w:spacing w:after="120"/>
        <w:contextualSpacing/>
        <w:rPr>
          <w:szCs w:val="26"/>
        </w:rPr>
      </w:pPr>
      <w:r w:rsidRPr="00D722BF">
        <w:rPr>
          <w:rStyle w:val="FootnoteReference"/>
        </w:rPr>
        <w:footnoteRef/>
      </w:r>
      <w:r w:rsidRPr="00D722BF">
        <w:rPr>
          <w:szCs w:val="26"/>
        </w:rPr>
        <w:t xml:space="preserve"> </w:t>
      </w:r>
      <w:r>
        <w:rPr>
          <w:i/>
          <w:iCs/>
        </w:rPr>
        <w:t>Id.</w:t>
      </w:r>
      <w:r w:rsidRPr="00D722BF">
        <w:rPr>
          <w:szCs w:val="26"/>
        </w:rPr>
        <w:t xml:space="preserve"> PP</w:t>
      </w:r>
      <w:r>
        <w:rPr>
          <w:szCs w:val="26"/>
        </w:rPr>
        <w:t> </w:t>
      </w:r>
      <w:r w:rsidRPr="00D722BF">
        <w:rPr>
          <w:szCs w:val="26"/>
        </w:rPr>
        <w:t>146, 147.</w:t>
      </w:r>
    </w:p>
    <w:p w:rsidRPr="00D722BF" w:rsidR="00FB7F86" w:rsidP="00436212" w:rsidRDefault="00FB7F86" w14:paraId="21DDC120" w14:textId="77777777">
      <w:pPr>
        <w:pStyle w:val="FootnoteText"/>
        <w:spacing w:after="120"/>
        <w:contextualSpacing/>
        <w:rPr>
          <w:szCs w:val="26"/>
        </w:rPr>
      </w:pPr>
    </w:p>
  </w:footnote>
  <w:footnote w:id="565">
    <w:p w:rsidR="00FB7F86" w:rsidP="00436212" w:rsidRDefault="00FB7F86" w14:paraId="65477234" w14:textId="71D9319A">
      <w:pPr>
        <w:pStyle w:val="FootnoteText"/>
      </w:pPr>
      <w:r w:rsidRPr="000260F2">
        <w:rPr>
          <w:rStyle w:val="FootnoteReference"/>
        </w:rPr>
        <w:footnoteRef/>
      </w:r>
      <w:r w:rsidRPr="00E93858">
        <w:t xml:space="preserve"> </w:t>
      </w:r>
      <w:r w:rsidRPr="00E93858">
        <w:rPr>
          <w:szCs w:val="26"/>
        </w:rPr>
        <w:t>CAISO Comments (RM16-23) at 32; EEI Comments (RM16-23) at 31; Organization of MISO States Comments (RM16-23) at 8.</w:t>
      </w:r>
    </w:p>
  </w:footnote>
  <w:footnote w:id="566">
    <w:p w:rsidR="00FB7F86" w:rsidP="00436212" w:rsidRDefault="00FB7F86" w14:paraId="00F51CBF" w14:textId="77777777">
      <w:pPr>
        <w:pStyle w:val="FootnoteText"/>
      </w:pPr>
      <w:r>
        <w:rPr>
          <w:rStyle w:val="FootnoteReference"/>
        </w:rPr>
        <w:footnoteRef/>
      </w:r>
      <w:r>
        <w:t xml:space="preserve"> </w:t>
      </w:r>
      <w:r w:rsidRPr="009F0A9E">
        <w:rPr>
          <w:szCs w:val="26"/>
        </w:rPr>
        <w:t xml:space="preserve">New York Commission </w:t>
      </w:r>
      <w:r>
        <w:rPr>
          <w:szCs w:val="26"/>
        </w:rPr>
        <w:t>Comments (RM16-23) at</w:t>
      </w:r>
      <w:r w:rsidRPr="009F0A9E">
        <w:rPr>
          <w:szCs w:val="26"/>
        </w:rPr>
        <w:t xml:space="preserve"> 14.</w:t>
      </w:r>
    </w:p>
  </w:footnote>
  <w:footnote w:id="567">
    <w:p w:rsidR="00FB7F86" w:rsidP="00436212" w:rsidRDefault="00FB7F86" w14:paraId="565C756C" w14:textId="77777777">
      <w:pPr>
        <w:pStyle w:val="FootnoteText"/>
      </w:pPr>
      <w:r w:rsidRPr="00716CDF">
        <w:rPr>
          <w:rStyle w:val="FootnoteReference"/>
        </w:rPr>
        <w:footnoteRef/>
      </w:r>
      <w:r>
        <w:t xml:space="preserve"> </w:t>
      </w:r>
      <w:r w:rsidRPr="00716CDF">
        <w:rPr>
          <w:szCs w:val="26"/>
        </w:rPr>
        <w:t xml:space="preserve">Mosaic Power </w:t>
      </w:r>
      <w:r>
        <w:rPr>
          <w:szCs w:val="26"/>
        </w:rPr>
        <w:t>Comments (RM16-23) at</w:t>
      </w:r>
      <w:r w:rsidRPr="00716CDF">
        <w:rPr>
          <w:szCs w:val="26"/>
        </w:rPr>
        <w:t xml:space="preserve"> 6.</w:t>
      </w:r>
    </w:p>
  </w:footnote>
  <w:footnote w:id="568">
    <w:p w:rsidR="00FB7F86" w:rsidP="00436212" w:rsidRDefault="00FB7F86" w14:paraId="34118641" w14:textId="77777777">
      <w:pPr>
        <w:pStyle w:val="FootnoteText"/>
      </w:pPr>
      <w:r w:rsidRPr="00D722BF">
        <w:rPr>
          <w:rStyle w:val="FootnoteReference"/>
        </w:rPr>
        <w:footnoteRef/>
      </w:r>
      <w:r>
        <w:t xml:space="preserve"> </w:t>
      </w:r>
      <w:r w:rsidRPr="00D722BF">
        <w:rPr>
          <w:szCs w:val="26"/>
        </w:rPr>
        <w:t xml:space="preserve">ISO-NE </w:t>
      </w:r>
      <w:r>
        <w:rPr>
          <w:szCs w:val="26"/>
        </w:rPr>
        <w:t>Comments (RM16-23) at</w:t>
      </w:r>
      <w:r w:rsidRPr="00D722BF">
        <w:rPr>
          <w:szCs w:val="26"/>
        </w:rPr>
        <w:t xml:space="preserve"> 46-47; NYISO </w:t>
      </w:r>
      <w:r>
        <w:rPr>
          <w:szCs w:val="26"/>
        </w:rPr>
        <w:t>Comments (RM16-23) at</w:t>
      </w:r>
      <w:r w:rsidRPr="00D722BF">
        <w:rPr>
          <w:szCs w:val="26"/>
        </w:rPr>
        <w:t xml:space="preserve"> 17.</w:t>
      </w:r>
    </w:p>
  </w:footnote>
  <w:footnote w:id="569">
    <w:p w:rsidR="00FB7F86" w:rsidP="00436212" w:rsidRDefault="00FB7F86" w14:paraId="1F583EA3" w14:textId="533FC6EF">
      <w:pPr>
        <w:pStyle w:val="FootnoteText"/>
        <w:spacing w:after="120"/>
        <w:contextualSpacing/>
        <w:rPr>
          <w:szCs w:val="26"/>
        </w:rPr>
      </w:pPr>
      <w:r w:rsidRPr="00D722BF">
        <w:rPr>
          <w:rStyle w:val="FootnoteReference"/>
        </w:rPr>
        <w:footnoteRef/>
      </w:r>
      <w:r w:rsidRPr="00D722BF">
        <w:rPr>
          <w:szCs w:val="26"/>
        </w:rPr>
        <w:t xml:space="preserve"> </w:t>
      </w:r>
      <w:r>
        <w:rPr>
          <w:i/>
          <w:iCs/>
          <w:szCs w:val="26"/>
        </w:rPr>
        <w:t>See, e.g.</w:t>
      </w:r>
      <w:r w:rsidRPr="00976A78">
        <w:rPr>
          <w:szCs w:val="26"/>
        </w:rPr>
        <w:t>,</w:t>
      </w:r>
      <w:r>
        <w:rPr>
          <w:i/>
          <w:iCs/>
          <w:szCs w:val="26"/>
        </w:rPr>
        <w:t xml:space="preserve"> </w:t>
      </w:r>
      <w:r w:rsidRPr="00D722BF">
        <w:rPr>
          <w:szCs w:val="26"/>
        </w:rPr>
        <w:t xml:space="preserve">Advanced Microgrid Solutions </w:t>
      </w:r>
      <w:r>
        <w:rPr>
          <w:szCs w:val="26"/>
        </w:rPr>
        <w:t>Comments (RM16-23) at</w:t>
      </w:r>
      <w:r w:rsidRPr="00D722BF">
        <w:rPr>
          <w:szCs w:val="26"/>
        </w:rPr>
        <w:t xml:space="preserve"> 8; AES Companies </w:t>
      </w:r>
      <w:r>
        <w:rPr>
          <w:szCs w:val="26"/>
        </w:rPr>
        <w:t>Comments (RM16-23) at</w:t>
      </w:r>
      <w:r w:rsidRPr="00D722BF">
        <w:rPr>
          <w:szCs w:val="26"/>
        </w:rPr>
        <w:t xml:space="preserve"> 41, 45-46; DER/Storage Developer </w:t>
      </w:r>
      <w:r>
        <w:rPr>
          <w:szCs w:val="26"/>
        </w:rPr>
        <w:t>Comments (RM16-23) at</w:t>
      </w:r>
      <w:r w:rsidRPr="00D722BF">
        <w:rPr>
          <w:szCs w:val="26"/>
        </w:rPr>
        <w:t xml:space="preserve"> 3-4; MISO Transmission Owners </w:t>
      </w:r>
      <w:r>
        <w:rPr>
          <w:szCs w:val="26"/>
        </w:rPr>
        <w:t>Comments (RM16-23) at</w:t>
      </w:r>
      <w:r w:rsidRPr="00D722BF">
        <w:rPr>
          <w:szCs w:val="26"/>
        </w:rPr>
        <w:t xml:space="preserve"> 22; Stem </w:t>
      </w:r>
      <w:r>
        <w:rPr>
          <w:szCs w:val="26"/>
        </w:rPr>
        <w:t>Comments (RM16-23) at</w:t>
      </w:r>
      <w:r w:rsidRPr="00D722BF">
        <w:rPr>
          <w:szCs w:val="26"/>
        </w:rPr>
        <w:t xml:space="preserve"> 13-14.</w:t>
      </w:r>
    </w:p>
    <w:p w:rsidRPr="00D722BF" w:rsidR="00FB7F86" w:rsidP="00436212" w:rsidRDefault="00FB7F86" w14:paraId="1767B095" w14:textId="77777777">
      <w:pPr>
        <w:pStyle w:val="FootnoteText"/>
        <w:spacing w:after="120"/>
        <w:contextualSpacing/>
        <w:rPr>
          <w:szCs w:val="26"/>
        </w:rPr>
      </w:pPr>
    </w:p>
  </w:footnote>
  <w:footnote w:id="570">
    <w:p w:rsidR="00FB7F86" w:rsidP="00436212" w:rsidRDefault="00FB7F86" w14:paraId="7FEE14E6" w14:textId="68245938">
      <w:pPr>
        <w:pStyle w:val="FootnoteText"/>
        <w:spacing w:after="120"/>
        <w:contextualSpacing/>
        <w:rPr>
          <w:szCs w:val="26"/>
        </w:rPr>
      </w:pPr>
      <w:r w:rsidRPr="00D722BF">
        <w:rPr>
          <w:rStyle w:val="FootnoteReference"/>
        </w:rPr>
        <w:footnoteRef/>
      </w:r>
      <w:r w:rsidRPr="00D722BF">
        <w:rPr>
          <w:szCs w:val="26"/>
        </w:rPr>
        <w:t xml:space="preserve"> </w:t>
      </w:r>
      <w:r>
        <w:rPr>
          <w:szCs w:val="26"/>
        </w:rPr>
        <w:t xml:space="preserve">Efficient Holdings Comments (RM16-23) </w:t>
      </w:r>
      <w:r w:rsidRPr="006F6C96">
        <w:rPr>
          <w:szCs w:val="26"/>
        </w:rPr>
        <w:t>at 20.</w:t>
      </w:r>
    </w:p>
    <w:p w:rsidRPr="00D722BF" w:rsidR="00FB7F86" w:rsidP="00436212" w:rsidRDefault="00FB7F86" w14:paraId="6BA4B469" w14:textId="77777777">
      <w:pPr>
        <w:pStyle w:val="FootnoteText"/>
        <w:spacing w:after="120"/>
        <w:contextualSpacing/>
        <w:rPr>
          <w:szCs w:val="26"/>
        </w:rPr>
      </w:pPr>
    </w:p>
  </w:footnote>
  <w:footnote w:id="571">
    <w:p w:rsidR="00FB7F86" w:rsidP="00436212" w:rsidRDefault="00FB7F86" w14:paraId="28AA1FE6" w14:textId="77777777">
      <w:pPr>
        <w:pStyle w:val="FootnoteText"/>
      </w:pPr>
      <w:r w:rsidRPr="00D722BF">
        <w:rPr>
          <w:rStyle w:val="FootnoteReference"/>
        </w:rPr>
        <w:footnoteRef/>
      </w:r>
      <w:r>
        <w:t xml:space="preserve"> </w:t>
      </w:r>
      <w:r w:rsidRPr="00D722BF">
        <w:rPr>
          <w:szCs w:val="26"/>
        </w:rPr>
        <w:t xml:space="preserve">CAISO </w:t>
      </w:r>
      <w:r>
        <w:rPr>
          <w:szCs w:val="26"/>
        </w:rPr>
        <w:t>Comments (RM16-23) at</w:t>
      </w:r>
      <w:r w:rsidRPr="00D722BF">
        <w:rPr>
          <w:szCs w:val="26"/>
        </w:rPr>
        <w:t xml:space="preserve"> 33; Efficient Holdings </w:t>
      </w:r>
      <w:r>
        <w:rPr>
          <w:szCs w:val="26"/>
        </w:rPr>
        <w:t>Comments (RM16-23) at</w:t>
      </w:r>
      <w:r w:rsidRPr="00D722BF">
        <w:rPr>
          <w:szCs w:val="26"/>
        </w:rPr>
        <w:t xml:space="preserve"> 11, 19-20; R Street Institute </w:t>
      </w:r>
      <w:r>
        <w:rPr>
          <w:szCs w:val="26"/>
        </w:rPr>
        <w:t>Comments (RM16-23) at</w:t>
      </w:r>
      <w:r w:rsidRPr="00D722BF">
        <w:rPr>
          <w:szCs w:val="26"/>
        </w:rPr>
        <w:t xml:space="preserve"> 10.</w:t>
      </w:r>
    </w:p>
  </w:footnote>
  <w:footnote w:id="572">
    <w:p w:rsidR="00FB7F86" w:rsidP="00436212" w:rsidRDefault="00FB7F86" w14:paraId="219688DB" w14:textId="77777777">
      <w:pPr>
        <w:pStyle w:val="FootnoteText"/>
      </w:pPr>
      <w:r w:rsidRPr="00D722BF">
        <w:rPr>
          <w:rStyle w:val="FootnoteReference"/>
        </w:rPr>
        <w:footnoteRef/>
      </w:r>
      <w:r>
        <w:t xml:space="preserve"> </w:t>
      </w:r>
      <w:r w:rsidRPr="00D722BF">
        <w:rPr>
          <w:szCs w:val="26"/>
        </w:rPr>
        <w:t xml:space="preserve">CAISO </w:t>
      </w:r>
      <w:r>
        <w:rPr>
          <w:szCs w:val="26"/>
        </w:rPr>
        <w:t>Comments (RM16-23) at</w:t>
      </w:r>
      <w:r w:rsidRPr="00D722BF">
        <w:rPr>
          <w:szCs w:val="26"/>
        </w:rPr>
        <w:t xml:space="preserve"> 32-34.</w:t>
      </w:r>
    </w:p>
  </w:footnote>
  <w:footnote w:id="573">
    <w:p w:rsidR="00FB7F86" w:rsidP="00436212" w:rsidRDefault="00FB7F86" w14:paraId="270D0C48" w14:textId="77777777">
      <w:pPr>
        <w:pStyle w:val="FootnoteText"/>
      </w:pPr>
      <w:r w:rsidRPr="00D722BF">
        <w:rPr>
          <w:rStyle w:val="FootnoteReference"/>
        </w:rPr>
        <w:footnoteRef/>
      </w:r>
      <w:r>
        <w:t xml:space="preserve"> </w:t>
      </w:r>
      <w:r w:rsidRPr="00D722BF">
        <w:rPr>
          <w:szCs w:val="26"/>
        </w:rPr>
        <w:t xml:space="preserve">R Street Institute </w:t>
      </w:r>
      <w:r>
        <w:rPr>
          <w:szCs w:val="26"/>
        </w:rPr>
        <w:t>Comments (RM16-23) at</w:t>
      </w:r>
      <w:r w:rsidRPr="00D722BF">
        <w:rPr>
          <w:szCs w:val="26"/>
        </w:rPr>
        <w:t xml:space="preserve"> 10.</w:t>
      </w:r>
    </w:p>
  </w:footnote>
  <w:footnote w:id="574">
    <w:p w:rsidR="00FB7F86" w:rsidP="00436212" w:rsidRDefault="00FB7F86" w14:paraId="3A9CEE03" w14:textId="04BA23FF">
      <w:pPr>
        <w:pStyle w:val="FootnoteText"/>
      </w:pPr>
      <w:r>
        <w:rPr>
          <w:rStyle w:val="FootnoteReference"/>
        </w:rPr>
        <w:footnoteRef/>
      </w:r>
      <w:r>
        <w:t xml:space="preserve"> </w:t>
      </w:r>
      <w:r w:rsidRPr="00A00363">
        <w:rPr>
          <w:szCs w:val="26"/>
        </w:rPr>
        <w:t xml:space="preserve">MISO </w:t>
      </w:r>
      <w:r>
        <w:rPr>
          <w:szCs w:val="26"/>
        </w:rPr>
        <w:t>Comments (2018 RM18-9) at</w:t>
      </w:r>
      <w:r w:rsidRPr="00A00363">
        <w:rPr>
          <w:szCs w:val="26"/>
        </w:rPr>
        <w:t xml:space="preserve"> 19.</w:t>
      </w:r>
    </w:p>
  </w:footnote>
  <w:footnote w:id="575">
    <w:p w:rsidR="00FB7F86" w:rsidP="00436212" w:rsidRDefault="00FB7F86" w14:paraId="3163CA59" w14:textId="54CC4083">
      <w:pPr>
        <w:pStyle w:val="FootnoteText"/>
        <w:spacing w:after="120"/>
        <w:contextualSpacing/>
        <w:rPr>
          <w:szCs w:val="26"/>
        </w:rPr>
      </w:pPr>
      <w:r w:rsidRPr="00D722BF">
        <w:rPr>
          <w:rStyle w:val="FootnoteReference"/>
        </w:rPr>
        <w:footnoteRef/>
      </w:r>
      <w:r w:rsidRPr="00D722BF">
        <w:rPr>
          <w:szCs w:val="26"/>
        </w:rPr>
        <w:t xml:space="preserve"> EEI </w:t>
      </w:r>
      <w:r>
        <w:rPr>
          <w:szCs w:val="26"/>
        </w:rPr>
        <w:t>Comments (RM16-23) at</w:t>
      </w:r>
      <w:r w:rsidRPr="00D722BF">
        <w:rPr>
          <w:szCs w:val="26"/>
        </w:rPr>
        <w:t xml:space="preserve"> 31; Duke Energy </w:t>
      </w:r>
      <w:r>
        <w:rPr>
          <w:szCs w:val="26"/>
        </w:rPr>
        <w:t>Comments (RM16-23) at</w:t>
      </w:r>
      <w:r w:rsidRPr="00D722BF">
        <w:rPr>
          <w:szCs w:val="26"/>
        </w:rPr>
        <w:t xml:space="preserve"> 6; Xcel Energy Services </w:t>
      </w:r>
      <w:r>
        <w:rPr>
          <w:szCs w:val="26"/>
        </w:rPr>
        <w:t xml:space="preserve">Comments </w:t>
      </w:r>
      <w:r w:rsidRPr="004B7A2B">
        <w:rPr>
          <w:szCs w:val="26"/>
        </w:rPr>
        <w:t>(RM16-23)</w:t>
      </w:r>
      <w:r>
        <w:rPr>
          <w:szCs w:val="26"/>
        </w:rPr>
        <w:t xml:space="preserve"> </w:t>
      </w:r>
      <w:r w:rsidRPr="00D722BF">
        <w:rPr>
          <w:szCs w:val="26"/>
        </w:rPr>
        <w:t>at 2</w:t>
      </w:r>
      <w:r>
        <w:rPr>
          <w:szCs w:val="26"/>
        </w:rPr>
        <w:t>6</w:t>
      </w:r>
      <w:r w:rsidRPr="00D722BF">
        <w:rPr>
          <w:szCs w:val="26"/>
        </w:rPr>
        <w:t>.</w:t>
      </w:r>
    </w:p>
    <w:p w:rsidRPr="00D722BF" w:rsidR="00FB7F86" w:rsidP="00436212" w:rsidRDefault="00FB7F86" w14:paraId="5C568954" w14:textId="77777777">
      <w:pPr>
        <w:pStyle w:val="FootnoteText"/>
        <w:spacing w:after="120"/>
        <w:contextualSpacing/>
        <w:rPr>
          <w:szCs w:val="26"/>
        </w:rPr>
      </w:pPr>
    </w:p>
  </w:footnote>
  <w:footnote w:id="576">
    <w:p w:rsidR="00FB7F86" w:rsidP="00436212" w:rsidRDefault="00FB7F86" w14:paraId="7EDF42EA" w14:textId="77777777">
      <w:pPr>
        <w:pStyle w:val="FootnoteText"/>
        <w:spacing w:after="120"/>
        <w:contextualSpacing/>
        <w:rPr>
          <w:szCs w:val="26"/>
        </w:rPr>
      </w:pPr>
      <w:r w:rsidRPr="00D722BF">
        <w:rPr>
          <w:rStyle w:val="FootnoteReference"/>
        </w:rPr>
        <w:footnoteRef/>
      </w:r>
      <w:r w:rsidRPr="00D722BF">
        <w:rPr>
          <w:szCs w:val="26"/>
        </w:rPr>
        <w:t xml:space="preserve"> CAISO </w:t>
      </w:r>
      <w:r>
        <w:rPr>
          <w:szCs w:val="26"/>
        </w:rPr>
        <w:t>Comments (RM16-23) at</w:t>
      </w:r>
      <w:r w:rsidRPr="00D722BF">
        <w:rPr>
          <w:szCs w:val="26"/>
        </w:rPr>
        <w:t xml:space="preserve"> 34; MISO </w:t>
      </w:r>
      <w:r>
        <w:rPr>
          <w:szCs w:val="26"/>
        </w:rPr>
        <w:t>Comments (RM16-23) at</w:t>
      </w:r>
      <w:r w:rsidRPr="00D722BF">
        <w:rPr>
          <w:szCs w:val="26"/>
        </w:rPr>
        <w:t xml:space="preserve"> 25; Xcel Energy Services at 26.</w:t>
      </w:r>
    </w:p>
    <w:p w:rsidRPr="00D722BF" w:rsidR="00FB7F86" w:rsidP="00436212" w:rsidRDefault="00FB7F86" w14:paraId="5616FE52" w14:textId="77777777">
      <w:pPr>
        <w:pStyle w:val="FootnoteText"/>
        <w:spacing w:after="120"/>
        <w:contextualSpacing/>
        <w:rPr>
          <w:szCs w:val="26"/>
        </w:rPr>
      </w:pPr>
    </w:p>
  </w:footnote>
  <w:footnote w:id="577">
    <w:p w:rsidR="00FB7F86" w:rsidP="00436212" w:rsidRDefault="00FB7F86" w14:paraId="4B277E9C" w14:textId="77777777">
      <w:pPr>
        <w:pStyle w:val="FootnoteText"/>
        <w:spacing w:after="120"/>
        <w:contextualSpacing/>
        <w:rPr>
          <w:szCs w:val="26"/>
        </w:rPr>
      </w:pPr>
      <w:r w:rsidRPr="00D722BF">
        <w:rPr>
          <w:rStyle w:val="FootnoteReference"/>
        </w:rPr>
        <w:footnoteRef/>
      </w:r>
      <w:r w:rsidRPr="00D722BF">
        <w:rPr>
          <w:szCs w:val="26"/>
        </w:rPr>
        <w:t xml:space="preserve"> CAISO </w:t>
      </w:r>
      <w:r>
        <w:rPr>
          <w:szCs w:val="26"/>
        </w:rPr>
        <w:t>Comments (RM16-23) at</w:t>
      </w:r>
      <w:r w:rsidRPr="00D722BF">
        <w:rPr>
          <w:szCs w:val="26"/>
        </w:rPr>
        <w:t xml:space="preserve"> 34; IRC </w:t>
      </w:r>
      <w:r>
        <w:rPr>
          <w:szCs w:val="26"/>
        </w:rPr>
        <w:t>Comments (RM16-23) at</w:t>
      </w:r>
      <w:r w:rsidRPr="00D722BF">
        <w:rPr>
          <w:szCs w:val="26"/>
        </w:rPr>
        <w:t xml:space="preserve"> 10; SoCal Edison </w:t>
      </w:r>
      <w:r>
        <w:rPr>
          <w:szCs w:val="26"/>
        </w:rPr>
        <w:t>Comments (RM16-23) at</w:t>
      </w:r>
      <w:r w:rsidRPr="00D722BF">
        <w:rPr>
          <w:szCs w:val="26"/>
        </w:rPr>
        <w:t xml:space="preserve"> 12-13.</w:t>
      </w:r>
      <w:r w:rsidRPr="00D722BF" w:rsidDel="005D3F80">
        <w:rPr>
          <w:szCs w:val="26"/>
        </w:rPr>
        <w:t xml:space="preserve"> </w:t>
      </w:r>
    </w:p>
    <w:p w:rsidRPr="00D722BF" w:rsidR="00FB7F86" w:rsidP="00436212" w:rsidRDefault="00FB7F86" w14:paraId="4530F2F3" w14:textId="77777777">
      <w:pPr>
        <w:pStyle w:val="FootnoteText"/>
        <w:spacing w:after="120"/>
        <w:contextualSpacing/>
        <w:rPr>
          <w:szCs w:val="26"/>
        </w:rPr>
      </w:pPr>
    </w:p>
  </w:footnote>
  <w:footnote w:id="578">
    <w:p w:rsidRPr="00407052" w:rsidR="00FB7F86" w:rsidP="00436212" w:rsidRDefault="00FB7F86" w14:paraId="01E52AAC" w14:textId="77777777">
      <w:pPr>
        <w:pStyle w:val="FootnoteText"/>
      </w:pPr>
      <w:r w:rsidRPr="00D722BF">
        <w:rPr>
          <w:rStyle w:val="FootnoteReference"/>
        </w:rPr>
        <w:footnoteRef/>
      </w:r>
      <w:r w:rsidRPr="00D722BF">
        <w:t xml:space="preserve"> Sunrun </w:t>
      </w:r>
      <w:r>
        <w:t>Comments (RM16-23) at</w:t>
      </w:r>
      <w:r w:rsidRPr="00D722BF">
        <w:t xml:space="preserve"> 5.</w:t>
      </w:r>
    </w:p>
  </w:footnote>
  <w:footnote w:id="579">
    <w:p w:rsidRPr="009F0A9E" w:rsidR="00FB7F86" w:rsidP="00436212" w:rsidRDefault="00FB7F86" w14:paraId="4FA2CC85" w14:textId="77777777">
      <w:pPr>
        <w:pStyle w:val="FootnoteText"/>
        <w:rPr>
          <w:szCs w:val="26"/>
        </w:rPr>
      </w:pPr>
      <w:r w:rsidRPr="009F0A9E">
        <w:rPr>
          <w:rStyle w:val="FootnoteReference"/>
          <w:szCs w:val="26"/>
        </w:rPr>
        <w:footnoteRef/>
      </w:r>
      <w:r>
        <w:rPr>
          <w:szCs w:val="26"/>
        </w:rPr>
        <w:t xml:space="preserve"> Advanced Ener</w:t>
      </w:r>
      <w:r w:rsidRPr="009F0A9E">
        <w:rPr>
          <w:szCs w:val="26"/>
        </w:rPr>
        <w:t xml:space="preserve">gy Buyers </w:t>
      </w:r>
      <w:r>
        <w:rPr>
          <w:szCs w:val="26"/>
        </w:rPr>
        <w:t>Comments (2018 RM18-9) at</w:t>
      </w:r>
      <w:r w:rsidRPr="009F0A9E">
        <w:rPr>
          <w:szCs w:val="26"/>
        </w:rPr>
        <w:t xml:space="preserve"> 7</w:t>
      </w:r>
      <w:r>
        <w:rPr>
          <w:szCs w:val="26"/>
        </w:rPr>
        <w:t>.</w:t>
      </w:r>
      <w:r w:rsidRPr="009F0A9E">
        <w:rPr>
          <w:szCs w:val="26"/>
        </w:rPr>
        <w:t xml:space="preserve"> </w:t>
      </w:r>
    </w:p>
  </w:footnote>
  <w:footnote w:id="580">
    <w:p w:rsidR="00FB7F86" w:rsidP="00BC401B" w:rsidRDefault="00FB7F86" w14:paraId="3FA5CA4A" w14:textId="77777777">
      <w:pPr>
        <w:pStyle w:val="FootnoteText"/>
      </w:pPr>
      <w:r>
        <w:rPr>
          <w:rStyle w:val="FootnoteReference"/>
        </w:rPr>
        <w:footnoteRef/>
      </w:r>
      <w:r>
        <w:t xml:space="preserve"> NOPR, 157 FERC ¶ 61,121 at P 145.</w:t>
      </w:r>
    </w:p>
  </w:footnote>
  <w:footnote w:id="581">
    <w:p w:rsidR="00FB7F86" w:rsidP="00565CA3" w:rsidRDefault="00FB7F86" w14:paraId="0128AC57" w14:textId="50BF90A3">
      <w:pPr>
        <w:pStyle w:val="FootnoteText"/>
        <w:spacing w:after="120"/>
        <w:contextualSpacing/>
        <w:rPr>
          <w:szCs w:val="26"/>
        </w:rPr>
      </w:pPr>
      <w:r w:rsidRPr="00D722BF">
        <w:rPr>
          <w:rStyle w:val="FootnoteReference"/>
        </w:rPr>
        <w:footnoteRef/>
      </w:r>
      <w:r w:rsidRPr="00D722BF">
        <w:rPr>
          <w:szCs w:val="26"/>
        </w:rPr>
        <w:t xml:space="preserve"> </w:t>
      </w:r>
      <w:r>
        <w:rPr>
          <w:i/>
          <w:iCs/>
        </w:rPr>
        <w:t>See id.</w:t>
      </w:r>
      <w:r w:rsidRPr="00D722BF">
        <w:rPr>
          <w:szCs w:val="26"/>
        </w:rPr>
        <w:t xml:space="preserve"> P</w:t>
      </w:r>
      <w:r>
        <w:rPr>
          <w:szCs w:val="26"/>
        </w:rPr>
        <w:t> </w:t>
      </w:r>
      <w:r w:rsidRPr="00D722BF">
        <w:rPr>
          <w:szCs w:val="26"/>
        </w:rPr>
        <w:t>147.</w:t>
      </w:r>
    </w:p>
    <w:p w:rsidRPr="00D722BF" w:rsidR="00FB7F86" w:rsidP="00565CA3" w:rsidRDefault="00FB7F86" w14:paraId="10683C4E" w14:textId="77777777">
      <w:pPr>
        <w:pStyle w:val="FootnoteText"/>
        <w:spacing w:after="120"/>
        <w:contextualSpacing/>
        <w:rPr>
          <w:szCs w:val="26"/>
        </w:rPr>
      </w:pPr>
    </w:p>
  </w:footnote>
  <w:footnote w:id="582">
    <w:p w:rsidR="00FB7F86" w:rsidRDefault="00FB7F86" w14:paraId="133147C7" w14:textId="2D10EC64">
      <w:pPr>
        <w:pStyle w:val="FootnoteText"/>
      </w:pPr>
      <w:r>
        <w:rPr>
          <w:rStyle w:val="FootnoteReference"/>
        </w:rPr>
        <w:footnoteRef/>
      </w:r>
      <w:r>
        <w:t xml:space="preserve"> NOPR, 157 FERC ¶ 61,121 at P 150.</w:t>
      </w:r>
    </w:p>
  </w:footnote>
  <w:footnote w:id="583">
    <w:p w:rsidR="00FB7F86" w:rsidRDefault="00FB7F86" w14:paraId="591A17BB" w14:textId="601C9541">
      <w:pPr>
        <w:pStyle w:val="FootnoteText"/>
      </w:pPr>
      <w:r>
        <w:rPr>
          <w:rStyle w:val="FootnoteReference"/>
        </w:rPr>
        <w:footnoteRef/>
      </w:r>
      <w:r>
        <w:t xml:space="preserve"> </w:t>
      </w:r>
      <w:r>
        <w:rPr>
          <w:i/>
          <w:iCs/>
        </w:rPr>
        <w:t>Id.</w:t>
      </w:r>
      <w:r>
        <w:t xml:space="preserve"> P 151.</w:t>
      </w:r>
    </w:p>
  </w:footnote>
  <w:footnote w:id="584">
    <w:p w:rsidR="00FB7F86" w:rsidRDefault="00FB7F86" w14:paraId="45AC25AF" w14:textId="4396C8DD">
      <w:pPr>
        <w:pStyle w:val="FootnoteText"/>
      </w:pPr>
      <w:r>
        <w:rPr>
          <w:rStyle w:val="FootnoteReference"/>
        </w:rPr>
        <w:footnoteRef/>
      </w:r>
      <w:r>
        <w:t xml:space="preserve"> </w:t>
      </w:r>
      <w:r>
        <w:rPr>
          <w:i/>
          <w:iCs/>
        </w:rPr>
        <w:t>Id.</w:t>
      </w:r>
      <w:r>
        <w:t xml:space="preserve"> (citing the Commission’s proposal pertaining to information and data requirements).</w:t>
      </w:r>
    </w:p>
  </w:footnote>
  <w:footnote w:id="585">
    <w:p w:rsidRPr="004805D1" w:rsidR="00FB7F86" w:rsidDel="00BD7CE5" w:rsidP="00175004" w:rsidRDefault="00FB7F86" w14:paraId="1917A36A" w14:textId="0AA48F7E">
      <w:pPr>
        <w:pStyle w:val="FootnoteText"/>
        <w:rPr>
          <w:szCs w:val="26"/>
        </w:rPr>
      </w:pPr>
      <w:r w:rsidRPr="004805D1" w:rsidDel="00BD7CE5">
        <w:rPr>
          <w:rStyle w:val="FootnoteReference"/>
          <w:szCs w:val="26"/>
        </w:rPr>
        <w:footnoteRef/>
      </w:r>
      <w:r w:rsidRPr="004805D1" w:rsidDel="00BD7CE5">
        <w:rPr>
          <w:szCs w:val="26"/>
        </w:rPr>
        <w:t xml:space="preserve"> </w:t>
      </w:r>
      <w:r>
        <w:rPr>
          <w:i/>
          <w:iCs/>
        </w:rPr>
        <w:t>Id.</w:t>
      </w:r>
      <w:r>
        <w:t xml:space="preserve"> P 151.</w:t>
      </w:r>
    </w:p>
  </w:footnote>
  <w:footnote w:id="586">
    <w:p w:rsidR="00FB7F86" w:rsidRDefault="00FB7F86" w14:paraId="17A69AC8" w14:textId="321E1246">
      <w:pPr>
        <w:pStyle w:val="FootnoteText"/>
      </w:pPr>
      <w:r>
        <w:rPr>
          <w:rStyle w:val="FootnoteReference"/>
        </w:rPr>
        <w:footnoteRef/>
      </w:r>
      <w:r>
        <w:t xml:space="preserve"> </w:t>
      </w:r>
      <w:r>
        <w:rPr>
          <w:i/>
          <w:iCs/>
        </w:rPr>
        <w:t>Id.</w:t>
      </w:r>
      <w:r>
        <w:t xml:space="preserve"> P 152.</w:t>
      </w:r>
    </w:p>
  </w:footnote>
  <w:footnote w:id="587">
    <w:p w:rsidR="00FB7F86" w:rsidRDefault="00FB7F86" w14:paraId="6D8CACF7" w14:textId="46AFCF36">
      <w:pPr>
        <w:pStyle w:val="FootnoteText"/>
      </w:pPr>
      <w:r>
        <w:rPr>
          <w:rStyle w:val="FootnoteReference"/>
        </w:rPr>
        <w:footnoteRef/>
      </w:r>
      <w:r w:rsidRPr="00DE70CD">
        <w:t xml:space="preserve"> </w:t>
      </w:r>
      <w:r>
        <w:rPr>
          <w:i/>
          <w:iCs/>
        </w:rPr>
        <w:t>Id.</w:t>
      </w:r>
    </w:p>
  </w:footnote>
  <w:footnote w:id="588">
    <w:p w:rsidRPr="004805D1" w:rsidR="00FB7F86" w:rsidP="008E6886" w:rsidRDefault="00FB7F86" w14:paraId="48D4766B" w14:textId="77777777">
      <w:pPr>
        <w:pStyle w:val="FootnoteText"/>
        <w:rPr>
          <w:szCs w:val="26"/>
        </w:rPr>
      </w:pPr>
      <w:r w:rsidRPr="004805D1">
        <w:rPr>
          <w:rStyle w:val="FootnoteReference"/>
          <w:szCs w:val="26"/>
        </w:rPr>
        <w:footnoteRef/>
      </w:r>
      <w:r w:rsidRPr="004805D1">
        <w:rPr>
          <w:szCs w:val="26"/>
        </w:rPr>
        <w:t xml:space="preserve"> CAISO </w:t>
      </w:r>
      <w:r>
        <w:rPr>
          <w:szCs w:val="26"/>
        </w:rPr>
        <w:t>Comments (RM16-23) at</w:t>
      </w:r>
      <w:r w:rsidRPr="004805D1">
        <w:rPr>
          <w:szCs w:val="26"/>
        </w:rPr>
        <w:t xml:space="preserve"> 38.</w:t>
      </w:r>
    </w:p>
  </w:footnote>
  <w:footnote w:id="589">
    <w:p w:rsidRPr="004805D1" w:rsidR="00FB7F86" w:rsidP="008E6886" w:rsidRDefault="00FB7F86" w14:paraId="7F90B400" w14:textId="04F89E8D">
      <w:pPr>
        <w:pStyle w:val="FootnoteText"/>
        <w:rPr>
          <w:szCs w:val="26"/>
        </w:rPr>
      </w:pPr>
      <w:r w:rsidRPr="004805D1">
        <w:rPr>
          <w:rStyle w:val="FootnoteReference"/>
          <w:szCs w:val="26"/>
        </w:rPr>
        <w:footnoteRef/>
      </w:r>
      <w:r w:rsidRPr="004805D1">
        <w:rPr>
          <w:szCs w:val="26"/>
        </w:rPr>
        <w:t xml:space="preserve"> NYISO </w:t>
      </w:r>
      <w:r>
        <w:rPr>
          <w:szCs w:val="26"/>
        </w:rPr>
        <w:t>Comments (RM16-23) at</w:t>
      </w:r>
      <w:r w:rsidRPr="004805D1">
        <w:rPr>
          <w:szCs w:val="26"/>
        </w:rPr>
        <w:t xml:space="preserve"> 18-19.</w:t>
      </w:r>
      <w:r>
        <w:rPr>
          <w:szCs w:val="26"/>
        </w:rPr>
        <w:t xml:space="preserve">  NYISO’s Aggregation Participation Model, accepted by the Commission on January 23, 2020, requires that (1) aggregations provide real-time telemetry every six seconds; (2) NYISO</w:t>
      </w:r>
      <w:r w:rsidRPr="0004087A">
        <w:rPr>
          <w:szCs w:val="26"/>
        </w:rPr>
        <w:t xml:space="preserve"> send real-time base point signals to</w:t>
      </w:r>
      <w:r>
        <w:rPr>
          <w:szCs w:val="26"/>
        </w:rPr>
        <w:t xml:space="preserve">, receive </w:t>
      </w:r>
      <w:r w:rsidRPr="0004087A">
        <w:rPr>
          <w:szCs w:val="26"/>
        </w:rPr>
        <w:t>revenue-quality meter data</w:t>
      </w:r>
      <w:r>
        <w:rPr>
          <w:szCs w:val="26"/>
        </w:rPr>
        <w:t xml:space="preserve"> </w:t>
      </w:r>
      <w:r w:rsidRPr="0004087A">
        <w:rPr>
          <w:szCs w:val="26"/>
        </w:rPr>
        <w:t>for settlement purposes</w:t>
      </w:r>
      <w:r>
        <w:rPr>
          <w:szCs w:val="26"/>
        </w:rPr>
        <w:t xml:space="preserve"> from,</w:t>
      </w:r>
      <w:r w:rsidRPr="0004087A">
        <w:rPr>
          <w:szCs w:val="26"/>
        </w:rPr>
        <w:t xml:space="preserve"> and receive real-time telemetry from an </w:t>
      </w:r>
      <w:r>
        <w:rPr>
          <w:szCs w:val="26"/>
        </w:rPr>
        <w:t>a</w:t>
      </w:r>
      <w:r w:rsidRPr="0004087A">
        <w:rPr>
          <w:szCs w:val="26"/>
        </w:rPr>
        <w:t xml:space="preserve">ggregation, not the individual facilities within </w:t>
      </w:r>
      <w:r>
        <w:rPr>
          <w:szCs w:val="26"/>
        </w:rPr>
        <w:t>an</w:t>
      </w:r>
      <w:r w:rsidRPr="0004087A">
        <w:rPr>
          <w:szCs w:val="26"/>
        </w:rPr>
        <w:t xml:space="preserve"> </w:t>
      </w:r>
      <w:r>
        <w:rPr>
          <w:szCs w:val="26"/>
        </w:rPr>
        <w:t>a</w:t>
      </w:r>
      <w:r w:rsidRPr="0004087A">
        <w:rPr>
          <w:szCs w:val="26"/>
        </w:rPr>
        <w:t>ggregation</w:t>
      </w:r>
      <w:r>
        <w:rPr>
          <w:szCs w:val="26"/>
        </w:rPr>
        <w:t>;</w:t>
      </w:r>
      <w:r w:rsidRPr="0004087A">
        <w:rPr>
          <w:szCs w:val="26"/>
        </w:rPr>
        <w:t xml:space="preserve"> </w:t>
      </w:r>
      <w:r>
        <w:rPr>
          <w:szCs w:val="26"/>
        </w:rPr>
        <w:t>(3) a</w:t>
      </w:r>
      <w:r w:rsidRPr="0004087A">
        <w:rPr>
          <w:szCs w:val="26"/>
        </w:rPr>
        <w:t xml:space="preserve">ggregations of like resource types </w:t>
      </w:r>
      <w:r>
        <w:rPr>
          <w:szCs w:val="26"/>
        </w:rPr>
        <w:t>are</w:t>
      </w:r>
      <w:r w:rsidRPr="0004087A">
        <w:rPr>
          <w:szCs w:val="26"/>
        </w:rPr>
        <w:t xml:space="preserve"> subject to the existing metering and telemetry rules for that resource type</w:t>
      </w:r>
      <w:r>
        <w:rPr>
          <w:szCs w:val="26"/>
        </w:rPr>
        <w:t>; and (4) metering and te</w:t>
      </w:r>
      <w:r w:rsidRPr="0004087A">
        <w:rPr>
          <w:szCs w:val="26"/>
        </w:rPr>
        <w:t xml:space="preserve">lemetry </w:t>
      </w:r>
      <w:r>
        <w:rPr>
          <w:szCs w:val="26"/>
        </w:rPr>
        <w:t>of the</w:t>
      </w:r>
      <w:r w:rsidRPr="0004087A">
        <w:rPr>
          <w:szCs w:val="26"/>
        </w:rPr>
        <w:t xml:space="preserve"> individual facilities </w:t>
      </w:r>
      <w:r>
        <w:rPr>
          <w:szCs w:val="26"/>
        </w:rPr>
        <w:t xml:space="preserve">in an aggregation </w:t>
      </w:r>
      <w:r w:rsidRPr="0004087A">
        <w:rPr>
          <w:szCs w:val="26"/>
        </w:rPr>
        <w:t>derive from either directly measured or calculated values, or a combination thereof, in accordance with the requirements set forth in NYISO’s procedures</w:t>
      </w:r>
      <w:r>
        <w:rPr>
          <w:szCs w:val="26"/>
        </w:rPr>
        <w:t xml:space="preserve">.  </w:t>
      </w:r>
      <w:r w:rsidRPr="000260F2">
        <w:rPr>
          <w:i/>
          <w:iCs/>
          <w:szCs w:val="26"/>
        </w:rPr>
        <w:t>See</w:t>
      </w:r>
      <w:r>
        <w:rPr>
          <w:szCs w:val="26"/>
        </w:rPr>
        <w:t xml:space="preserve"> </w:t>
      </w:r>
      <w:r>
        <w:rPr>
          <w:rFonts w:eastAsia="Cambria"/>
          <w:iCs/>
          <w:szCs w:val="26"/>
        </w:rPr>
        <w:t>NYISO Aggregation Order,</w:t>
      </w:r>
      <w:r>
        <w:rPr>
          <w:szCs w:val="26"/>
        </w:rPr>
        <w:t xml:space="preserve"> </w:t>
      </w:r>
      <w:r w:rsidRPr="0004087A">
        <w:rPr>
          <w:szCs w:val="26"/>
        </w:rPr>
        <w:t>170 FERC ¶</w:t>
      </w:r>
      <w:r>
        <w:rPr>
          <w:szCs w:val="26"/>
        </w:rPr>
        <w:t> </w:t>
      </w:r>
      <w:r w:rsidRPr="0004087A">
        <w:rPr>
          <w:szCs w:val="26"/>
        </w:rPr>
        <w:t>61,033</w:t>
      </w:r>
      <w:r>
        <w:rPr>
          <w:szCs w:val="26"/>
        </w:rPr>
        <w:t xml:space="preserve"> at PP 57-74.</w:t>
      </w:r>
    </w:p>
  </w:footnote>
  <w:footnote w:id="590">
    <w:p w:rsidRPr="004805D1" w:rsidR="00FB7F86" w:rsidP="008E6886" w:rsidRDefault="00FB7F86" w14:paraId="6D564EC5" w14:textId="77777777">
      <w:pPr>
        <w:pStyle w:val="FootnoteText"/>
        <w:rPr>
          <w:szCs w:val="26"/>
        </w:rPr>
      </w:pPr>
      <w:r w:rsidRPr="004805D1">
        <w:rPr>
          <w:rStyle w:val="FootnoteReference"/>
          <w:szCs w:val="26"/>
        </w:rPr>
        <w:footnoteRef/>
      </w:r>
      <w:r w:rsidRPr="004805D1">
        <w:rPr>
          <w:szCs w:val="26"/>
        </w:rPr>
        <w:t xml:space="preserve"> ISO-NE </w:t>
      </w:r>
      <w:r>
        <w:rPr>
          <w:szCs w:val="26"/>
        </w:rPr>
        <w:t>Comments (RM16-23) at</w:t>
      </w:r>
      <w:r w:rsidRPr="004805D1">
        <w:rPr>
          <w:szCs w:val="26"/>
        </w:rPr>
        <w:t xml:space="preserve"> 48-50.</w:t>
      </w:r>
    </w:p>
  </w:footnote>
  <w:footnote w:id="591">
    <w:p w:rsidRPr="004805D1" w:rsidR="00FB7F86" w:rsidP="008E6886" w:rsidRDefault="00FB7F86" w14:paraId="2318D5A0" w14:textId="77777777">
      <w:pPr>
        <w:pStyle w:val="FootnoteText"/>
        <w:rPr>
          <w:szCs w:val="26"/>
        </w:rPr>
      </w:pPr>
      <w:r w:rsidRPr="004805D1">
        <w:rPr>
          <w:rStyle w:val="FootnoteReference"/>
          <w:szCs w:val="26"/>
        </w:rPr>
        <w:footnoteRef/>
      </w:r>
      <w:r w:rsidRPr="004805D1">
        <w:rPr>
          <w:szCs w:val="26"/>
        </w:rPr>
        <w:t xml:space="preserve"> PJM </w:t>
      </w:r>
      <w:r>
        <w:rPr>
          <w:szCs w:val="26"/>
        </w:rPr>
        <w:t>Comments (RM16-23) at</w:t>
      </w:r>
      <w:r w:rsidRPr="004805D1">
        <w:rPr>
          <w:szCs w:val="26"/>
        </w:rPr>
        <w:t xml:space="preserve"> 22 (citing PJM Manual 14D: Generation Operational Requirements, rev. 40, section 4.2.2 (Jan. 1, 2017)).  </w:t>
      </w:r>
    </w:p>
  </w:footnote>
  <w:footnote w:id="592">
    <w:p w:rsidRPr="004805D1" w:rsidR="00FB7F86" w:rsidP="008E6886" w:rsidRDefault="00FB7F86" w14:paraId="0AC830EC" w14:textId="0BE0B3B1">
      <w:pPr>
        <w:pStyle w:val="FootnoteText"/>
        <w:rPr>
          <w:szCs w:val="26"/>
        </w:rPr>
      </w:pPr>
      <w:r w:rsidRPr="004805D1">
        <w:rPr>
          <w:rStyle w:val="FootnoteReference"/>
          <w:szCs w:val="26"/>
        </w:rPr>
        <w:footnoteRef/>
      </w:r>
      <w:r w:rsidRPr="004805D1">
        <w:rPr>
          <w:szCs w:val="26"/>
        </w:rPr>
        <w:t xml:space="preserve"> </w:t>
      </w:r>
      <w:r>
        <w:rPr>
          <w:i/>
          <w:iCs/>
          <w:szCs w:val="26"/>
        </w:rPr>
        <w:t>See, e.g.</w:t>
      </w:r>
      <w:r w:rsidRPr="00976A78">
        <w:rPr>
          <w:szCs w:val="26"/>
        </w:rPr>
        <w:t>,</w:t>
      </w:r>
      <w:r>
        <w:rPr>
          <w:i/>
          <w:iCs/>
          <w:szCs w:val="26"/>
        </w:rPr>
        <w:t xml:space="preserve"> </w:t>
      </w:r>
      <w:r w:rsidRPr="004805D1">
        <w:rPr>
          <w:szCs w:val="26"/>
        </w:rPr>
        <w:t xml:space="preserve">CAISO </w:t>
      </w:r>
      <w:r>
        <w:rPr>
          <w:szCs w:val="26"/>
        </w:rPr>
        <w:t>Comments (RM16-23) at</w:t>
      </w:r>
      <w:r w:rsidRPr="004805D1">
        <w:rPr>
          <w:szCs w:val="26"/>
        </w:rPr>
        <w:t xml:space="preserve"> 38; IRC </w:t>
      </w:r>
      <w:r>
        <w:rPr>
          <w:szCs w:val="26"/>
        </w:rPr>
        <w:t>Comments (RM16-23) at</w:t>
      </w:r>
      <w:r w:rsidRPr="004805D1">
        <w:rPr>
          <w:szCs w:val="26"/>
        </w:rPr>
        <w:t xml:space="preserve"> 10; ISO-NE </w:t>
      </w:r>
      <w:r>
        <w:rPr>
          <w:szCs w:val="26"/>
        </w:rPr>
        <w:t>Comments (RM16-23) at</w:t>
      </w:r>
      <w:r w:rsidRPr="004805D1">
        <w:rPr>
          <w:szCs w:val="26"/>
        </w:rPr>
        <w:t xml:space="preserve"> 48; New York State Entities </w:t>
      </w:r>
      <w:r>
        <w:rPr>
          <w:szCs w:val="26"/>
        </w:rPr>
        <w:t>Comments (RM16-23) at</w:t>
      </w:r>
      <w:r w:rsidRPr="004805D1">
        <w:rPr>
          <w:szCs w:val="26"/>
        </w:rPr>
        <w:t xml:space="preserve"> 21; SoCal Edison </w:t>
      </w:r>
      <w:r>
        <w:rPr>
          <w:szCs w:val="26"/>
        </w:rPr>
        <w:t>Comments (RM16-23) at</w:t>
      </w:r>
      <w:r w:rsidRPr="004805D1">
        <w:rPr>
          <w:szCs w:val="26"/>
        </w:rPr>
        <w:t xml:space="preserve"> 14-15.</w:t>
      </w:r>
    </w:p>
  </w:footnote>
  <w:footnote w:id="593">
    <w:p w:rsidRPr="004805D1" w:rsidR="00FB7F86" w:rsidP="008E6886" w:rsidRDefault="00FB7F86" w14:paraId="3D098063" w14:textId="77777777">
      <w:pPr>
        <w:pStyle w:val="FootnoteText"/>
        <w:rPr>
          <w:szCs w:val="26"/>
        </w:rPr>
      </w:pPr>
      <w:r w:rsidRPr="004805D1">
        <w:rPr>
          <w:rStyle w:val="FootnoteReference"/>
          <w:szCs w:val="26"/>
        </w:rPr>
        <w:footnoteRef/>
      </w:r>
      <w:r w:rsidRPr="004805D1">
        <w:rPr>
          <w:szCs w:val="26"/>
        </w:rPr>
        <w:t xml:space="preserve"> CAISO </w:t>
      </w:r>
      <w:r>
        <w:rPr>
          <w:szCs w:val="26"/>
        </w:rPr>
        <w:t>Comments (RM16-23) at</w:t>
      </w:r>
      <w:r w:rsidRPr="004805D1">
        <w:rPr>
          <w:szCs w:val="26"/>
        </w:rPr>
        <w:t xml:space="preserve"> 38.</w:t>
      </w:r>
    </w:p>
  </w:footnote>
  <w:footnote w:id="594">
    <w:p w:rsidR="00FB7F86" w:rsidP="008E6886" w:rsidRDefault="00FB7F86" w14:paraId="308F27B6" w14:textId="465A4F50">
      <w:pPr>
        <w:pStyle w:val="FootnoteText"/>
      </w:pPr>
      <w:r>
        <w:rPr>
          <w:rStyle w:val="FootnoteReference"/>
        </w:rPr>
        <w:footnoteRef/>
      </w:r>
      <w:r>
        <w:t xml:space="preserve"> </w:t>
      </w:r>
      <w:r w:rsidRPr="00DF690E">
        <w:rPr>
          <w:i/>
        </w:rPr>
        <w:t>See, e.g.</w:t>
      </w:r>
      <w:r>
        <w:t>, Advanced Energy Economy Comments (2018 RM18-9) at 9; Advanced Energy Management Comments (2018 RM18-9) at 22-23; Microsoft Comments (2018 RM18-9) at 18 (</w:t>
      </w:r>
      <w:r w:rsidRPr="001267FE">
        <w:t xml:space="preserve">citing Justin Gundlach &amp; Romany Webb, </w:t>
      </w:r>
      <w:r w:rsidRPr="001267FE">
        <w:rPr>
          <w:i/>
          <w:iCs/>
        </w:rPr>
        <w:t xml:space="preserve">Distributed Energy </w:t>
      </w:r>
      <w:r>
        <w:rPr>
          <w:i/>
          <w:iCs/>
        </w:rPr>
        <w:t>Res.</w:t>
      </w:r>
      <w:r w:rsidRPr="001267FE">
        <w:rPr>
          <w:i/>
          <w:iCs/>
        </w:rPr>
        <w:t xml:space="preserve"> Participation in Wholesale Markets: Lessons from the California ISO</w:t>
      </w:r>
      <w:r w:rsidRPr="001267FE">
        <w:t>, 39 ENERGY L. REV. 47, 68-69 (2018</w:t>
      </w:r>
      <w:r>
        <w:t>))</w:t>
      </w:r>
      <w:r w:rsidRPr="00C724B3">
        <w:t xml:space="preserve">; NRG </w:t>
      </w:r>
      <w:r>
        <w:t>Comments (2018 RM18-9</w:t>
      </w:r>
      <w:r w:rsidRPr="00C724B3">
        <w:t>) at 3</w:t>
      </w:r>
      <w:r w:rsidRPr="001267FE">
        <w:t xml:space="preserve">; Tesla </w:t>
      </w:r>
      <w:r>
        <w:t>Comments (2018 RM18-9</w:t>
      </w:r>
      <w:r w:rsidRPr="001267FE">
        <w:t xml:space="preserve">) at 10-11 </w:t>
      </w:r>
      <w:r>
        <w:t>(</w:t>
      </w:r>
      <w:r w:rsidRPr="001267FE">
        <w:t>citing NOPR</w:t>
      </w:r>
      <w:r>
        <w:t xml:space="preserve">, </w:t>
      </w:r>
      <w:r w:rsidRPr="00370A91">
        <w:t xml:space="preserve">157 FERC </w:t>
      </w:r>
      <w:r>
        <w:t>¶ </w:t>
      </w:r>
      <w:r w:rsidRPr="00370A91">
        <w:t>61,121</w:t>
      </w:r>
      <w:r w:rsidRPr="001267FE">
        <w:t xml:space="preserve"> at P</w:t>
      </w:r>
      <w:r>
        <w:t> </w:t>
      </w:r>
      <w:r w:rsidRPr="001267FE">
        <w:t>150</w:t>
      </w:r>
      <w:r>
        <w:t>).</w:t>
      </w:r>
    </w:p>
  </w:footnote>
  <w:footnote w:id="595">
    <w:p w:rsidRPr="004805D1" w:rsidR="00FB7F86" w:rsidP="008E6886" w:rsidRDefault="00FB7F86" w14:paraId="7EF35179" w14:textId="77777777">
      <w:pPr>
        <w:pStyle w:val="FootnoteText"/>
        <w:rPr>
          <w:szCs w:val="26"/>
        </w:rPr>
      </w:pPr>
      <w:r w:rsidRPr="004805D1">
        <w:rPr>
          <w:rStyle w:val="FootnoteReference"/>
          <w:szCs w:val="26"/>
        </w:rPr>
        <w:footnoteRef/>
      </w:r>
      <w:r w:rsidRPr="004805D1">
        <w:rPr>
          <w:szCs w:val="26"/>
        </w:rPr>
        <w:t xml:space="preserve"> ISO-NE </w:t>
      </w:r>
      <w:r>
        <w:rPr>
          <w:szCs w:val="26"/>
        </w:rPr>
        <w:t>Comments (RM16-23) at</w:t>
      </w:r>
      <w:r w:rsidRPr="004805D1">
        <w:rPr>
          <w:szCs w:val="26"/>
        </w:rPr>
        <w:t xml:space="preserve"> 48.</w:t>
      </w:r>
    </w:p>
  </w:footnote>
  <w:footnote w:id="596">
    <w:p w:rsidRPr="004805D1" w:rsidR="00FB7F86" w:rsidP="008E6886" w:rsidRDefault="00FB7F86" w14:paraId="57897F6C" w14:textId="77777777">
      <w:pPr>
        <w:pStyle w:val="FootnoteText"/>
        <w:rPr>
          <w:szCs w:val="26"/>
        </w:rPr>
      </w:pPr>
      <w:r w:rsidRPr="004805D1">
        <w:rPr>
          <w:rStyle w:val="FootnoteReference"/>
          <w:szCs w:val="26"/>
        </w:rPr>
        <w:footnoteRef/>
      </w:r>
      <w:r w:rsidRPr="004805D1">
        <w:rPr>
          <w:szCs w:val="26"/>
        </w:rPr>
        <w:t xml:space="preserve"> SoCal Edison </w:t>
      </w:r>
      <w:r>
        <w:rPr>
          <w:szCs w:val="26"/>
        </w:rPr>
        <w:t>Comments (RM16-23) at</w:t>
      </w:r>
      <w:r w:rsidRPr="004805D1">
        <w:rPr>
          <w:szCs w:val="26"/>
        </w:rPr>
        <w:t xml:space="preserve"> 14-15.</w:t>
      </w:r>
    </w:p>
  </w:footnote>
  <w:footnote w:id="597">
    <w:p w:rsidRPr="004805D1" w:rsidR="00FB7F86" w:rsidP="008E6886" w:rsidRDefault="00FB7F86" w14:paraId="50EA44CD" w14:textId="77777777">
      <w:pPr>
        <w:pStyle w:val="FootnoteText"/>
        <w:rPr>
          <w:szCs w:val="26"/>
        </w:rPr>
      </w:pPr>
      <w:r w:rsidRPr="004805D1">
        <w:rPr>
          <w:rStyle w:val="FootnoteReference"/>
          <w:szCs w:val="26"/>
        </w:rPr>
        <w:footnoteRef/>
      </w:r>
      <w:r w:rsidRPr="004805D1">
        <w:rPr>
          <w:szCs w:val="26"/>
        </w:rPr>
        <w:t xml:space="preserve"> IRC </w:t>
      </w:r>
      <w:r>
        <w:rPr>
          <w:szCs w:val="26"/>
        </w:rPr>
        <w:t>Comments (RM16-23) at</w:t>
      </w:r>
      <w:r w:rsidRPr="004805D1">
        <w:rPr>
          <w:szCs w:val="26"/>
        </w:rPr>
        <w:t xml:space="preserve"> 10.</w:t>
      </w:r>
    </w:p>
  </w:footnote>
  <w:footnote w:id="598">
    <w:p w:rsidR="00FB7F86" w:rsidP="008E6886" w:rsidRDefault="00FB7F86" w14:paraId="465E3BE6" w14:textId="77777777">
      <w:pPr>
        <w:pStyle w:val="FootnoteText"/>
      </w:pPr>
      <w:r>
        <w:rPr>
          <w:rStyle w:val="FootnoteReference"/>
        </w:rPr>
        <w:footnoteRef/>
      </w:r>
      <w:r>
        <w:t xml:space="preserve"> Tesla Comments (2018 RM18-9) at 10-11.</w:t>
      </w:r>
    </w:p>
  </w:footnote>
  <w:footnote w:id="599">
    <w:p w:rsidRPr="004805D1" w:rsidR="00FB7F86" w:rsidP="008E6886" w:rsidRDefault="00FB7F86" w14:paraId="282CAEB6" w14:textId="77777777">
      <w:pPr>
        <w:pStyle w:val="FootnoteText"/>
        <w:rPr>
          <w:szCs w:val="26"/>
        </w:rPr>
      </w:pPr>
      <w:r w:rsidRPr="004805D1">
        <w:rPr>
          <w:rStyle w:val="FootnoteReference"/>
          <w:szCs w:val="26"/>
        </w:rPr>
        <w:footnoteRef/>
      </w:r>
      <w:r w:rsidRPr="004805D1">
        <w:rPr>
          <w:szCs w:val="26"/>
        </w:rPr>
        <w:t xml:space="preserve"> MISO </w:t>
      </w:r>
      <w:r>
        <w:rPr>
          <w:szCs w:val="26"/>
        </w:rPr>
        <w:t>Comments (RM16-23) at</w:t>
      </w:r>
      <w:r w:rsidRPr="004805D1">
        <w:rPr>
          <w:szCs w:val="26"/>
        </w:rPr>
        <w:t xml:space="preserve"> 25.</w:t>
      </w:r>
    </w:p>
  </w:footnote>
  <w:footnote w:id="600">
    <w:p w:rsidRPr="004805D1" w:rsidR="00FB7F86" w:rsidP="008E6886" w:rsidRDefault="00FB7F86" w14:paraId="553752E2" w14:textId="77777777">
      <w:pPr>
        <w:pStyle w:val="FootnoteText"/>
        <w:rPr>
          <w:szCs w:val="26"/>
        </w:rPr>
      </w:pPr>
      <w:r w:rsidRPr="004805D1">
        <w:rPr>
          <w:rStyle w:val="FootnoteReference"/>
          <w:szCs w:val="26"/>
        </w:rPr>
        <w:footnoteRef/>
      </w:r>
      <w:r w:rsidRPr="004805D1">
        <w:rPr>
          <w:szCs w:val="26"/>
        </w:rPr>
        <w:t xml:space="preserve"> Fresh Energy/Sierra Club/Union of Concerned Scientists </w:t>
      </w:r>
      <w:r>
        <w:rPr>
          <w:szCs w:val="26"/>
        </w:rPr>
        <w:t>Comments (RM16-23) at</w:t>
      </w:r>
      <w:r w:rsidRPr="004805D1">
        <w:rPr>
          <w:szCs w:val="26"/>
        </w:rPr>
        <w:t xml:space="preserve"> 3; Independent Energy Producers Association </w:t>
      </w:r>
      <w:r>
        <w:rPr>
          <w:szCs w:val="26"/>
        </w:rPr>
        <w:t>Comments (RM16-23) at</w:t>
      </w:r>
      <w:r w:rsidRPr="004805D1">
        <w:rPr>
          <w:szCs w:val="26"/>
        </w:rPr>
        <w:t xml:space="preserve"> 5; PJM </w:t>
      </w:r>
      <w:r>
        <w:rPr>
          <w:szCs w:val="26"/>
        </w:rPr>
        <w:t>Comments (RM16-23) at</w:t>
      </w:r>
      <w:r w:rsidRPr="004805D1">
        <w:rPr>
          <w:szCs w:val="26"/>
        </w:rPr>
        <w:t xml:space="preserve"> 22.</w:t>
      </w:r>
    </w:p>
  </w:footnote>
  <w:footnote w:id="601">
    <w:p w:rsidRPr="004805D1" w:rsidR="00FB7F86" w:rsidP="008E6886" w:rsidRDefault="00FB7F86" w14:paraId="46738EFA" w14:textId="7EC59E88">
      <w:pPr>
        <w:pStyle w:val="FootnoteText"/>
        <w:rPr>
          <w:szCs w:val="26"/>
        </w:rPr>
      </w:pPr>
      <w:r w:rsidRPr="004805D1">
        <w:rPr>
          <w:rStyle w:val="FootnoteReference"/>
          <w:szCs w:val="26"/>
        </w:rPr>
        <w:footnoteRef/>
      </w:r>
      <w:r w:rsidRPr="004805D1">
        <w:rPr>
          <w:szCs w:val="26"/>
        </w:rPr>
        <w:t xml:space="preserve"> </w:t>
      </w:r>
      <w:r>
        <w:rPr>
          <w:i/>
          <w:iCs/>
          <w:szCs w:val="26"/>
        </w:rPr>
        <w:t>See, e.g.</w:t>
      </w:r>
      <w:r w:rsidRPr="00976A78">
        <w:rPr>
          <w:szCs w:val="26"/>
        </w:rPr>
        <w:t>,</w:t>
      </w:r>
      <w:r>
        <w:rPr>
          <w:i/>
          <w:iCs/>
          <w:szCs w:val="26"/>
        </w:rPr>
        <w:t xml:space="preserve"> </w:t>
      </w:r>
      <w:r w:rsidRPr="004805D1">
        <w:rPr>
          <w:szCs w:val="26"/>
        </w:rPr>
        <w:t xml:space="preserve">Advanced Energy Management </w:t>
      </w:r>
      <w:r>
        <w:rPr>
          <w:szCs w:val="26"/>
        </w:rPr>
        <w:t>Comments (RM16-23) at</w:t>
      </w:r>
      <w:r w:rsidRPr="004805D1">
        <w:rPr>
          <w:szCs w:val="26"/>
        </w:rPr>
        <w:t xml:space="preserve"> 17-18; New York State Entities</w:t>
      </w:r>
      <w:r>
        <w:rPr>
          <w:szCs w:val="26"/>
        </w:rPr>
        <w:t xml:space="preserve"> Comments (RM16-23)</w:t>
      </w:r>
      <w:r w:rsidRPr="004805D1">
        <w:rPr>
          <w:szCs w:val="26"/>
        </w:rPr>
        <w:t xml:space="preserve"> at 21; NextEra </w:t>
      </w:r>
      <w:r>
        <w:rPr>
          <w:szCs w:val="26"/>
        </w:rPr>
        <w:t>Comments (RM16-23) at</w:t>
      </w:r>
      <w:r w:rsidRPr="004805D1">
        <w:rPr>
          <w:szCs w:val="26"/>
        </w:rPr>
        <w:t xml:space="preserve"> 15-16; Public Interest Organizations </w:t>
      </w:r>
      <w:r>
        <w:rPr>
          <w:szCs w:val="26"/>
        </w:rPr>
        <w:t>Comments (RM16-23) at</w:t>
      </w:r>
      <w:r w:rsidRPr="004805D1">
        <w:rPr>
          <w:szCs w:val="26"/>
        </w:rPr>
        <w:t xml:space="preserve"> 14; R Street Institute </w:t>
      </w:r>
      <w:r>
        <w:rPr>
          <w:szCs w:val="26"/>
        </w:rPr>
        <w:t>Comments (RM16-23) at</w:t>
      </w:r>
      <w:r w:rsidRPr="004805D1">
        <w:rPr>
          <w:szCs w:val="26"/>
        </w:rPr>
        <w:t xml:space="preserve"> 10.</w:t>
      </w:r>
    </w:p>
  </w:footnote>
  <w:footnote w:id="602">
    <w:p w:rsidRPr="004805D1" w:rsidR="00FB7F86" w:rsidP="008E6886" w:rsidRDefault="00FB7F86" w14:paraId="5A40F5B8" w14:textId="77777777">
      <w:pPr>
        <w:pStyle w:val="FootnoteText"/>
        <w:rPr>
          <w:szCs w:val="26"/>
        </w:rPr>
      </w:pPr>
      <w:r w:rsidRPr="004805D1">
        <w:rPr>
          <w:rStyle w:val="FootnoteReference"/>
          <w:szCs w:val="26"/>
        </w:rPr>
        <w:footnoteRef/>
      </w:r>
      <w:r w:rsidRPr="004805D1">
        <w:rPr>
          <w:szCs w:val="26"/>
        </w:rPr>
        <w:t xml:space="preserve"> Advanced Energy Management </w:t>
      </w:r>
      <w:r>
        <w:rPr>
          <w:szCs w:val="26"/>
        </w:rPr>
        <w:t>Comments (RM16-23) at</w:t>
      </w:r>
      <w:r w:rsidRPr="004805D1">
        <w:rPr>
          <w:szCs w:val="26"/>
        </w:rPr>
        <w:t xml:space="preserve"> 18</w:t>
      </w:r>
      <w:r>
        <w:rPr>
          <w:szCs w:val="26"/>
        </w:rPr>
        <w:t>;</w:t>
      </w:r>
      <w:r w:rsidRPr="004805D1">
        <w:rPr>
          <w:szCs w:val="26"/>
        </w:rPr>
        <w:t xml:space="preserve"> R Street Institute </w:t>
      </w:r>
      <w:r>
        <w:rPr>
          <w:szCs w:val="26"/>
        </w:rPr>
        <w:t>Comments (RM16-23) at</w:t>
      </w:r>
      <w:r w:rsidRPr="004805D1">
        <w:rPr>
          <w:szCs w:val="26"/>
        </w:rPr>
        <w:t xml:space="preserve"> 10.</w:t>
      </w:r>
    </w:p>
  </w:footnote>
  <w:footnote w:id="603">
    <w:p w:rsidR="00FB7F86" w:rsidRDefault="00FB7F86" w14:paraId="627B8113" w14:textId="7D35B6CB">
      <w:pPr>
        <w:pStyle w:val="FootnoteText"/>
      </w:pPr>
      <w:r>
        <w:rPr>
          <w:rStyle w:val="FootnoteReference"/>
        </w:rPr>
        <w:footnoteRef/>
      </w:r>
      <w:r>
        <w:t xml:space="preserve"> </w:t>
      </w:r>
      <w:r w:rsidRPr="00614F82">
        <w:t>Advanced Energy Economy Comments (RM16-23) at 47</w:t>
      </w:r>
      <w:r>
        <w:t>.</w:t>
      </w:r>
    </w:p>
  </w:footnote>
  <w:footnote w:id="604">
    <w:p w:rsidR="00FB7F86" w:rsidP="00561DA9" w:rsidRDefault="00FB7F86" w14:paraId="6977EA93" w14:textId="3979D470">
      <w:pPr>
        <w:pStyle w:val="FootnoteText"/>
      </w:pPr>
      <w:r>
        <w:rPr>
          <w:rStyle w:val="FootnoteReference"/>
        </w:rPr>
        <w:footnoteRef/>
      </w:r>
      <w:r>
        <w:t xml:space="preserve"> </w:t>
      </w:r>
      <w:r>
        <w:rPr>
          <w:i/>
          <w:iCs/>
        </w:rPr>
        <w:t>Id.</w:t>
      </w:r>
      <w:r w:rsidRPr="002C286A">
        <w:t xml:space="preserve"> at 48; Advanced Energy Management Comments (RM16-23) at 17; City of New York Comments (RM16-23) at 9.</w:t>
      </w:r>
    </w:p>
  </w:footnote>
  <w:footnote w:id="605">
    <w:p w:rsidRPr="004805D1" w:rsidR="00FB7F86" w:rsidP="00561DA9" w:rsidRDefault="00FB7F86" w14:paraId="386EFD78" w14:textId="77777777">
      <w:pPr>
        <w:pStyle w:val="FootnoteText"/>
        <w:rPr>
          <w:szCs w:val="26"/>
        </w:rPr>
      </w:pPr>
      <w:r w:rsidRPr="004805D1">
        <w:rPr>
          <w:rStyle w:val="FootnoteReference"/>
          <w:szCs w:val="26"/>
        </w:rPr>
        <w:footnoteRef/>
      </w:r>
      <w:r w:rsidRPr="004805D1">
        <w:rPr>
          <w:szCs w:val="26"/>
        </w:rPr>
        <w:t xml:space="preserve"> Advanced Energy Economy </w:t>
      </w:r>
      <w:r>
        <w:rPr>
          <w:szCs w:val="26"/>
        </w:rPr>
        <w:t>Comments (RM16-23) at</w:t>
      </w:r>
      <w:r w:rsidRPr="004805D1">
        <w:rPr>
          <w:szCs w:val="26"/>
        </w:rPr>
        <w:t xml:space="preserve"> 48.</w:t>
      </w:r>
    </w:p>
  </w:footnote>
  <w:footnote w:id="606">
    <w:p w:rsidRPr="004805D1" w:rsidR="00FB7F86" w:rsidP="00561DA9" w:rsidRDefault="00FB7F86" w14:paraId="14FEA5EF" w14:textId="22F977F4">
      <w:pPr>
        <w:pStyle w:val="FootnoteText"/>
        <w:rPr>
          <w:szCs w:val="26"/>
        </w:rPr>
      </w:pPr>
      <w:r w:rsidRPr="004805D1">
        <w:rPr>
          <w:rStyle w:val="FootnoteReference"/>
          <w:szCs w:val="26"/>
        </w:rPr>
        <w:footnoteRef/>
      </w:r>
      <w:r w:rsidRPr="004805D1">
        <w:rPr>
          <w:szCs w:val="26"/>
        </w:rPr>
        <w:t xml:space="preserve"> </w:t>
      </w:r>
      <w:r>
        <w:rPr>
          <w:i/>
          <w:iCs/>
          <w:szCs w:val="26"/>
        </w:rPr>
        <w:t>Id.</w:t>
      </w:r>
      <w:r w:rsidRPr="004805D1">
        <w:rPr>
          <w:szCs w:val="26"/>
        </w:rPr>
        <w:t xml:space="preserve">; Advanced Energy Management </w:t>
      </w:r>
      <w:r>
        <w:rPr>
          <w:szCs w:val="26"/>
        </w:rPr>
        <w:t>Comments (RM16-23) at</w:t>
      </w:r>
      <w:r w:rsidRPr="004805D1">
        <w:rPr>
          <w:szCs w:val="26"/>
        </w:rPr>
        <w:t xml:space="preserve"> 18</w:t>
      </w:r>
      <w:r w:rsidRPr="002C286A">
        <w:rPr>
          <w:szCs w:val="26"/>
        </w:rPr>
        <w:t>; City of New York Comments (RM16-23) at 9</w:t>
      </w:r>
      <w:r w:rsidRPr="004805D1">
        <w:rPr>
          <w:szCs w:val="26"/>
        </w:rPr>
        <w:t xml:space="preserve">; Energy Storage Association </w:t>
      </w:r>
      <w:r>
        <w:rPr>
          <w:szCs w:val="26"/>
        </w:rPr>
        <w:t>Comments (RM16-23) at</w:t>
      </w:r>
      <w:r w:rsidRPr="004805D1">
        <w:rPr>
          <w:szCs w:val="26"/>
        </w:rPr>
        <w:t xml:space="preserve"> 25; Public Interest Organizations </w:t>
      </w:r>
      <w:r>
        <w:rPr>
          <w:szCs w:val="26"/>
        </w:rPr>
        <w:t>Comments (RM16-23) at</w:t>
      </w:r>
      <w:r w:rsidRPr="004805D1">
        <w:rPr>
          <w:szCs w:val="26"/>
        </w:rPr>
        <w:t xml:space="preserve"> 24.</w:t>
      </w:r>
    </w:p>
  </w:footnote>
  <w:footnote w:id="607">
    <w:p w:rsidRPr="004805D1" w:rsidR="00FB7F86" w:rsidP="00561DA9" w:rsidRDefault="00FB7F86" w14:paraId="0830844A" w14:textId="77777777">
      <w:pPr>
        <w:pStyle w:val="FootnoteText"/>
        <w:rPr>
          <w:szCs w:val="26"/>
        </w:rPr>
      </w:pPr>
      <w:r w:rsidRPr="004805D1">
        <w:rPr>
          <w:rStyle w:val="FootnoteReference"/>
          <w:szCs w:val="26"/>
        </w:rPr>
        <w:footnoteRef/>
      </w:r>
      <w:r w:rsidRPr="004805D1">
        <w:rPr>
          <w:szCs w:val="26"/>
        </w:rPr>
        <w:t xml:space="preserve"> Advanced Energy Management </w:t>
      </w:r>
      <w:r>
        <w:rPr>
          <w:szCs w:val="26"/>
        </w:rPr>
        <w:t>Comments (RM16-23) at</w:t>
      </w:r>
      <w:r w:rsidRPr="004805D1">
        <w:rPr>
          <w:szCs w:val="26"/>
        </w:rPr>
        <w:t xml:space="preserve"> 18-19.  Advanced Energy Management </w:t>
      </w:r>
      <w:r>
        <w:rPr>
          <w:szCs w:val="26"/>
        </w:rPr>
        <w:t>describes virtual telemetry</w:t>
      </w:r>
      <w:r w:rsidRPr="004805D1">
        <w:rPr>
          <w:szCs w:val="26"/>
        </w:rPr>
        <w:t xml:space="preserve"> </w:t>
      </w:r>
      <w:r>
        <w:rPr>
          <w:szCs w:val="26"/>
        </w:rPr>
        <w:t>as</w:t>
      </w:r>
      <w:r w:rsidRPr="004805D1">
        <w:rPr>
          <w:szCs w:val="26"/>
        </w:rPr>
        <w:t xml:space="preserve"> statistical forecasting </w:t>
      </w:r>
      <w:r>
        <w:rPr>
          <w:szCs w:val="26"/>
        </w:rPr>
        <w:t>of an aggregated resource’s performance, generally</w:t>
      </w:r>
      <w:r w:rsidRPr="004805D1" w:rsidDel="00587AE9">
        <w:rPr>
          <w:szCs w:val="26"/>
        </w:rPr>
        <w:t xml:space="preserve"> </w:t>
      </w:r>
      <w:r w:rsidRPr="004805D1">
        <w:rPr>
          <w:szCs w:val="26"/>
        </w:rPr>
        <w:t>monitor</w:t>
      </w:r>
      <w:r>
        <w:rPr>
          <w:szCs w:val="26"/>
        </w:rPr>
        <w:t>ed by some form of communications to confirm aggregated resource</w:t>
      </w:r>
      <w:r w:rsidRPr="004805D1">
        <w:rPr>
          <w:szCs w:val="26"/>
        </w:rPr>
        <w:t xml:space="preserve"> performance, which provides the aggregator or scheduling coordinator a signal to send to the RTO/ISO.</w:t>
      </w:r>
    </w:p>
  </w:footnote>
  <w:footnote w:id="608">
    <w:p w:rsidRPr="004805D1" w:rsidR="00FB7F86" w:rsidP="00561DA9" w:rsidRDefault="00FB7F86" w14:paraId="484FC2C7" w14:textId="1F8A0D01">
      <w:pPr>
        <w:pStyle w:val="FootnoteText"/>
        <w:rPr>
          <w:szCs w:val="26"/>
        </w:rPr>
      </w:pPr>
      <w:r w:rsidRPr="004805D1">
        <w:rPr>
          <w:rStyle w:val="FootnoteReference"/>
          <w:szCs w:val="26"/>
        </w:rPr>
        <w:footnoteRef/>
      </w:r>
      <w:r w:rsidRPr="004805D1">
        <w:rPr>
          <w:szCs w:val="26"/>
        </w:rPr>
        <w:t xml:space="preserve"> </w:t>
      </w:r>
      <w:r>
        <w:rPr>
          <w:i/>
          <w:iCs/>
          <w:szCs w:val="26"/>
        </w:rPr>
        <w:t>Id.</w:t>
      </w:r>
      <w:r w:rsidRPr="004805D1">
        <w:rPr>
          <w:szCs w:val="26"/>
        </w:rPr>
        <w:t xml:space="preserve">    </w:t>
      </w:r>
    </w:p>
  </w:footnote>
  <w:footnote w:id="609">
    <w:p w:rsidRPr="004805D1" w:rsidR="00FB7F86" w:rsidP="008E6886" w:rsidRDefault="00FB7F86" w14:paraId="091F7913" w14:textId="300B4ACC">
      <w:pPr>
        <w:pStyle w:val="FootnoteText"/>
        <w:rPr>
          <w:szCs w:val="26"/>
        </w:rPr>
      </w:pPr>
      <w:r w:rsidRPr="004805D1">
        <w:rPr>
          <w:rStyle w:val="FootnoteReference"/>
          <w:szCs w:val="26"/>
        </w:rPr>
        <w:footnoteRef/>
      </w:r>
      <w:r w:rsidRPr="004805D1">
        <w:rPr>
          <w:szCs w:val="26"/>
        </w:rPr>
        <w:t xml:space="preserve"> </w:t>
      </w:r>
      <w:r>
        <w:rPr>
          <w:i/>
          <w:iCs/>
          <w:szCs w:val="26"/>
        </w:rPr>
        <w:t>See, e.g.</w:t>
      </w:r>
      <w:r w:rsidRPr="00976A78">
        <w:rPr>
          <w:szCs w:val="26"/>
        </w:rPr>
        <w:t>,</w:t>
      </w:r>
      <w:r>
        <w:rPr>
          <w:i/>
          <w:iCs/>
          <w:szCs w:val="26"/>
        </w:rPr>
        <w:t xml:space="preserve"> </w:t>
      </w:r>
      <w:r w:rsidRPr="004805D1">
        <w:rPr>
          <w:szCs w:val="26"/>
        </w:rPr>
        <w:t xml:space="preserve">AES Companies </w:t>
      </w:r>
      <w:r>
        <w:rPr>
          <w:szCs w:val="26"/>
        </w:rPr>
        <w:t>Comments (RM16-23) at</w:t>
      </w:r>
      <w:r w:rsidRPr="004805D1">
        <w:rPr>
          <w:szCs w:val="26"/>
        </w:rPr>
        <w:t xml:space="preserve"> 36; Energy Storage Association </w:t>
      </w:r>
      <w:r>
        <w:rPr>
          <w:szCs w:val="26"/>
        </w:rPr>
        <w:t>Comments (RM16-23) at</w:t>
      </w:r>
      <w:r w:rsidRPr="004805D1">
        <w:rPr>
          <w:szCs w:val="26"/>
        </w:rPr>
        <w:t xml:space="preserve"> 25; New York State Entities </w:t>
      </w:r>
      <w:r>
        <w:rPr>
          <w:szCs w:val="26"/>
        </w:rPr>
        <w:t>Comments (RM16-23) at</w:t>
      </w:r>
      <w:r w:rsidRPr="004805D1">
        <w:rPr>
          <w:szCs w:val="26"/>
        </w:rPr>
        <w:t xml:space="preserve"> 20; Public Interest Organizations </w:t>
      </w:r>
      <w:r>
        <w:rPr>
          <w:szCs w:val="26"/>
        </w:rPr>
        <w:t>Comments (RM16-23) at</w:t>
      </w:r>
      <w:r w:rsidRPr="004805D1">
        <w:rPr>
          <w:szCs w:val="26"/>
        </w:rPr>
        <w:t xml:space="preserve"> 14-15; R Street Institute </w:t>
      </w:r>
      <w:r>
        <w:rPr>
          <w:szCs w:val="26"/>
        </w:rPr>
        <w:t>Comments (RM16-23) at</w:t>
      </w:r>
      <w:r w:rsidRPr="004805D1">
        <w:rPr>
          <w:szCs w:val="26"/>
        </w:rPr>
        <w:t xml:space="preserve"> 10.</w:t>
      </w:r>
    </w:p>
  </w:footnote>
  <w:footnote w:id="610">
    <w:p w:rsidRPr="004805D1" w:rsidR="00FB7F86" w:rsidP="008E6886" w:rsidRDefault="00FB7F86" w14:paraId="17749097" w14:textId="77777777">
      <w:pPr>
        <w:pStyle w:val="FootnoteText"/>
        <w:rPr>
          <w:szCs w:val="26"/>
        </w:rPr>
      </w:pPr>
      <w:r w:rsidRPr="004805D1">
        <w:rPr>
          <w:rStyle w:val="FootnoteReference"/>
          <w:szCs w:val="26"/>
        </w:rPr>
        <w:footnoteRef/>
      </w:r>
      <w:r w:rsidRPr="004805D1">
        <w:rPr>
          <w:szCs w:val="26"/>
        </w:rPr>
        <w:t xml:space="preserve"> Advanced Energy Economy </w:t>
      </w:r>
      <w:r>
        <w:rPr>
          <w:szCs w:val="26"/>
        </w:rPr>
        <w:t>Comments (RM16-23) at</w:t>
      </w:r>
      <w:r w:rsidRPr="004805D1">
        <w:rPr>
          <w:szCs w:val="26"/>
        </w:rPr>
        <w:t xml:space="preserve"> 49</w:t>
      </w:r>
      <w:r>
        <w:rPr>
          <w:szCs w:val="26"/>
        </w:rPr>
        <w:t xml:space="preserve">; </w:t>
      </w:r>
      <w:r w:rsidRPr="004805D1">
        <w:rPr>
          <w:szCs w:val="26"/>
        </w:rPr>
        <w:t xml:space="preserve">New York State Entities </w:t>
      </w:r>
      <w:r>
        <w:rPr>
          <w:szCs w:val="26"/>
        </w:rPr>
        <w:t>Comments (RM16-23) at</w:t>
      </w:r>
      <w:r w:rsidRPr="004805D1">
        <w:rPr>
          <w:szCs w:val="26"/>
        </w:rPr>
        <w:t xml:space="preserve"> 20</w:t>
      </w:r>
      <w:r>
        <w:rPr>
          <w:szCs w:val="26"/>
        </w:rPr>
        <w:t xml:space="preserve">; </w:t>
      </w:r>
      <w:r w:rsidRPr="004805D1">
        <w:rPr>
          <w:szCs w:val="26"/>
        </w:rPr>
        <w:t xml:space="preserve">Public Interest Organizations </w:t>
      </w:r>
      <w:r>
        <w:rPr>
          <w:szCs w:val="26"/>
        </w:rPr>
        <w:t>Comments (RM16-23) at</w:t>
      </w:r>
      <w:r w:rsidRPr="004805D1">
        <w:rPr>
          <w:szCs w:val="26"/>
        </w:rPr>
        <w:t xml:space="preserve"> 14-15.</w:t>
      </w:r>
    </w:p>
  </w:footnote>
  <w:footnote w:id="611">
    <w:p w:rsidRPr="004805D1" w:rsidR="00FB7F86" w:rsidP="008E6886" w:rsidRDefault="00FB7F86" w14:paraId="6DDBBDA8" w14:textId="3E8F9619">
      <w:pPr>
        <w:pStyle w:val="FootnoteText"/>
        <w:rPr>
          <w:szCs w:val="26"/>
        </w:rPr>
      </w:pPr>
      <w:r w:rsidRPr="004805D1">
        <w:rPr>
          <w:rStyle w:val="FootnoteReference"/>
          <w:szCs w:val="26"/>
        </w:rPr>
        <w:footnoteRef/>
      </w:r>
      <w:r w:rsidRPr="004805D1">
        <w:rPr>
          <w:szCs w:val="26"/>
        </w:rPr>
        <w:t xml:space="preserve"> Advanced Energy Economy </w:t>
      </w:r>
      <w:r>
        <w:rPr>
          <w:szCs w:val="26"/>
        </w:rPr>
        <w:t>Comments (RM16-23) at</w:t>
      </w:r>
      <w:r w:rsidRPr="004805D1">
        <w:rPr>
          <w:szCs w:val="26"/>
        </w:rPr>
        <w:t xml:space="preserve"> 49-50</w:t>
      </w:r>
      <w:r>
        <w:rPr>
          <w:szCs w:val="26"/>
        </w:rPr>
        <w:t xml:space="preserve">; </w:t>
      </w:r>
      <w:r w:rsidRPr="004805D1">
        <w:rPr>
          <w:szCs w:val="26"/>
        </w:rPr>
        <w:t xml:space="preserve">NRG </w:t>
      </w:r>
      <w:r>
        <w:rPr>
          <w:szCs w:val="26"/>
        </w:rPr>
        <w:t>Comments (RM16-23) at</w:t>
      </w:r>
      <w:r w:rsidRPr="004805D1">
        <w:rPr>
          <w:szCs w:val="26"/>
        </w:rPr>
        <w:t xml:space="preserve"> 10.</w:t>
      </w:r>
    </w:p>
  </w:footnote>
  <w:footnote w:id="612">
    <w:p w:rsidRPr="004805D1" w:rsidR="00FB7F86" w:rsidP="008E6886" w:rsidRDefault="00FB7F86" w14:paraId="2207B6D7" w14:textId="77777777">
      <w:pPr>
        <w:pStyle w:val="FootnoteText"/>
        <w:rPr>
          <w:szCs w:val="26"/>
        </w:rPr>
      </w:pPr>
      <w:r w:rsidRPr="004805D1">
        <w:rPr>
          <w:rStyle w:val="FootnoteReference"/>
          <w:szCs w:val="26"/>
        </w:rPr>
        <w:footnoteRef/>
      </w:r>
      <w:r w:rsidRPr="004805D1">
        <w:rPr>
          <w:szCs w:val="26"/>
        </w:rPr>
        <w:t xml:space="preserve"> Stem </w:t>
      </w:r>
      <w:r>
        <w:rPr>
          <w:szCs w:val="26"/>
        </w:rPr>
        <w:t>Comments (RM16-23) at</w:t>
      </w:r>
      <w:r w:rsidRPr="004805D1">
        <w:rPr>
          <w:szCs w:val="26"/>
        </w:rPr>
        <w:t xml:space="preserve"> 14.</w:t>
      </w:r>
    </w:p>
  </w:footnote>
  <w:footnote w:id="613">
    <w:p w:rsidRPr="004805D1" w:rsidR="00FB7F86" w:rsidP="008E6886" w:rsidRDefault="00FB7F86" w14:paraId="06DD3364" w14:textId="64B77473">
      <w:pPr>
        <w:pStyle w:val="FootnoteText"/>
        <w:rPr>
          <w:szCs w:val="26"/>
        </w:rPr>
      </w:pPr>
      <w:r w:rsidRPr="004805D1">
        <w:rPr>
          <w:rStyle w:val="FootnoteReference"/>
          <w:szCs w:val="26"/>
        </w:rPr>
        <w:footnoteRef/>
      </w:r>
      <w:r w:rsidRPr="004805D1">
        <w:rPr>
          <w:szCs w:val="26"/>
        </w:rPr>
        <w:t xml:space="preserve"> </w:t>
      </w:r>
      <w:r>
        <w:rPr>
          <w:i/>
          <w:iCs/>
          <w:szCs w:val="26"/>
        </w:rPr>
        <w:t>See, e.g.</w:t>
      </w:r>
      <w:r w:rsidRPr="00976A78">
        <w:rPr>
          <w:szCs w:val="26"/>
        </w:rPr>
        <w:t>,</w:t>
      </w:r>
      <w:r>
        <w:rPr>
          <w:i/>
          <w:iCs/>
          <w:szCs w:val="26"/>
        </w:rPr>
        <w:t xml:space="preserve"> </w:t>
      </w:r>
      <w:r w:rsidRPr="004805D1">
        <w:rPr>
          <w:szCs w:val="26"/>
        </w:rPr>
        <w:t xml:space="preserve">EEI </w:t>
      </w:r>
      <w:r>
        <w:rPr>
          <w:szCs w:val="26"/>
        </w:rPr>
        <w:t>Comments (RM16-23) at</w:t>
      </w:r>
      <w:r w:rsidRPr="004805D1">
        <w:rPr>
          <w:szCs w:val="26"/>
        </w:rPr>
        <w:t xml:space="preserve"> 34; Energy Sto</w:t>
      </w:r>
      <w:r>
        <w:rPr>
          <w:szCs w:val="26"/>
        </w:rPr>
        <w:t>r</w:t>
      </w:r>
      <w:r w:rsidRPr="004805D1">
        <w:rPr>
          <w:szCs w:val="26"/>
        </w:rPr>
        <w:t xml:space="preserve">age Association </w:t>
      </w:r>
      <w:r>
        <w:rPr>
          <w:szCs w:val="26"/>
        </w:rPr>
        <w:t>Comments (RM16-23) at</w:t>
      </w:r>
      <w:r w:rsidRPr="004805D1">
        <w:rPr>
          <w:szCs w:val="26"/>
        </w:rPr>
        <w:t xml:space="preserve"> 25; ISO-NE </w:t>
      </w:r>
      <w:r>
        <w:rPr>
          <w:szCs w:val="26"/>
        </w:rPr>
        <w:t>Comments (RM16-23) at</w:t>
      </w:r>
      <w:r w:rsidRPr="004805D1">
        <w:rPr>
          <w:szCs w:val="26"/>
        </w:rPr>
        <w:t xml:space="preserve"> 48-50; New York Utility Intervention Unit </w:t>
      </w:r>
      <w:r>
        <w:rPr>
          <w:szCs w:val="26"/>
        </w:rPr>
        <w:t>Comments (RM16-23) at</w:t>
      </w:r>
      <w:r w:rsidRPr="004805D1">
        <w:rPr>
          <w:szCs w:val="26"/>
        </w:rPr>
        <w:t xml:space="preserve"> 3-5; TAPS </w:t>
      </w:r>
      <w:r>
        <w:rPr>
          <w:szCs w:val="26"/>
        </w:rPr>
        <w:t>Comments (RM16-23) at</w:t>
      </w:r>
      <w:r w:rsidRPr="004805D1">
        <w:rPr>
          <w:szCs w:val="26"/>
        </w:rPr>
        <w:t xml:space="preserve"> 23.</w:t>
      </w:r>
    </w:p>
  </w:footnote>
  <w:footnote w:id="614">
    <w:p w:rsidRPr="004805D1" w:rsidR="00FB7F86" w:rsidP="008E6886" w:rsidRDefault="00FB7F86" w14:paraId="5090C29C" w14:textId="77777777">
      <w:pPr>
        <w:pStyle w:val="FootnoteText"/>
        <w:rPr>
          <w:szCs w:val="26"/>
        </w:rPr>
      </w:pPr>
      <w:r w:rsidRPr="004805D1">
        <w:rPr>
          <w:rStyle w:val="FootnoteReference"/>
          <w:szCs w:val="26"/>
        </w:rPr>
        <w:footnoteRef/>
      </w:r>
      <w:r w:rsidRPr="004805D1">
        <w:rPr>
          <w:szCs w:val="26"/>
        </w:rPr>
        <w:t xml:space="preserve"> EEI </w:t>
      </w:r>
      <w:r>
        <w:rPr>
          <w:szCs w:val="26"/>
        </w:rPr>
        <w:t>Comments (RM16-23) at</w:t>
      </w:r>
      <w:r w:rsidRPr="004805D1">
        <w:rPr>
          <w:szCs w:val="26"/>
        </w:rPr>
        <w:t xml:space="preserve"> 34.</w:t>
      </w:r>
    </w:p>
  </w:footnote>
  <w:footnote w:id="615">
    <w:p w:rsidRPr="004805D1" w:rsidR="00FB7F86" w:rsidP="008E6886" w:rsidRDefault="00FB7F86" w14:paraId="5C86B8B5" w14:textId="77777777">
      <w:pPr>
        <w:pStyle w:val="FootnoteText"/>
        <w:rPr>
          <w:szCs w:val="26"/>
        </w:rPr>
      </w:pPr>
      <w:r w:rsidRPr="004805D1">
        <w:rPr>
          <w:rStyle w:val="FootnoteReference"/>
          <w:szCs w:val="26"/>
        </w:rPr>
        <w:footnoteRef/>
      </w:r>
      <w:r w:rsidRPr="004805D1">
        <w:rPr>
          <w:szCs w:val="26"/>
        </w:rPr>
        <w:t xml:space="preserve"> Energy St</w:t>
      </w:r>
      <w:r>
        <w:rPr>
          <w:szCs w:val="26"/>
        </w:rPr>
        <w:t>or</w:t>
      </w:r>
      <w:r w:rsidRPr="004805D1">
        <w:rPr>
          <w:szCs w:val="26"/>
        </w:rPr>
        <w:t xml:space="preserve">age Association </w:t>
      </w:r>
      <w:r>
        <w:rPr>
          <w:szCs w:val="26"/>
        </w:rPr>
        <w:t>Comments (RM16-23) at</w:t>
      </w:r>
      <w:r w:rsidRPr="004805D1">
        <w:rPr>
          <w:szCs w:val="26"/>
        </w:rPr>
        <w:t xml:space="preserve"> 25.</w:t>
      </w:r>
    </w:p>
  </w:footnote>
  <w:footnote w:id="616">
    <w:p w:rsidR="00FB7F86" w:rsidP="008E6886" w:rsidRDefault="00FB7F86" w14:paraId="3768D005" w14:textId="77777777">
      <w:pPr>
        <w:pStyle w:val="FootnoteText"/>
      </w:pPr>
      <w:r>
        <w:rPr>
          <w:rStyle w:val="FootnoteReference"/>
        </w:rPr>
        <w:footnoteRef/>
      </w:r>
      <w:r>
        <w:t xml:space="preserve"> </w:t>
      </w:r>
      <w:r w:rsidRPr="004805D1">
        <w:rPr>
          <w:szCs w:val="26"/>
        </w:rPr>
        <w:t xml:space="preserve">PJM </w:t>
      </w:r>
      <w:r>
        <w:rPr>
          <w:szCs w:val="26"/>
        </w:rPr>
        <w:t>Comments (RM16-23) at</w:t>
      </w:r>
      <w:r w:rsidRPr="004805D1">
        <w:rPr>
          <w:szCs w:val="26"/>
        </w:rPr>
        <w:t xml:space="preserve"> 22</w:t>
      </w:r>
      <w:r>
        <w:rPr>
          <w:szCs w:val="26"/>
        </w:rPr>
        <w:t>.</w:t>
      </w:r>
    </w:p>
  </w:footnote>
  <w:footnote w:id="617">
    <w:p w:rsidR="00FB7F86" w:rsidP="00444D3F" w:rsidRDefault="00FB7F86" w14:paraId="6E37D60E" w14:textId="77777777">
      <w:pPr>
        <w:pStyle w:val="FootnoteText"/>
      </w:pPr>
      <w:r>
        <w:rPr>
          <w:rStyle w:val="FootnoteReference"/>
        </w:rPr>
        <w:footnoteRef/>
      </w:r>
      <w:r>
        <w:t xml:space="preserve"> EPSA Comments (2018 RM18-9) at 10, 13.</w:t>
      </w:r>
    </w:p>
  </w:footnote>
  <w:footnote w:id="618">
    <w:p w:rsidRPr="004805D1" w:rsidR="00FB7F86" w:rsidP="00AD7000" w:rsidRDefault="00FB7F86" w14:paraId="19596988" w14:textId="77777777">
      <w:pPr>
        <w:pStyle w:val="FootnoteText"/>
        <w:rPr>
          <w:szCs w:val="26"/>
        </w:rPr>
      </w:pPr>
      <w:r w:rsidRPr="004805D1">
        <w:rPr>
          <w:rStyle w:val="FootnoteReference"/>
          <w:szCs w:val="26"/>
        </w:rPr>
        <w:footnoteRef/>
      </w:r>
      <w:r w:rsidRPr="004805D1">
        <w:rPr>
          <w:szCs w:val="26"/>
        </w:rPr>
        <w:t xml:space="preserve"> NYISO Indicated Transmission Owners </w:t>
      </w:r>
      <w:r>
        <w:rPr>
          <w:szCs w:val="26"/>
        </w:rPr>
        <w:t>Comments (RM16-23) at</w:t>
      </w:r>
      <w:r w:rsidRPr="004805D1">
        <w:rPr>
          <w:szCs w:val="26"/>
        </w:rPr>
        <w:t xml:space="preserve"> 19.</w:t>
      </w:r>
    </w:p>
  </w:footnote>
  <w:footnote w:id="619">
    <w:p w:rsidRPr="004805D1" w:rsidR="00FB7F86" w:rsidP="008E6886" w:rsidRDefault="00FB7F86" w14:paraId="4B01289B" w14:textId="20B5CC03">
      <w:pPr>
        <w:pStyle w:val="FootnoteText"/>
        <w:rPr>
          <w:szCs w:val="26"/>
        </w:rPr>
      </w:pPr>
      <w:r w:rsidRPr="004805D1">
        <w:rPr>
          <w:rStyle w:val="FootnoteReference"/>
          <w:szCs w:val="26"/>
        </w:rPr>
        <w:footnoteRef/>
      </w:r>
      <w:r w:rsidRPr="004805D1">
        <w:rPr>
          <w:szCs w:val="26"/>
        </w:rPr>
        <w:t xml:space="preserve"> </w:t>
      </w:r>
      <w:r>
        <w:rPr>
          <w:i/>
          <w:iCs/>
          <w:szCs w:val="26"/>
        </w:rPr>
        <w:t>See, e.g.</w:t>
      </w:r>
      <w:r w:rsidRPr="00976A78">
        <w:rPr>
          <w:szCs w:val="26"/>
        </w:rPr>
        <w:t>,</w:t>
      </w:r>
      <w:r>
        <w:rPr>
          <w:i/>
          <w:iCs/>
          <w:szCs w:val="26"/>
        </w:rPr>
        <w:t xml:space="preserve"> </w:t>
      </w:r>
      <w:r w:rsidRPr="004805D1">
        <w:rPr>
          <w:szCs w:val="26"/>
        </w:rPr>
        <w:t xml:space="preserve">DER/Storage Developers </w:t>
      </w:r>
      <w:r>
        <w:rPr>
          <w:szCs w:val="26"/>
        </w:rPr>
        <w:t>Comments (RM16-23) at</w:t>
      </w:r>
      <w:r w:rsidRPr="004805D1">
        <w:rPr>
          <w:szCs w:val="26"/>
        </w:rPr>
        <w:t xml:space="preserve"> 4</w:t>
      </w:r>
      <w:r>
        <w:rPr>
          <w:szCs w:val="26"/>
        </w:rPr>
        <w:t xml:space="preserve">; </w:t>
      </w:r>
      <w:r w:rsidRPr="004805D1">
        <w:rPr>
          <w:szCs w:val="26"/>
        </w:rPr>
        <w:t xml:space="preserve">Independent Energy Producers Association </w:t>
      </w:r>
      <w:r>
        <w:rPr>
          <w:szCs w:val="26"/>
        </w:rPr>
        <w:t>Comments (RM16-23) at</w:t>
      </w:r>
      <w:r w:rsidRPr="004805D1">
        <w:rPr>
          <w:szCs w:val="26"/>
        </w:rPr>
        <w:t xml:space="preserve"> 8; ISO-NE </w:t>
      </w:r>
      <w:r>
        <w:rPr>
          <w:szCs w:val="26"/>
        </w:rPr>
        <w:t>Comments (RM16-23) at</w:t>
      </w:r>
      <w:r w:rsidRPr="004805D1">
        <w:rPr>
          <w:szCs w:val="26"/>
        </w:rPr>
        <w:t xml:space="preserve"> 48-50; NYISO Indicated Transmission Owners </w:t>
      </w:r>
      <w:r>
        <w:rPr>
          <w:szCs w:val="26"/>
        </w:rPr>
        <w:t>Comments (RM16-23) at</w:t>
      </w:r>
      <w:r w:rsidRPr="004805D1">
        <w:rPr>
          <w:szCs w:val="26"/>
        </w:rPr>
        <w:t xml:space="preserve"> 19; Organization of MISO States </w:t>
      </w:r>
      <w:r>
        <w:rPr>
          <w:szCs w:val="26"/>
        </w:rPr>
        <w:t>Comments (RM16-23) at</w:t>
      </w:r>
      <w:r w:rsidRPr="004805D1">
        <w:rPr>
          <w:szCs w:val="26"/>
        </w:rPr>
        <w:t xml:space="preserve"> 9.</w:t>
      </w:r>
    </w:p>
  </w:footnote>
  <w:footnote w:id="620">
    <w:p w:rsidR="00FB7F86" w:rsidRDefault="00FB7F86" w14:paraId="3EF312E0" w14:textId="242FA1A3">
      <w:pPr>
        <w:pStyle w:val="FootnoteText"/>
      </w:pPr>
      <w:r>
        <w:rPr>
          <w:rStyle w:val="FootnoteReference"/>
        </w:rPr>
        <w:footnoteRef/>
      </w:r>
      <w:r>
        <w:t xml:space="preserve"> </w:t>
      </w:r>
      <w:r w:rsidRPr="004805D1">
        <w:rPr>
          <w:szCs w:val="26"/>
        </w:rPr>
        <w:t xml:space="preserve">Avangrid </w:t>
      </w:r>
      <w:r>
        <w:rPr>
          <w:szCs w:val="26"/>
        </w:rPr>
        <w:t>Comments (RM16-23) at</w:t>
      </w:r>
      <w:r w:rsidRPr="004805D1">
        <w:rPr>
          <w:szCs w:val="26"/>
        </w:rPr>
        <w:t xml:space="preserve"> 15; Independent Energy Producers Association </w:t>
      </w:r>
      <w:r>
        <w:rPr>
          <w:szCs w:val="26"/>
        </w:rPr>
        <w:t>Comments (RM16-23) at</w:t>
      </w:r>
      <w:r w:rsidRPr="004805D1">
        <w:rPr>
          <w:szCs w:val="26"/>
        </w:rPr>
        <w:t xml:space="preserve"> 8; ISO-NE </w:t>
      </w:r>
      <w:r>
        <w:rPr>
          <w:szCs w:val="26"/>
        </w:rPr>
        <w:t>Comments (RM16-23) at</w:t>
      </w:r>
      <w:r w:rsidRPr="004805D1">
        <w:rPr>
          <w:szCs w:val="26"/>
        </w:rPr>
        <w:t xml:space="preserve"> 48-50</w:t>
      </w:r>
      <w:r>
        <w:rPr>
          <w:szCs w:val="26"/>
        </w:rPr>
        <w:t xml:space="preserve">; </w:t>
      </w:r>
      <w:r w:rsidRPr="004805D1">
        <w:rPr>
          <w:szCs w:val="26"/>
        </w:rPr>
        <w:t xml:space="preserve">Organization of MISO States </w:t>
      </w:r>
      <w:r>
        <w:rPr>
          <w:szCs w:val="26"/>
        </w:rPr>
        <w:t>Comments (RM16-23) at</w:t>
      </w:r>
      <w:r w:rsidRPr="004805D1">
        <w:rPr>
          <w:szCs w:val="26"/>
        </w:rPr>
        <w:t xml:space="preserve"> 9.</w:t>
      </w:r>
    </w:p>
  </w:footnote>
  <w:footnote w:id="621">
    <w:p w:rsidRPr="004805D1" w:rsidR="00FB7F86" w:rsidP="00A713C0" w:rsidRDefault="00FB7F86" w14:paraId="275480D2" w14:textId="77777777">
      <w:pPr>
        <w:pStyle w:val="FootnoteText"/>
        <w:rPr>
          <w:szCs w:val="26"/>
        </w:rPr>
      </w:pPr>
      <w:r w:rsidRPr="004805D1">
        <w:rPr>
          <w:rStyle w:val="FootnoteReference"/>
          <w:szCs w:val="26"/>
        </w:rPr>
        <w:footnoteRef/>
      </w:r>
      <w:r w:rsidRPr="004805D1">
        <w:rPr>
          <w:szCs w:val="26"/>
        </w:rPr>
        <w:t xml:space="preserve"> MISO </w:t>
      </w:r>
      <w:r>
        <w:rPr>
          <w:szCs w:val="26"/>
        </w:rPr>
        <w:t>Comments (RM16-23) at</w:t>
      </w:r>
      <w:r w:rsidRPr="004805D1">
        <w:rPr>
          <w:szCs w:val="26"/>
        </w:rPr>
        <w:t xml:space="preserve"> 25.</w:t>
      </w:r>
    </w:p>
  </w:footnote>
  <w:footnote w:id="622">
    <w:p w:rsidRPr="004805D1" w:rsidR="00FB7F86" w:rsidP="008E6886" w:rsidRDefault="00FB7F86" w14:paraId="19CFB5EC" w14:textId="77777777">
      <w:pPr>
        <w:pStyle w:val="FootnoteText"/>
        <w:rPr>
          <w:szCs w:val="26"/>
        </w:rPr>
      </w:pPr>
      <w:r w:rsidRPr="004805D1">
        <w:rPr>
          <w:rStyle w:val="FootnoteReference"/>
          <w:szCs w:val="26"/>
        </w:rPr>
        <w:footnoteRef/>
      </w:r>
      <w:r w:rsidRPr="004805D1">
        <w:rPr>
          <w:szCs w:val="26"/>
        </w:rPr>
        <w:t xml:space="preserve"> TAPS </w:t>
      </w:r>
      <w:r>
        <w:rPr>
          <w:szCs w:val="26"/>
        </w:rPr>
        <w:t>Comments (RM16-23) at</w:t>
      </w:r>
      <w:r w:rsidRPr="004805D1">
        <w:rPr>
          <w:szCs w:val="26"/>
        </w:rPr>
        <w:t xml:space="preserve"> 23.</w:t>
      </w:r>
    </w:p>
  </w:footnote>
  <w:footnote w:id="623">
    <w:p w:rsidRPr="004805D1" w:rsidR="00FB7F86" w:rsidP="00430B3C" w:rsidRDefault="00FB7F86" w14:paraId="7C60CB0C" w14:textId="7D9E78FB">
      <w:pPr>
        <w:pStyle w:val="FootnoteText"/>
        <w:rPr>
          <w:szCs w:val="26"/>
        </w:rPr>
      </w:pPr>
      <w:r w:rsidRPr="004805D1">
        <w:rPr>
          <w:rStyle w:val="FootnoteReference"/>
          <w:szCs w:val="26"/>
        </w:rPr>
        <w:footnoteRef/>
      </w:r>
      <w:r w:rsidRPr="004805D1">
        <w:rPr>
          <w:szCs w:val="26"/>
        </w:rPr>
        <w:t xml:space="preserve"> ISO-NE </w:t>
      </w:r>
      <w:r>
        <w:rPr>
          <w:szCs w:val="26"/>
        </w:rPr>
        <w:t>Comments (RM16-23) at</w:t>
      </w:r>
      <w:r w:rsidRPr="004805D1">
        <w:rPr>
          <w:szCs w:val="26"/>
        </w:rPr>
        <w:t xml:space="preserve"> 5</w:t>
      </w:r>
      <w:r>
        <w:rPr>
          <w:szCs w:val="26"/>
        </w:rPr>
        <w:t>1</w:t>
      </w:r>
      <w:r w:rsidRPr="004805D1">
        <w:rPr>
          <w:szCs w:val="26"/>
        </w:rPr>
        <w:t>.</w:t>
      </w:r>
    </w:p>
  </w:footnote>
  <w:footnote w:id="624">
    <w:p w:rsidRPr="004805D1" w:rsidR="00FB7F86" w:rsidP="008E6886" w:rsidRDefault="00FB7F86" w14:paraId="3D09E90B" w14:textId="77777777">
      <w:pPr>
        <w:pStyle w:val="FootnoteText"/>
        <w:rPr>
          <w:szCs w:val="26"/>
        </w:rPr>
      </w:pPr>
      <w:r w:rsidRPr="004805D1">
        <w:rPr>
          <w:rStyle w:val="FootnoteReference"/>
          <w:szCs w:val="26"/>
        </w:rPr>
        <w:footnoteRef/>
      </w:r>
      <w:r w:rsidRPr="004805D1">
        <w:rPr>
          <w:szCs w:val="26"/>
        </w:rPr>
        <w:t xml:space="preserve"> PJM </w:t>
      </w:r>
      <w:r>
        <w:rPr>
          <w:szCs w:val="26"/>
        </w:rPr>
        <w:t>Comments (RM16-23) at</w:t>
      </w:r>
      <w:r w:rsidRPr="004805D1">
        <w:rPr>
          <w:szCs w:val="26"/>
        </w:rPr>
        <w:t xml:space="preserve"> 22.</w:t>
      </w:r>
    </w:p>
  </w:footnote>
  <w:footnote w:id="625">
    <w:p w:rsidRPr="004805D1" w:rsidR="00FB7F86" w:rsidP="00A713C0" w:rsidRDefault="00FB7F86" w14:paraId="1372F94D" w14:textId="77777777">
      <w:pPr>
        <w:pStyle w:val="FootnoteText"/>
        <w:rPr>
          <w:szCs w:val="26"/>
        </w:rPr>
      </w:pPr>
      <w:r w:rsidRPr="004805D1">
        <w:rPr>
          <w:rStyle w:val="FootnoteReference"/>
          <w:szCs w:val="26"/>
        </w:rPr>
        <w:footnoteRef/>
      </w:r>
      <w:r w:rsidRPr="004805D1">
        <w:rPr>
          <w:szCs w:val="26"/>
        </w:rPr>
        <w:t xml:space="preserve"> Avangrid </w:t>
      </w:r>
      <w:r>
        <w:rPr>
          <w:szCs w:val="26"/>
        </w:rPr>
        <w:t>Comments (RM16-23) at</w:t>
      </w:r>
      <w:r w:rsidRPr="004805D1">
        <w:rPr>
          <w:szCs w:val="26"/>
        </w:rPr>
        <w:t xml:space="preserve"> 15.</w:t>
      </w:r>
    </w:p>
  </w:footnote>
  <w:footnote w:id="626">
    <w:p w:rsidRPr="00716CDF" w:rsidR="00FB7F86" w:rsidP="000F4054" w:rsidRDefault="00FB7F86" w14:paraId="5B97ACF4" w14:textId="0467748F">
      <w:pPr>
        <w:pStyle w:val="FootnoteText"/>
      </w:pPr>
      <w:r w:rsidRPr="00716CDF">
        <w:rPr>
          <w:rStyle w:val="FootnoteReference"/>
          <w:szCs w:val="26"/>
        </w:rPr>
        <w:footnoteRef/>
      </w:r>
      <w:r w:rsidRPr="00716CDF">
        <w:t xml:space="preserve"> NYISO Indicated Transmission Owners </w:t>
      </w:r>
      <w:r>
        <w:t>Comments</w:t>
      </w:r>
      <w:r w:rsidRPr="00716CDF">
        <w:t xml:space="preserve"> </w:t>
      </w:r>
      <w:r>
        <w:rPr>
          <w:szCs w:val="26"/>
        </w:rPr>
        <w:t xml:space="preserve">(RM16-23) </w:t>
      </w:r>
      <w:r w:rsidRPr="00716CDF">
        <w:t>at 7.</w:t>
      </w:r>
    </w:p>
  </w:footnote>
  <w:footnote w:id="627">
    <w:p w:rsidRPr="004805D1" w:rsidR="00FB7F86" w:rsidP="008E6886" w:rsidRDefault="00FB7F86" w14:paraId="403E21B0" w14:textId="58B026B2">
      <w:pPr>
        <w:pStyle w:val="FootnoteText"/>
        <w:rPr>
          <w:szCs w:val="26"/>
        </w:rPr>
      </w:pPr>
      <w:r w:rsidRPr="004805D1">
        <w:rPr>
          <w:rStyle w:val="FootnoteReference"/>
          <w:szCs w:val="26"/>
        </w:rPr>
        <w:footnoteRef/>
      </w:r>
      <w:r w:rsidRPr="004805D1">
        <w:rPr>
          <w:szCs w:val="26"/>
        </w:rPr>
        <w:t xml:space="preserve"> AES </w:t>
      </w:r>
      <w:r w:rsidRPr="00A94F9C">
        <w:rPr>
          <w:szCs w:val="26"/>
        </w:rPr>
        <w:t xml:space="preserve">Comments (RM16-23) at </w:t>
      </w:r>
      <w:r w:rsidRPr="004805D1">
        <w:rPr>
          <w:szCs w:val="26"/>
        </w:rPr>
        <w:t xml:space="preserve">36; Duke Energy Comments (RM16-23) at 5; EEI </w:t>
      </w:r>
      <w:r>
        <w:rPr>
          <w:szCs w:val="26"/>
        </w:rPr>
        <w:t>Comments (RM16-23) at</w:t>
      </w:r>
      <w:r w:rsidRPr="004805D1">
        <w:rPr>
          <w:szCs w:val="26"/>
        </w:rPr>
        <w:t xml:space="preserve"> 34; MISO Transmission Owners </w:t>
      </w:r>
      <w:r>
        <w:rPr>
          <w:szCs w:val="26"/>
        </w:rPr>
        <w:t>Comments (RM16-23) at</w:t>
      </w:r>
      <w:r w:rsidRPr="004805D1">
        <w:rPr>
          <w:szCs w:val="26"/>
        </w:rPr>
        <w:t xml:space="preserve"> 24.</w:t>
      </w:r>
    </w:p>
  </w:footnote>
  <w:footnote w:id="628">
    <w:p w:rsidRPr="004805D1" w:rsidR="00FB7F86" w:rsidP="008E6886" w:rsidRDefault="00FB7F86" w14:paraId="2A9F3CD9" w14:textId="77777777">
      <w:pPr>
        <w:pStyle w:val="FootnoteText"/>
        <w:rPr>
          <w:szCs w:val="26"/>
        </w:rPr>
      </w:pPr>
      <w:r w:rsidRPr="004805D1">
        <w:rPr>
          <w:rStyle w:val="FootnoteReference"/>
          <w:szCs w:val="26"/>
        </w:rPr>
        <w:footnoteRef/>
      </w:r>
      <w:r w:rsidRPr="004805D1">
        <w:rPr>
          <w:szCs w:val="26"/>
        </w:rPr>
        <w:t xml:space="preserve"> PJM Market Monitor </w:t>
      </w:r>
      <w:r>
        <w:rPr>
          <w:szCs w:val="26"/>
        </w:rPr>
        <w:t>Comments (RM16-23) at</w:t>
      </w:r>
      <w:r w:rsidRPr="004805D1">
        <w:rPr>
          <w:szCs w:val="26"/>
        </w:rPr>
        <w:t xml:space="preserve"> 15.</w:t>
      </w:r>
    </w:p>
  </w:footnote>
  <w:footnote w:id="629">
    <w:p w:rsidRPr="004805D1" w:rsidR="00FB7F86" w:rsidP="008E6886" w:rsidRDefault="00FB7F86" w14:paraId="39EE177D" w14:textId="77777777">
      <w:pPr>
        <w:pStyle w:val="FootnoteText"/>
        <w:rPr>
          <w:szCs w:val="26"/>
        </w:rPr>
      </w:pPr>
      <w:r w:rsidRPr="004805D1">
        <w:rPr>
          <w:rStyle w:val="FootnoteReference"/>
          <w:szCs w:val="26"/>
        </w:rPr>
        <w:footnoteRef/>
      </w:r>
      <w:r w:rsidRPr="004805D1">
        <w:rPr>
          <w:szCs w:val="26"/>
        </w:rPr>
        <w:t xml:space="preserve"> MISO Transmission Owners </w:t>
      </w:r>
      <w:r>
        <w:rPr>
          <w:szCs w:val="26"/>
        </w:rPr>
        <w:t>Comments (RM16-23) at</w:t>
      </w:r>
      <w:r w:rsidRPr="004805D1">
        <w:rPr>
          <w:szCs w:val="26"/>
        </w:rPr>
        <w:t xml:space="preserve"> 24.</w:t>
      </w:r>
    </w:p>
  </w:footnote>
  <w:footnote w:id="630">
    <w:p w:rsidR="00FB7F86" w:rsidP="008E6886" w:rsidRDefault="00FB7F86" w14:paraId="7E07FB43" w14:textId="77777777">
      <w:pPr>
        <w:pStyle w:val="FootnoteText"/>
        <w:spacing w:before="2" w:after="2"/>
        <w:rPr>
          <w:szCs w:val="26"/>
        </w:rPr>
      </w:pPr>
      <w:r w:rsidRPr="004805D1">
        <w:rPr>
          <w:rStyle w:val="FootnoteReference"/>
          <w:szCs w:val="26"/>
        </w:rPr>
        <w:footnoteRef/>
      </w:r>
      <w:r w:rsidRPr="004805D1">
        <w:rPr>
          <w:szCs w:val="26"/>
        </w:rPr>
        <w:t xml:space="preserve"> AES Companies Comments (RM16-23) at 37.</w:t>
      </w:r>
    </w:p>
    <w:p w:rsidRPr="004805D1" w:rsidR="00FB7F86" w:rsidP="008E6886" w:rsidRDefault="00FB7F86" w14:paraId="06177E2B" w14:textId="77777777">
      <w:pPr>
        <w:pStyle w:val="FootnoteText"/>
        <w:spacing w:before="2" w:after="2"/>
        <w:rPr>
          <w:szCs w:val="26"/>
        </w:rPr>
      </w:pPr>
    </w:p>
  </w:footnote>
  <w:footnote w:id="631">
    <w:p w:rsidR="00FB7F86" w:rsidP="008E6886" w:rsidRDefault="00FB7F86" w14:paraId="133F25EA" w14:textId="77777777">
      <w:pPr>
        <w:pStyle w:val="FootnoteText"/>
        <w:spacing w:before="2" w:after="2"/>
        <w:rPr>
          <w:szCs w:val="26"/>
        </w:rPr>
      </w:pPr>
      <w:r w:rsidRPr="004805D1">
        <w:rPr>
          <w:rStyle w:val="FootnoteReference"/>
          <w:szCs w:val="26"/>
        </w:rPr>
        <w:footnoteRef/>
      </w:r>
      <w:r w:rsidRPr="004805D1">
        <w:rPr>
          <w:szCs w:val="26"/>
        </w:rPr>
        <w:t xml:space="preserve"> Duke Energy Comments (RM16-23) at 5.</w:t>
      </w:r>
    </w:p>
    <w:p w:rsidRPr="004805D1" w:rsidR="00FB7F86" w:rsidP="008E6886" w:rsidRDefault="00FB7F86" w14:paraId="789E3D20" w14:textId="77777777">
      <w:pPr>
        <w:pStyle w:val="FootnoteText"/>
        <w:spacing w:before="2" w:after="2"/>
        <w:rPr>
          <w:szCs w:val="26"/>
        </w:rPr>
      </w:pPr>
    </w:p>
  </w:footnote>
  <w:footnote w:id="632">
    <w:p w:rsidRPr="004805D1" w:rsidR="00FB7F86" w:rsidP="008E6886" w:rsidRDefault="00FB7F86" w14:paraId="699BDA86" w14:textId="58853D37">
      <w:pPr>
        <w:pStyle w:val="FootnoteText"/>
        <w:rPr>
          <w:szCs w:val="26"/>
        </w:rPr>
      </w:pPr>
      <w:r w:rsidRPr="004805D1">
        <w:rPr>
          <w:rStyle w:val="FootnoteReference"/>
          <w:szCs w:val="26"/>
        </w:rPr>
        <w:footnoteRef/>
      </w:r>
      <w:r w:rsidRPr="004805D1">
        <w:rPr>
          <w:szCs w:val="26"/>
        </w:rPr>
        <w:t xml:space="preserve"> </w:t>
      </w:r>
      <w:r>
        <w:rPr>
          <w:i/>
          <w:iCs/>
          <w:szCs w:val="26"/>
        </w:rPr>
        <w:t>See, e.g.</w:t>
      </w:r>
      <w:r w:rsidRPr="00976A78">
        <w:rPr>
          <w:szCs w:val="26"/>
        </w:rPr>
        <w:t>,</w:t>
      </w:r>
      <w:r>
        <w:rPr>
          <w:i/>
          <w:iCs/>
          <w:szCs w:val="26"/>
        </w:rPr>
        <w:t xml:space="preserve"> </w:t>
      </w:r>
      <w:r w:rsidRPr="004805D1">
        <w:rPr>
          <w:szCs w:val="26"/>
        </w:rPr>
        <w:t xml:space="preserve">Advanced Energy Management </w:t>
      </w:r>
      <w:r>
        <w:rPr>
          <w:szCs w:val="26"/>
        </w:rPr>
        <w:t>Comments (RM16-23) at</w:t>
      </w:r>
      <w:r w:rsidRPr="004805D1">
        <w:rPr>
          <w:szCs w:val="26"/>
        </w:rPr>
        <w:t xml:space="preserve"> 18-19; EEI </w:t>
      </w:r>
      <w:r>
        <w:rPr>
          <w:szCs w:val="26"/>
        </w:rPr>
        <w:t>Comments (RM16-23) at</w:t>
      </w:r>
      <w:r w:rsidRPr="004805D1">
        <w:rPr>
          <w:szCs w:val="26"/>
        </w:rPr>
        <w:t xml:space="preserve"> 33; Mosaic Power </w:t>
      </w:r>
      <w:r>
        <w:rPr>
          <w:szCs w:val="26"/>
        </w:rPr>
        <w:t>Comments (RM16-23) at</w:t>
      </w:r>
      <w:r w:rsidRPr="004805D1">
        <w:rPr>
          <w:szCs w:val="26"/>
        </w:rPr>
        <w:t xml:space="preserve"> 5-6; SoCal Edison </w:t>
      </w:r>
      <w:r>
        <w:rPr>
          <w:szCs w:val="26"/>
        </w:rPr>
        <w:t>Comments (RM16-23) at</w:t>
      </w:r>
      <w:r w:rsidRPr="004805D1">
        <w:rPr>
          <w:szCs w:val="26"/>
        </w:rPr>
        <w:t xml:space="preserve"> 14-15; TAPS </w:t>
      </w:r>
      <w:r>
        <w:rPr>
          <w:szCs w:val="26"/>
        </w:rPr>
        <w:t>Comments (RM16-23) at</w:t>
      </w:r>
      <w:r w:rsidRPr="004805D1">
        <w:rPr>
          <w:szCs w:val="26"/>
        </w:rPr>
        <w:t xml:space="preserve"> 24.</w:t>
      </w:r>
    </w:p>
  </w:footnote>
  <w:footnote w:id="633">
    <w:p w:rsidRPr="004805D1" w:rsidR="00FB7F86" w:rsidP="008E6886" w:rsidRDefault="00FB7F86" w14:paraId="1B1B4815" w14:textId="77777777">
      <w:pPr>
        <w:pStyle w:val="FootnoteText"/>
        <w:rPr>
          <w:szCs w:val="26"/>
        </w:rPr>
      </w:pPr>
      <w:r w:rsidRPr="004805D1">
        <w:rPr>
          <w:rStyle w:val="FootnoteReference"/>
          <w:szCs w:val="26"/>
        </w:rPr>
        <w:footnoteRef/>
      </w:r>
      <w:r w:rsidRPr="004805D1">
        <w:rPr>
          <w:szCs w:val="26"/>
        </w:rPr>
        <w:t xml:space="preserve"> Avangrid </w:t>
      </w:r>
      <w:r>
        <w:rPr>
          <w:szCs w:val="26"/>
        </w:rPr>
        <w:t>Comments (RM16-23) at</w:t>
      </w:r>
      <w:r w:rsidRPr="004805D1">
        <w:rPr>
          <w:szCs w:val="26"/>
        </w:rPr>
        <w:t xml:space="preserve"> 15.  Avangrid adds that the electric distribution companies should be allowed to charge for this service.</w:t>
      </w:r>
    </w:p>
  </w:footnote>
  <w:footnote w:id="634">
    <w:p w:rsidR="00FB7F86" w:rsidP="00200060" w:rsidRDefault="00FB7F86" w14:paraId="27ED6DA7" w14:textId="77777777">
      <w:pPr>
        <w:pStyle w:val="FootnoteText"/>
      </w:pPr>
      <w:r>
        <w:rPr>
          <w:rStyle w:val="FootnoteReference"/>
        </w:rPr>
        <w:footnoteRef/>
      </w:r>
      <w:r>
        <w:t xml:space="preserve"> APPA Comments (2018 RM18-9) at 9-10; NRECA Comments (2018 RM18-9) at 11-12, 30.</w:t>
      </w:r>
    </w:p>
  </w:footnote>
  <w:footnote w:id="635">
    <w:p w:rsidRPr="003E6AEE" w:rsidR="00FB7F86" w:rsidP="00200060" w:rsidRDefault="00FB7F86" w14:paraId="5A9464AD" w14:textId="4F015915">
      <w:pPr>
        <w:pStyle w:val="FootnoteText"/>
        <w:rPr>
          <w:szCs w:val="26"/>
        </w:rPr>
      </w:pPr>
      <w:r w:rsidRPr="003E6AEE">
        <w:rPr>
          <w:rStyle w:val="FootnoteReference"/>
          <w:szCs w:val="26"/>
        </w:rPr>
        <w:footnoteRef/>
      </w:r>
      <w:r w:rsidRPr="003E6AEE">
        <w:rPr>
          <w:szCs w:val="26"/>
        </w:rPr>
        <w:t xml:space="preserve"> APPA Comments </w:t>
      </w:r>
      <w:r>
        <w:rPr>
          <w:szCs w:val="26"/>
        </w:rPr>
        <w:t xml:space="preserve">(2018 RM18-9) </w:t>
      </w:r>
      <w:r w:rsidRPr="003E6AEE">
        <w:rPr>
          <w:szCs w:val="26"/>
        </w:rPr>
        <w:t>at 10.</w:t>
      </w:r>
    </w:p>
  </w:footnote>
  <w:footnote w:id="636">
    <w:p w:rsidR="00FB7F86" w:rsidP="00200060" w:rsidRDefault="00FB7F86" w14:paraId="09E725DB" w14:textId="0A8A4745">
      <w:pPr>
        <w:pStyle w:val="FootnoteText"/>
      </w:pPr>
      <w:r>
        <w:rPr>
          <w:rStyle w:val="FootnoteReference"/>
        </w:rPr>
        <w:footnoteRef/>
      </w:r>
      <w:r>
        <w:t xml:space="preserve"> Advanced Energy Management Comments (2018 RM18-9) at 22-23.</w:t>
      </w:r>
    </w:p>
  </w:footnote>
  <w:footnote w:id="637">
    <w:p w:rsidRPr="003E6AEE" w:rsidR="00FB7F86" w:rsidP="00200060" w:rsidRDefault="00FB7F86" w14:paraId="434812C5" w14:textId="678DAAB6">
      <w:pPr>
        <w:pStyle w:val="FootnoteText"/>
        <w:rPr>
          <w:szCs w:val="26"/>
        </w:rPr>
      </w:pPr>
      <w:r w:rsidRPr="003E6AEE">
        <w:rPr>
          <w:rStyle w:val="FootnoteReference"/>
          <w:szCs w:val="26"/>
        </w:rPr>
        <w:footnoteRef/>
      </w:r>
      <w:r w:rsidRPr="003E6AEE">
        <w:rPr>
          <w:szCs w:val="26"/>
        </w:rPr>
        <w:t xml:space="preserve"> </w:t>
      </w:r>
      <w:r w:rsidRPr="00093189">
        <w:rPr>
          <w:szCs w:val="26"/>
        </w:rPr>
        <w:t>Advanced Energy Economy</w:t>
      </w:r>
      <w:r w:rsidRPr="00F41192">
        <w:rPr>
          <w:szCs w:val="26"/>
        </w:rPr>
        <w:t xml:space="preserve"> </w:t>
      </w:r>
      <w:r w:rsidRPr="003E6AEE">
        <w:rPr>
          <w:szCs w:val="26"/>
        </w:rPr>
        <w:t xml:space="preserve">Comments </w:t>
      </w:r>
      <w:r>
        <w:rPr>
          <w:szCs w:val="26"/>
        </w:rPr>
        <w:t xml:space="preserve">(2018 </w:t>
      </w:r>
      <w:r w:rsidRPr="00FD3CEC">
        <w:rPr>
          <w:szCs w:val="26"/>
        </w:rPr>
        <w:t>RM18-9</w:t>
      </w:r>
      <w:r>
        <w:rPr>
          <w:szCs w:val="26"/>
        </w:rPr>
        <w:t>)</w:t>
      </w:r>
      <w:r w:rsidRPr="00FD3CEC">
        <w:rPr>
          <w:szCs w:val="26"/>
        </w:rPr>
        <w:t xml:space="preserve"> </w:t>
      </w:r>
      <w:r w:rsidRPr="003E6AEE">
        <w:rPr>
          <w:szCs w:val="26"/>
        </w:rPr>
        <w:t>at 9</w:t>
      </w:r>
      <w:r>
        <w:rPr>
          <w:szCs w:val="26"/>
        </w:rPr>
        <w:t xml:space="preserve"> </w:t>
      </w:r>
      <w:r w:rsidRPr="003E6AEE">
        <w:rPr>
          <w:szCs w:val="26"/>
        </w:rPr>
        <w:t>n</w:t>
      </w:r>
      <w:r>
        <w:rPr>
          <w:szCs w:val="26"/>
        </w:rPr>
        <w:t>.</w:t>
      </w:r>
      <w:r w:rsidRPr="003E6AEE">
        <w:rPr>
          <w:szCs w:val="26"/>
        </w:rPr>
        <w:t>11.</w:t>
      </w:r>
    </w:p>
  </w:footnote>
  <w:footnote w:id="638">
    <w:p w:rsidRPr="004805D1" w:rsidR="00FB7F86" w:rsidP="008E6886" w:rsidRDefault="00FB7F86" w14:paraId="201A4C36" w14:textId="31DA9F94">
      <w:pPr>
        <w:pStyle w:val="FootnoteText"/>
        <w:rPr>
          <w:szCs w:val="26"/>
        </w:rPr>
      </w:pPr>
      <w:r w:rsidRPr="004805D1">
        <w:rPr>
          <w:rStyle w:val="FootnoteReference"/>
          <w:szCs w:val="26"/>
        </w:rPr>
        <w:footnoteRef/>
      </w:r>
      <w:r w:rsidRPr="004805D1">
        <w:rPr>
          <w:szCs w:val="26"/>
        </w:rPr>
        <w:t xml:space="preserve"> Avangrid </w:t>
      </w:r>
      <w:r>
        <w:rPr>
          <w:szCs w:val="26"/>
        </w:rPr>
        <w:t>Comments (RM16-23) at</w:t>
      </w:r>
      <w:r w:rsidRPr="004805D1">
        <w:rPr>
          <w:szCs w:val="26"/>
        </w:rPr>
        <w:t xml:space="preserve"> 15; Independent Energy Producers Association </w:t>
      </w:r>
      <w:r>
        <w:rPr>
          <w:szCs w:val="26"/>
        </w:rPr>
        <w:t>Comments (RM16-23) at</w:t>
      </w:r>
      <w:r w:rsidRPr="004805D1">
        <w:rPr>
          <w:szCs w:val="26"/>
        </w:rPr>
        <w:t xml:space="preserve"> 8; </w:t>
      </w:r>
      <w:r>
        <w:t xml:space="preserve">Microsoft Comments (2018 RM18-9) at 17; </w:t>
      </w:r>
      <w:r w:rsidRPr="004805D1">
        <w:rPr>
          <w:szCs w:val="26"/>
        </w:rPr>
        <w:t xml:space="preserve">Organization of MISO States </w:t>
      </w:r>
      <w:r>
        <w:rPr>
          <w:szCs w:val="26"/>
        </w:rPr>
        <w:t>Comments (RM16-23) at</w:t>
      </w:r>
      <w:r w:rsidRPr="004805D1">
        <w:rPr>
          <w:szCs w:val="26"/>
        </w:rPr>
        <w:t xml:space="preserve"> 9</w:t>
      </w:r>
      <w:r>
        <w:rPr>
          <w:szCs w:val="26"/>
        </w:rPr>
        <w:t xml:space="preserve">; </w:t>
      </w:r>
      <w:r>
        <w:t>Stem Comments (2018 RM18-9) at 3, 19</w:t>
      </w:r>
      <w:r w:rsidRPr="004805D1">
        <w:rPr>
          <w:szCs w:val="26"/>
        </w:rPr>
        <w:t>.</w:t>
      </w:r>
    </w:p>
  </w:footnote>
  <w:footnote w:id="639">
    <w:p w:rsidRPr="004805D1" w:rsidR="00FB7F86" w:rsidP="008E6886" w:rsidRDefault="00FB7F86" w14:paraId="5082EA69" w14:textId="77777777">
      <w:pPr>
        <w:pStyle w:val="FootnoteText"/>
        <w:rPr>
          <w:szCs w:val="26"/>
        </w:rPr>
      </w:pPr>
      <w:r w:rsidRPr="004805D1">
        <w:rPr>
          <w:rStyle w:val="FootnoteReference"/>
          <w:szCs w:val="26"/>
        </w:rPr>
        <w:footnoteRef/>
      </w:r>
      <w:r w:rsidRPr="004805D1">
        <w:rPr>
          <w:szCs w:val="26"/>
        </w:rPr>
        <w:t xml:space="preserve"> DER/Storage Developers </w:t>
      </w:r>
      <w:r>
        <w:rPr>
          <w:szCs w:val="26"/>
        </w:rPr>
        <w:t>Comments (RM16-23) at</w:t>
      </w:r>
      <w:r w:rsidRPr="004805D1">
        <w:rPr>
          <w:szCs w:val="26"/>
        </w:rPr>
        <w:t xml:space="preserve"> 4.</w:t>
      </w:r>
    </w:p>
  </w:footnote>
  <w:footnote w:id="640">
    <w:p w:rsidRPr="004805D1" w:rsidR="00FB7F86" w:rsidP="008E6886" w:rsidRDefault="00FB7F86" w14:paraId="28DF11F5" w14:textId="77777777">
      <w:pPr>
        <w:pStyle w:val="FootnoteText"/>
        <w:rPr>
          <w:szCs w:val="26"/>
        </w:rPr>
      </w:pPr>
      <w:r w:rsidRPr="004805D1">
        <w:rPr>
          <w:rStyle w:val="FootnoteReference"/>
          <w:szCs w:val="26"/>
        </w:rPr>
        <w:footnoteRef/>
      </w:r>
      <w:r w:rsidRPr="004805D1">
        <w:rPr>
          <w:szCs w:val="26"/>
        </w:rPr>
        <w:t xml:space="preserve"> Independent Energy Producers Association </w:t>
      </w:r>
      <w:r>
        <w:rPr>
          <w:szCs w:val="26"/>
        </w:rPr>
        <w:t>Comments (RM16-23) at</w:t>
      </w:r>
      <w:r w:rsidRPr="004805D1">
        <w:rPr>
          <w:szCs w:val="26"/>
        </w:rPr>
        <w:t xml:space="preserve"> 8.</w:t>
      </w:r>
    </w:p>
  </w:footnote>
  <w:footnote w:id="641">
    <w:p w:rsidR="00FB7F86" w:rsidP="00B0534F" w:rsidRDefault="00FB7F86" w14:paraId="492DB41C" w14:textId="77777777">
      <w:pPr>
        <w:pStyle w:val="FootnoteText"/>
      </w:pPr>
      <w:r>
        <w:rPr>
          <w:rStyle w:val="FootnoteReference"/>
        </w:rPr>
        <w:footnoteRef/>
      </w:r>
      <w:r>
        <w:t xml:space="preserve"> MISO Comments (2018 RM18-9) at 19.</w:t>
      </w:r>
    </w:p>
  </w:footnote>
  <w:footnote w:id="642">
    <w:p w:rsidR="00FB7F86" w:rsidP="00200060" w:rsidRDefault="00FB7F86" w14:paraId="4BE0D5F3" w14:textId="47FBE157">
      <w:pPr>
        <w:pStyle w:val="FootnoteText"/>
      </w:pPr>
      <w:r>
        <w:rPr>
          <w:rStyle w:val="FootnoteReference"/>
        </w:rPr>
        <w:footnoteRef/>
      </w:r>
      <w:r>
        <w:t xml:space="preserve"> EPSA Comments (2018 RM18-9) at 10-13 (citing</w:t>
      </w:r>
      <w:r>
        <w:rPr>
          <w:i/>
        </w:rPr>
        <w:t xml:space="preserve"> </w:t>
      </w:r>
      <w:r w:rsidRPr="00AE3D19">
        <w:t>Distributed Energy Resources Roadmap</w:t>
      </w:r>
      <w:r w:rsidRPr="008216B0">
        <w:rPr>
          <w:i/>
          <w:iCs/>
        </w:rPr>
        <w:t xml:space="preserve"> </w:t>
      </w:r>
      <w:r>
        <w:t>at 29-30).</w:t>
      </w:r>
    </w:p>
  </w:footnote>
  <w:footnote w:id="643">
    <w:p w:rsidRPr="004805D1" w:rsidR="00FB7F86" w:rsidP="00200060" w:rsidRDefault="00FB7F86" w14:paraId="0288946F" w14:textId="77777777">
      <w:pPr>
        <w:pStyle w:val="FootnoteText"/>
        <w:rPr>
          <w:szCs w:val="26"/>
        </w:rPr>
      </w:pPr>
      <w:r w:rsidRPr="004805D1">
        <w:rPr>
          <w:rStyle w:val="FootnoteReference"/>
          <w:szCs w:val="26"/>
        </w:rPr>
        <w:footnoteRef/>
      </w:r>
      <w:r w:rsidRPr="004805D1">
        <w:rPr>
          <w:szCs w:val="26"/>
        </w:rPr>
        <w:t xml:space="preserve"> Avangrid </w:t>
      </w:r>
      <w:r>
        <w:rPr>
          <w:szCs w:val="26"/>
        </w:rPr>
        <w:t>Comments (RM16-23) at</w:t>
      </w:r>
      <w:r w:rsidRPr="004805D1">
        <w:rPr>
          <w:szCs w:val="26"/>
        </w:rPr>
        <w:t xml:space="preserve"> 15.</w:t>
      </w:r>
    </w:p>
  </w:footnote>
  <w:footnote w:id="644">
    <w:p w:rsidRPr="004805D1" w:rsidR="00FB7F86" w:rsidP="008E6886" w:rsidRDefault="00FB7F86" w14:paraId="4C6562F8" w14:textId="77777777">
      <w:pPr>
        <w:pStyle w:val="FootnoteText"/>
        <w:rPr>
          <w:szCs w:val="26"/>
        </w:rPr>
      </w:pPr>
      <w:r w:rsidRPr="004805D1">
        <w:rPr>
          <w:rStyle w:val="FootnoteReference"/>
          <w:szCs w:val="26"/>
        </w:rPr>
        <w:footnoteRef/>
      </w:r>
      <w:r w:rsidRPr="004805D1">
        <w:rPr>
          <w:szCs w:val="26"/>
        </w:rPr>
        <w:t xml:space="preserve"> AES Companies </w:t>
      </w:r>
      <w:r>
        <w:rPr>
          <w:szCs w:val="26"/>
        </w:rPr>
        <w:t>Comments (RM16-23) at</w:t>
      </w:r>
      <w:r w:rsidRPr="004805D1">
        <w:rPr>
          <w:szCs w:val="26"/>
        </w:rPr>
        <w:t xml:space="preserve"> 47</w:t>
      </w:r>
      <w:r>
        <w:rPr>
          <w:szCs w:val="26"/>
        </w:rPr>
        <w:t>.</w:t>
      </w:r>
    </w:p>
  </w:footnote>
  <w:footnote w:id="645">
    <w:p w:rsidRPr="004805D1" w:rsidR="00FB7F86" w:rsidP="008E6886" w:rsidRDefault="00FB7F86" w14:paraId="6F02E7F7" w14:textId="77777777">
      <w:pPr>
        <w:pStyle w:val="FootnoteText"/>
        <w:rPr>
          <w:szCs w:val="26"/>
        </w:rPr>
      </w:pPr>
      <w:r w:rsidRPr="004805D1">
        <w:rPr>
          <w:rStyle w:val="FootnoteReference"/>
          <w:szCs w:val="26"/>
        </w:rPr>
        <w:footnoteRef/>
      </w:r>
      <w:r w:rsidRPr="004805D1">
        <w:rPr>
          <w:szCs w:val="26"/>
        </w:rPr>
        <w:t xml:space="preserve"> IRC </w:t>
      </w:r>
      <w:r>
        <w:rPr>
          <w:szCs w:val="26"/>
        </w:rPr>
        <w:t>Comments (RM16-23) at</w:t>
      </w:r>
      <w:r w:rsidRPr="004805D1">
        <w:rPr>
          <w:szCs w:val="26"/>
        </w:rPr>
        <w:t xml:space="preserve"> 6.</w:t>
      </w:r>
    </w:p>
  </w:footnote>
  <w:footnote w:id="646">
    <w:p w:rsidRPr="004805D1" w:rsidR="00FB7F86" w:rsidP="008E6886" w:rsidRDefault="00FB7F86" w14:paraId="5D89DF33" w14:textId="77777777">
      <w:pPr>
        <w:pStyle w:val="FootnoteText"/>
        <w:rPr>
          <w:szCs w:val="26"/>
        </w:rPr>
      </w:pPr>
      <w:r w:rsidRPr="004805D1">
        <w:rPr>
          <w:rStyle w:val="FootnoteReference"/>
          <w:szCs w:val="26"/>
        </w:rPr>
        <w:footnoteRef/>
      </w:r>
      <w:r w:rsidRPr="004805D1">
        <w:rPr>
          <w:szCs w:val="26"/>
        </w:rPr>
        <w:t xml:space="preserve"> California Energy Storage Alliance </w:t>
      </w:r>
      <w:r>
        <w:rPr>
          <w:szCs w:val="26"/>
        </w:rPr>
        <w:t>Comments (RM16-23) at</w:t>
      </w:r>
      <w:r w:rsidRPr="004805D1">
        <w:rPr>
          <w:szCs w:val="26"/>
        </w:rPr>
        <w:t xml:space="preserve"> 9.</w:t>
      </w:r>
    </w:p>
  </w:footnote>
  <w:footnote w:id="647">
    <w:p w:rsidRPr="004805D1" w:rsidR="00FB7F86" w:rsidP="008E6886" w:rsidRDefault="00FB7F86" w14:paraId="0D448AA9" w14:textId="1571C599">
      <w:pPr>
        <w:pStyle w:val="FootnoteText"/>
        <w:rPr>
          <w:szCs w:val="26"/>
        </w:rPr>
      </w:pPr>
      <w:r w:rsidRPr="004805D1">
        <w:rPr>
          <w:rStyle w:val="FootnoteReference"/>
          <w:szCs w:val="26"/>
        </w:rPr>
        <w:footnoteRef/>
      </w:r>
      <w:r w:rsidRPr="004805D1">
        <w:rPr>
          <w:szCs w:val="26"/>
        </w:rPr>
        <w:t xml:space="preserve"> Delaware Commission </w:t>
      </w:r>
      <w:r>
        <w:rPr>
          <w:szCs w:val="26"/>
        </w:rPr>
        <w:t>Comments (RM16-23) at</w:t>
      </w:r>
      <w:r w:rsidRPr="004805D1">
        <w:rPr>
          <w:szCs w:val="26"/>
        </w:rPr>
        <w:t xml:space="preserve"> 5-7 (citing </w:t>
      </w:r>
      <w:r w:rsidRPr="004805D1">
        <w:rPr>
          <w:i/>
          <w:iCs/>
          <w:szCs w:val="26"/>
        </w:rPr>
        <w:t xml:space="preserve">FPC v. </w:t>
      </w:r>
      <w:r>
        <w:rPr>
          <w:i/>
          <w:iCs/>
          <w:szCs w:val="26"/>
        </w:rPr>
        <w:t>Fla.</w:t>
      </w:r>
      <w:r w:rsidRPr="004805D1">
        <w:rPr>
          <w:i/>
          <w:iCs/>
          <w:szCs w:val="26"/>
        </w:rPr>
        <w:t xml:space="preserve"> Power &amp; Light Co.</w:t>
      </w:r>
      <w:r>
        <w:rPr>
          <w:szCs w:val="26"/>
        </w:rPr>
        <w:t>,</w:t>
      </w:r>
      <w:r w:rsidRPr="00DE70CD">
        <w:rPr>
          <w:szCs w:val="26"/>
        </w:rPr>
        <w:t xml:space="preserve"> </w:t>
      </w:r>
      <w:r w:rsidRPr="004805D1">
        <w:rPr>
          <w:szCs w:val="26"/>
        </w:rPr>
        <w:t>404 US 461, 463 (1972)), 8.</w:t>
      </w:r>
    </w:p>
  </w:footnote>
  <w:footnote w:id="648">
    <w:p w:rsidRPr="004805D1" w:rsidR="00FB7F86" w:rsidP="00A2228F" w:rsidRDefault="00FB7F86" w14:paraId="198834C9" w14:textId="73129B2B">
      <w:pPr>
        <w:pStyle w:val="FootnoteText"/>
        <w:widowControl/>
        <w:rPr>
          <w:szCs w:val="26"/>
        </w:rPr>
      </w:pPr>
      <w:r w:rsidRPr="004805D1">
        <w:rPr>
          <w:rStyle w:val="FootnoteReference"/>
          <w:szCs w:val="26"/>
        </w:rPr>
        <w:footnoteRef/>
      </w:r>
      <w:r w:rsidRPr="004805D1">
        <w:rPr>
          <w:szCs w:val="26"/>
        </w:rPr>
        <w:t xml:space="preserve"> </w:t>
      </w:r>
      <w:r>
        <w:rPr>
          <w:i/>
          <w:iCs/>
        </w:rPr>
        <w:t>See, e.g.</w:t>
      </w:r>
      <w:r>
        <w:t>,</w:t>
      </w:r>
      <w:r w:rsidRPr="004805D1">
        <w:rPr>
          <w:szCs w:val="26"/>
        </w:rPr>
        <w:t xml:space="preserve"> Avangrid </w:t>
      </w:r>
      <w:r>
        <w:rPr>
          <w:szCs w:val="26"/>
        </w:rPr>
        <w:t>Comments (RM16-23) at</w:t>
      </w:r>
      <w:r w:rsidRPr="004805D1">
        <w:rPr>
          <w:szCs w:val="26"/>
        </w:rPr>
        <w:t xml:space="preserve"> 15; Dominion </w:t>
      </w:r>
      <w:r>
        <w:rPr>
          <w:szCs w:val="26"/>
        </w:rPr>
        <w:t>Comments (RM16-23) at</w:t>
      </w:r>
      <w:r w:rsidRPr="004805D1">
        <w:rPr>
          <w:szCs w:val="26"/>
        </w:rPr>
        <w:t xml:space="preserve"> 12; EEI </w:t>
      </w:r>
      <w:r>
        <w:rPr>
          <w:szCs w:val="26"/>
        </w:rPr>
        <w:t>Comments (RM16-23) at</w:t>
      </w:r>
      <w:r w:rsidRPr="004805D1">
        <w:rPr>
          <w:szCs w:val="26"/>
        </w:rPr>
        <w:t xml:space="preserve"> 13; NARUC </w:t>
      </w:r>
      <w:r>
        <w:rPr>
          <w:szCs w:val="26"/>
        </w:rPr>
        <w:t>Comments (RM16-23) at</w:t>
      </w:r>
      <w:r w:rsidRPr="004805D1">
        <w:rPr>
          <w:szCs w:val="26"/>
        </w:rPr>
        <w:t xml:space="preserve"> 6</w:t>
      </w:r>
      <w:r>
        <w:rPr>
          <w:szCs w:val="26"/>
        </w:rPr>
        <w:t xml:space="preserve">; </w:t>
      </w:r>
      <w:r w:rsidRPr="004805D1">
        <w:rPr>
          <w:szCs w:val="26"/>
        </w:rPr>
        <w:t xml:space="preserve">SoCal Edison </w:t>
      </w:r>
      <w:r>
        <w:rPr>
          <w:szCs w:val="26"/>
        </w:rPr>
        <w:t>Comments (RM16-23) at</w:t>
      </w:r>
      <w:r w:rsidRPr="004805D1">
        <w:rPr>
          <w:szCs w:val="26"/>
        </w:rPr>
        <w:t xml:space="preserve"> 14.</w:t>
      </w:r>
    </w:p>
  </w:footnote>
  <w:footnote w:id="649">
    <w:p w:rsidRPr="004805D1" w:rsidR="00FB7F86" w:rsidP="008E6886" w:rsidRDefault="00FB7F86" w14:paraId="195DD020" w14:textId="24AA0D01">
      <w:pPr>
        <w:pStyle w:val="FootnoteText"/>
        <w:rPr>
          <w:szCs w:val="26"/>
        </w:rPr>
      </w:pPr>
      <w:r w:rsidRPr="004805D1">
        <w:rPr>
          <w:rStyle w:val="FootnoteReference"/>
          <w:szCs w:val="26"/>
        </w:rPr>
        <w:footnoteRef/>
      </w:r>
      <w:r w:rsidRPr="004805D1">
        <w:rPr>
          <w:szCs w:val="26"/>
        </w:rPr>
        <w:t xml:space="preserve"> </w:t>
      </w:r>
      <w:r>
        <w:rPr>
          <w:i/>
          <w:iCs/>
        </w:rPr>
        <w:t>See, e.g.</w:t>
      </w:r>
      <w:r>
        <w:t>,</w:t>
      </w:r>
      <w:r w:rsidRPr="004805D1">
        <w:rPr>
          <w:szCs w:val="26"/>
        </w:rPr>
        <w:t xml:space="preserve"> Delaware Commission </w:t>
      </w:r>
      <w:r>
        <w:rPr>
          <w:szCs w:val="26"/>
        </w:rPr>
        <w:t>Comments (RM16-23) at</w:t>
      </w:r>
      <w:r w:rsidRPr="004805D1">
        <w:rPr>
          <w:szCs w:val="26"/>
        </w:rPr>
        <w:t xml:space="preserve"> 7; EEI </w:t>
      </w:r>
      <w:r>
        <w:rPr>
          <w:szCs w:val="26"/>
        </w:rPr>
        <w:t>Comments (RM16-23) at</w:t>
      </w:r>
      <w:r w:rsidRPr="004805D1">
        <w:rPr>
          <w:szCs w:val="26"/>
        </w:rPr>
        <w:t xml:space="preserve"> 33-34; IRC </w:t>
      </w:r>
      <w:r>
        <w:rPr>
          <w:szCs w:val="26"/>
        </w:rPr>
        <w:t>Comments (RM16-23) at</w:t>
      </w:r>
      <w:r w:rsidRPr="004805D1">
        <w:rPr>
          <w:szCs w:val="26"/>
        </w:rPr>
        <w:t xml:space="preserve"> 6; Massachusetts Municipal Electric </w:t>
      </w:r>
      <w:r>
        <w:rPr>
          <w:szCs w:val="26"/>
        </w:rPr>
        <w:t>Comments (RM16-23) at</w:t>
      </w:r>
      <w:r w:rsidRPr="004805D1">
        <w:rPr>
          <w:szCs w:val="26"/>
        </w:rPr>
        <w:t xml:space="preserve"> 4; Six Cities </w:t>
      </w:r>
      <w:r>
        <w:rPr>
          <w:szCs w:val="26"/>
        </w:rPr>
        <w:t>Comments (RM16-23) at</w:t>
      </w:r>
      <w:r w:rsidRPr="004805D1">
        <w:rPr>
          <w:szCs w:val="26"/>
        </w:rPr>
        <w:t xml:space="preserve"> 3; TAPS </w:t>
      </w:r>
      <w:r>
        <w:rPr>
          <w:szCs w:val="26"/>
        </w:rPr>
        <w:t>Comments (RM16-23) at</w:t>
      </w:r>
      <w:r w:rsidRPr="004805D1">
        <w:rPr>
          <w:szCs w:val="26"/>
        </w:rPr>
        <w:t xml:space="preserve"> 24.</w:t>
      </w:r>
    </w:p>
  </w:footnote>
  <w:footnote w:id="650">
    <w:p w:rsidRPr="004805D1" w:rsidR="00FB7F86" w:rsidP="008E6886" w:rsidRDefault="00FB7F86" w14:paraId="3F060B94" w14:textId="77777777">
      <w:pPr>
        <w:ind w:firstLine="720"/>
        <w:rPr>
          <w:szCs w:val="26"/>
        </w:rPr>
      </w:pPr>
      <w:r w:rsidRPr="004805D1">
        <w:rPr>
          <w:rStyle w:val="FootnoteReference"/>
          <w:szCs w:val="26"/>
        </w:rPr>
        <w:footnoteRef/>
      </w:r>
      <w:r w:rsidRPr="004805D1">
        <w:rPr>
          <w:szCs w:val="26"/>
        </w:rPr>
        <w:t xml:space="preserve"> Fresh Energy/Sierra Club/Union of Concerned Scientists </w:t>
      </w:r>
      <w:r>
        <w:rPr>
          <w:szCs w:val="26"/>
        </w:rPr>
        <w:t>Comments (RM16-23) at</w:t>
      </w:r>
      <w:r w:rsidRPr="004805D1">
        <w:rPr>
          <w:szCs w:val="26"/>
        </w:rPr>
        <w:t xml:space="preserve"> 3</w:t>
      </w:r>
      <w:r>
        <w:rPr>
          <w:szCs w:val="26"/>
        </w:rPr>
        <w:t>.</w:t>
      </w:r>
    </w:p>
  </w:footnote>
  <w:footnote w:id="651">
    <w:p w:rsidR="00FB7F86" w:rsidP="008E6886" w:rsidRDefault="00FB7F86" w14:paraId="65F71032" w14:textId="77777777">
      <w:pPr>
        <w:pStyle w:val="FootnoteText"/>
        <w:spacing w:before="2" w:after="2"/>
        <w:rPr>
          <w:szCs w:val="26"/>
        </w:rPr>
      </w:pPr>
    </w:p>
    <w:p w:rsidR="00FB7F86" w:rsidP="008E6886" w:rsidRDefault="00FB7F86" w14:paraId="5235296D" w14:textId="77777777">
      <w:pPr>
        <w:pStyle w:val="FootnoteText"/>
        <w:spacing w:before="2" w:after="2"/>
        <w:rPr>
          <w:szCs w:val="26"/>
        </w:rPr>
      </w:pPr>
      <w:r w:rsidRPr="004805D1">
        <w:rPr>
          <w:rStyle w:val="FootnoteReference"/>
          <w:szCs w:val="26"/>
        </w:rPr>
        <w:footnoteRef/>
      </w:r>
      <w:r w:rsidRPr="004805D1">
        <w:rPr>
          <w:szCs w:val="26"/>
        </w:rPr>
        <w:t xml:space="preserve"> Duke Energy Comments (RM16-23) at 5.</w:t>
      </w:r>
    </w:p>
    <w:p w:rsidRPr="004805D1" w:rsidR="00FB7F86" w:rsidP="008E6886" w:rsidRDefault="00FB7F86" w14:paraId="5C831D94" w14:textId="77777777">
      <w:pPr>
        <w:pStyle w:val="FootnoteText"/>
        <w:spacing w:before="2" w:after="2"/>
        <w:rPr>
          <w:szCs w:val="26"/>
        </w:rPr>
      </w:pPr>
    </w:p>
  </w:footnote>
  <w:footnote w:id="652">
    <w:p w:rsidRPr="004805D1" w:rsidR="00FB7F86" w:rsidP="008E6886" w:rsidRDefault="00FB7F86" w14:paraId="2D128E95" w14:textId="77777777">
      <w:pPr>
        <w:pStyle w:val="FootnoteText"/>
        <w:rPr>
          <w:szCs w:val="26"/>
        </w:rPr>
      </w:pPr>
      <w:r w:rsidRPr="004805D1">
        <w:rPr>
          <w:rStyle w:val="FootnoteReference"/>
          <w:szCs w:val="26"/>
        </w:rPr>
        <w:footnoteRef/>
      </w:r>
      <w:r w:rsidRPr="004805D1">
        <w:rPr>
          <w:szCs w:val="26"/>
        </w:rPr>
        <w:t xml:space="preserve"> EEI </w:t>
      </w:r>
      <w:r>
        <w:rPr>
          <w:szCs w:val="26"/>
        </w:rPr>
        <w:t>Comments (RM16-23) at</w:t>
      </w:r>
      <w:r w:rsidRPr="004805D1">
        <w:rPr>
          <w:szCs w:val="26"/>
        </w:rPr>
        <w:t xml:space="preserve"> 34.</w:t>
      </w:r>
    </w:p>
  </w:footnote>
  <w:footnote w:id="653">
    <w:p w:rsidRPr="004805D1" w:rsidR="00FB7F86" w:rsidP="008E6886" w:rsidRDefault="00FB7F86" w14:paraId="3BF4BF79" w14:textId="77777777">
      <w:pPr>
        <w:pStyle w:val="FootnoteText"/>
        <w:rPr>
          <w:szCs w:val="26"/>
        </w:rPr>
      </w:pPr>
      <w:r w:rsidRPr="004805D1">
        <w:rPr>
          <w:rStyle w:val="FootnoteReference"/>
          <w:szCs w:val="26"/>
        </w:rPr>
        <w:footnoteRef/>
      </w:r>
      <w:r w:rsidRPr="004805D1">
        <w:rPr>
          <w:szCs w:val="26"/>
        </w:rPr>
        <w:t xml:space="preserve"> IRC </w:t>
      </w:r>
      <w:r>
        <w:rPr>
          <w:szCs w:val="26"/>
        </w:rPr>
        <w:t>Comments (RM16-23) at</w:t>
      </w:r>
      <w:r w:rsidRPr="004805D1">
        <w:rPr>
          <w:szCs w:val="26"/>
        </w:rPr>
        <w:t xml:space="preserve"> 6.</w:t>
      </w:r>
    </w:p>
  </w:footnote>
  <w:footnote w:id="654">
    <w:p w:rsidRPr="004805D1" w:rsidR="00FB7F86" w:rsidP="008E6886" w:rsidRDefault="00FB7F86" w14:paraId="37625A87" w14:textId="77777777">
      <w:pPr>
        <w:pStyle w:val="FootnoteText"/>
        <w:rPr>
          <w:szCs w:val="26"/>
        </w:rPr>
      </w:pPr>
      <w:r w:rsidRPr="004805D1">
        <w:rPr>
          <w:rStyle w:val="FootnoteReference"/>
          <w:szCs w:val="26"/>
        </w:rPr>
        <w:footnoteRef/>
      </w:r>
      <w:r w:rsidRPr="004805D1">
        <w:rPr>
          <w:szCs w:val="26"/>
        </w:rPr>
        <w:t xml:space="preserve"> Xcel Energy Services </w:t>
      </w:r>
      <w:r>
        <w:rPr>
          <w:szCs w:val="26"/>
        </w:rPr>
        <w:t>Comments (RM16-23) at</w:t>
      </w:r>
      <w:r w:rsidRPr="004805D1">
        <w:rPr>
          <w:szCs w:val="26"/>
        </w:rPr>
        <w:t xml:space="preserve"> 27.</w:t>
      </w:r>
    </w:p>
  </w:footnote>
  <w:footnote w:id="655">
    <w:p w:rsidRPr="004805D1" w:rsidR="00FB7F86" w:rsidP="008E6886" w:rsidRDefault="00FB7F86" w14:paraId="35C72F08" w14:textId="77777777">
      <w:pPr>
        <w:pStyle w:val="FootnoteText"/>
        <w:rPr>
          <w:szCs w:val="26"/>
        </w:rPr>
      </w:pPr>
      <w:r w:rsidRPr="004805D1">
        <w:rPr>
          <w:rStyle w:val="FootnoteReference"/>
          <w:szCs w:val="26"/>
        </w:rPr>
        <w:footnoteRef/>
      </w:r>
      <w:r w:rsidRPr="004805D1">
        <w:rPr>
          <w:szCs w:val="26"/>
        </w:rPr>
        <w:t xml:space="preserve"> EEI </w:t>
      </w:r>
      <w:r>
        <w:rPr>
          <w:szCs w:val="26"/>
        </w:rPr>
        <w:t>Comments (RM16-23) at</w:t>
      </w:r>
      <w:r w:rsidRPr="004805D1">
        <w:rPr>
          <w:szCs w:val="26"/>
        </w:rPr>
        <w:t xml:space="preserve"> 33; MISO </w:t>
      </w:r>
      <w:r>
        <w:rPr>
          <w:szCs w:val="26"/>
        </w:rPr>
        <w:t>Comments (RM16-23) at</w:t>
      </w:r>
      <w:r w:rsidRPr="004805D1">
        <w:rPr>
          <w:szCs w:val="26"/>
        </w:rPr>
        <w:t xml:space="preserve"> 25; NARUC </w:t>
      </w:r>
      <w:r>
        <w:rPr>
          <w:szCs w:val="26"/>
        </w:rPr>
        <w:t>Comments (RM16-23) at</w:t>
      </w:r>
      <w:r w:rsidRPr="004805D1">
        <w:rPr>
          <w:szCs w:val="26"/>
        </w:rPr>
        <w:t xml:space="preserve"> 7.</w:t>
      </w:r>
    </w:p>
  </w:footnote>
  <w:footnote w:id="656">
    <w:p w:rsidRPr="004805D1" w:rsidR="00FB7F86" w:rsidP="008E6886" w:rsidRDefault="00FB7F86" w14:paraId="356423DE" w14:textId="77777777">
      <w:pPr>
        <w:pStyle w:val="FootnoteText"/>
        <w:rPr>
          <w:szCs w:val="26"/>
        </w:rPr>
      </w:pPr>
      <w:r w:rsidRPr="004805D1">
        <w:rPr>
          <w:rStyle w:val="FootnoteReference"/>
          <w:szCs w:val="26"/>
        </w:rPr>
        <w:footnoteRef/>
      </w:r>
      <w:r w:rsidRPr="004805D1">
        <w:rPr>
          <w:szCs w:val="26"/>
        </w:rPr>
        <w:t xml:space="preserve"> Fresh Energy/Sierra Club/Union of Concerned Scientists </w:t>
      </w:r>
      <w:r>
        <w:rPr>
          <w:szCs w:val="26"/>
        </w:rPr>
        <w:t>Comments (RM16-23) at</w:t>
      </w:r>
      <w:r w:rsidRPr="004805D1">
        <w:rPr>
          <w:szCs w:val="26"/>
        </w:rPr>
        <w:t xml:space="preserve"> 3.</w:t>
      </w:r>
    </w:p>
  </w:footnote>
  <w:footnote w:id="657">
    <w:p w:rsidR="00FB7F86" w:rsidP="002E4313" w:rsidRDefault="00FB7F86" w14:paraId="292E14DA" w14:textId="6FA401F0">
      <w:pPr>
        <w:pStyle w:val="FootnoteText"/>
      </w:pPr>
      <w:r>
        <w:rPr>
          <w:rStyle w:val="FootnoteReference"/>
        </w:rPr>
        <w:footnoteRef/>
      </w:r>
      <w:r>
        <w:t xml:space="preserve"> </w:t>
      </w:r>
      <w:r w:rsidRPr="000931C8">
        <w:rPr>
          <w:i/>
        </w:rPr>
        <w:t>See, e.g.</w:t>
      </w:r>
      <w:r w:rsidRPr="00CF5E06">
        <w:t xml:space="preserve">, </w:t>
      </w:r>
      <w:r w:rsidRPr="00F32C3C">
        <w:rPr>
          <w:i/>
        </w:rPr>
        <w:t>Energy Storage Ass’n v. PJM Interconnection, L.L.C.</w:t>
      </w:r>
      <w:r w:rsidRPr="00CF5E06">
        <w:t xml:space="preserve">, 162 FERC </w:t>
      </w:r>
      <w:r w:rsidR="00A2228F">
        <w:t xml:space="preserve">      </w:t>
      </w:r>
      <w:r w:rsidRPr="00CF5E06">
        <w:t>¶ 61,296, at P 103 (2018) (</w:t>
      </w:r>
      <w:r w:rsidRPr="00F15E2D">
        <w:rPr>
          <w:i/>
        </w:rPr>
        <w:t>Energy Storage Ass’n v. PJM</w:t>
      </w:r>
      <w:r w:rsidRPr="00CF5E06">
        <w:t xml:space="preserve">) (citing </w:t>
      </w:r>
      <w:r w:rsidRPr="0044696A">
        <w:rPr>
          <w:i/>
        </w:rPr>
        <w:t>Midcontinent Indep. Sys. Operator, Inc.</w:t>
      </w:r>
      <w:r w:rsidRPr="00CF5E06">
        <w:t xml:space="preserve">, 158 FERC ¶ 61,003, at P 69 (2017); </w:t>
      </w:r>
      <w:r w:rsidRPr="005F329F">
        <w:rPr>
          <w:i/>
        </w:rPr>
        <w:t>PacifiCorp</w:t>
      </w:r>
      <w:r w:rsidRPr="00CF5E06">
        <w:t xml:space="preserve">, 127 FERC ¶ 61,144, at </w:t>
      </w:r>
      <w:r w:rsidR="00A2228F">
        <w:t xml:space="preserve"> </w:t>
      </w:r>
      <w:r w:rsidRPr="00CF5E06">
        <w:t xml:space="preserve">P 11 (2009); </w:t>
      </w:r>
      <w:r w:rsidRPr="00546089">
        <w:rPr>
          <w:i/>
        </w:rPr>
        <w:t>City of Cleveland v. FERC</w:t>
      </w:r>
      <w:r w:rsidRPr="00CF5E06">
        <w:t xml:space="preserve">, 773 F.2d 1368, 1376 (D.C. Cir. 1985) (finding that utilities must file “only those practices that affect rates and service </w:t>
      </w:r>
      <w:r w:rsidRPr="00FF6493">
        <w:rPr>
          <w:i/>
        </w:rPr>
        <w:t>significantly</w:t>
      </w:r>
      <w:r w:rsidRPr="00CF5E06">
        <w:t xml:space="preserve">, that are reasonably </w:t>
      </w:r>
      <w:r w:rsidRPr="00B13566">
        <w:rPr>
          <w:i/>
        </w:rPr>
        <w:t>susceptible</w:t>
      </w:r>
      <w:r w:rsidRPr="00CF5E06">
        <w:t xml:space="preserve"> of specification, and that are not so generally understood in any contractual arrangement as to render recitation superfluous”); </w:t>
      </w:r>
      <w:r w:rsidRPr="00D71462">
        <w:rPr>
          <w:i/>
        </w:rPr>
        <w:t>Pub. Serv. Comm’n of N.Y. v. FERC</w:t>
      </w:r>
      <w:r w:rsidRPr="00CF5E06">
        <w:t>, 813 F.2d 448, 454 (D.C. Cir. 1987) (holding that the Commission properly excused utilities from filing policies or practices that dealt with only matters of “practical insignificance” to serving customers)).</w:t>
      </w:r>
    </w:p>
  </w:footnote>
  <w:footnote w:id="658">
    <w:p w:rsidR="00FB7F86" w:rsidRDefault="00FB7F86" w14:paraId="1A3F115A" w14:textId="508D1615">
      <w:pPr>
        <w:pStyle w:val="FootnoteText"/>
      </w:pPr>
      <w:r>
        <w:rPr>
          <w:rStyle w:val="FootnoteReference"/>
        </w:rPr>
        <w:footnoteRef/>
      </w:r>
      <w:r>
        <w:t xml:space="preserve"> NOPR, 157 FERC ¶ 61,121 at P 153.</w:t>
      </w:r>
    </w:p>
  </w:footnote>
  <w:footnote w:id="659">
    <w:p w:rsidR="00FB7F86" w:rsidRDefault="00FB7F86" w14:paraId="11AFD9A8" w14:textId="44A4220B">
      <w:pPr>
        <w:pStyle w:val="FootnoteText"/>
      </w:pPr>
      <w:r>
        <w:rPr>
          <w:rStyle w:val="FootnoteReference"/>
        </w:rPr>
        <w:footnoteRef/>
      </w:r>
      <w:r>
        <w:t xml:space="preserve"> </w:t>
      </w:r>
      <w:r w:rsidRPr="00177CA8">
        <w:rPr>
          <w:szCs w:val="26"/>
        </w:rPr>
        <w:t>Notice Inviting Post-Technical Conference Comments</w:t>
      </w:r>
      <w:r>
        <w:rPr>
          <w:szCs w:val="26"/>
        </w:rPr>
        <w:t xml:space="preserve"> at 7-11.</w:t>
      </w:r>
    </w:p>
  </w:footnote>
  <w:footnote w:id="660">
    <w:p w:rsidRPr="00716CDF" w:rsidR="00FB7F86" w:rsidP="002E614A" w:rsidRDefault="00FB7F86" w14:paraId="4EADC4DC" w14:textId="0242152B">
      <w:pPr>
        <w:pStyle w:val="FootnoteText"/>
        <w:rPr>
          <w:szCs w:val="26"/>
        </w:rPr>
      </w:pPr>
      <w:r w:rsidRPr="00716CDF">
        <w:rPr>
          <w:rStyle w:val="FootnoteReference"/>
          <w:szCs w:val="26"/>
        </w:rPr>
        <w:footnoteRef/>
      </w:r>
      <w:r w:rsidRPr="00716CDF">
        <w:rPr>
          <w:szCs w:val="26"/>
        </w:rPr>
        <w:t xml:space="preserve"> </w:t>
      </w:r>
      <w:r w:rsidRPr="007447B3">
        <w:rPr>
          <w:i/>
          <w:szCs w:val="26"/>
        </w:rPr>
        <w:t>See, e.g.</w:t>
      </w:r>
      <w:r w:rsidRPr="00716CDF">
        <w:rPr>
          <w:szCs w:val="26"/>
        </w:rPr>
        <w:t>, CAISO Comments</w:t>
      </w:r>
      <w:r>
        <w:rPr>
          <w:szCs w:val="26"/>
        </w:rPr>
        <w:t xml:space="preserve"> (RM16-23)</w:t>
      </w:r>
      <w:r w:rsidRPr="00716CDF">
        <w:rPr>
          <w:szCs w:val="26"/>
        </w:rPr>
        <w:t xml:space="preserve"> at 39; Connecticut State Entities Comments</w:t>
      </w:r>
      <w:r>
        <w:rPr>
          <w:szCs w:val="26"/>
        </w:rPr>
        <w:t xml:space="preserve"> (RM16-23)</w:t>
      </w:r>
      <w:r w:rsidRPr="00716CDF">
        <w:rPr>
          <w:szCs w:val="26"/>
        </w:rPr>
        <w:t xml:space="preserve"> at 6; Dominion Comments</w:t>
      </w:r>
      <w:r>
        <w:rPr>
          <w:szCs w:val="26"/>
        </w:rPr>
        <w:t xml:space="preserve"> (RM16-23)</w:t>
      </w:r>
      <w:r w:rsidRPr="00716CDF">
        <w:rPr>
          <w:szCs w:val="26"/>
        </w:rPr>
        <w:t xml:space="preserve"> at 13; Institute for Policy Integrity Comments</w:t>
      </w:r>
      <w:r>
        <w:rPr>
          <w:szCs w:val="26"/>
        </w:rPr>
        <w:t xml:space="preserve"> (RM16-23)</w:t>
      </w:r>
      <w:r w:rsidRPr="00716CDF">
        <w:rPr>
          <w:szCs w:val="26"/>
        </w:rPr>
        <w:t xml:space="preserve"> at 9</w:t>
      </w:r>
      <w:r>
        <w:rPr>
          <w:szCs w:val="26"/>
        </w:rPr>
        <w:t xml:space="preserve">; </w:t>
      </w:r>
      <w:r w:rsidRPr="00716CDF">
        <w:rPr>
          <w:szCs w:val="26"/>
        </w:rPr>
        <w:t>NYISO Comments</w:t>
      </w:r>
      <w:r>
        <w:rPr>
          <w:szCs w:val="26"/>
        </w:rPr>
        <w:t xml:space="preserve"> (RM16-23)</w:t>
      </w:r>
      <w:r w:rsidRPr="00716CDF">
        <w:rPr>
          <w:szCs w:val="26"/>
        </w:rPr>
        <w:t xml:space="preserve"> at 19. </w:t>
      </w:r>
    </w:p>
  </w:footnote>
  <w:footnote w:id="661">
    <w:p w:rsidRPr="00716CDF" w:rsidR="00FB7F86" w:rsidP="002E614A" w:rsidRDefault="00FB7F86" w14:paraId="5E3CDCC5" w14:textId="77777777">
      <w:pPr>
        <w:pStyle w:val="FootnoteText"/>
        <w:rPr>
          <w:szCs w:val="26"/>
        </w:rPr>
      </w:pPr>
      <w:r w:rsidRPr="00716CDF">
        <w:rPr>
          <w:rStyle w:val="FootnoteReference"/>
          <w:szCs w:val="26"/>
        </w:rPr>
        <w:footnoteRef/>
      </w:r>
      <w:r w:rsidRPr="00716CDF">
        <w:rPr>
          <w:szCs w:val="26"/>
        </w:rPr>
        <w:t xml:space="preserve"> Pacific Gas &amp; Electric Comments</w:t>
      </w:r>
      <w:r>
        <w:rPr>
          <w:szCs w:val="26"/>
        </w:rPr>
        <w:t xml:space="preserve"> (RM16-23)</w:t>
      </w:r>
      <w:r w:rsidRPr="00716CDF">
        <w:rPr>
          <w:szCs w:val="26"/>
        </w:rPr>
        <w:t xml:space="preserve"> at 21.</w:t>
      </w:r>
    </w:p>
  </w:footnote>
  <w:footnote w:id="662">
    <w:p w:rsidR="00FB7F86" w:rsidP="002E614A" w:rsidRDefault="00FB7F86" w14:paraId="5FEE66C1" w14:textId="77777777">
      <w:pPr>
        <w:pStyle w:val="FootnoteText"/>
      </w:pPr>
      <w:r>
        <w:rPr>
          <w:rStyle w:val="FootnoteReference"/>
        </w:rPr>
        <w:footnoteRef/>
      </w:r>
      <w:r>
        <w:t xml:space="preserve"> Advanced Energy Economy Comments (RM16-23) at 13.</w:t>
      </w:r>
    </w:p>
  </w:footnote>
  <w:footnote w:id="663">
    <w:p w:rsidR="00FB7F86" w:rsidRDefault="00FB7F86" w14:paraId="2D5621CD" w14:textId="6981E1B7">
      <w:pPr>
        <w:pStyle w:val="FootnoteText"/>
      </w:pPr>
      <w:r>
        <w:rPr>
          <w:rStyle w:val="FootnoteReference"/>
        </w:rPr>
        <w:footnoteRef/>
      </w:r>
      <w:r>
        <w:t xml:space="preserve"> De Martini and Kristov define a distribution system operator as </w:t>
      </w:r>
      <w:r w:rsidRPr="001A4850">
        <w:t xml:space="preserve">“the entity responsible for planning and operational functions associated with a distribution system that is modernized for high levels of </w:t>
      </w:r>
      <w:r>
        <w:t>[distributed energy resource</w:t>
      </w:r>
      <w:r w:rsidRPr="001A4850">
        <w:t>s</w:t>
      </w:r>
      <w:r>
        <w:t>]</w:t>
      </w:r>
      <w:r w:rsidRPr="001A4850">
        <w:t xml:space="preserve">.” Paul De Martini and Lorenzo Kristov, </w:t>
      </w:r>
      <w:r>
        <w:t>“</w:t>
      </w:r>
      <w:r w:rsidRPr="001A4850">
        <w:t>Distribution Systems in a High DER Future: Planning, Market Design, Operation and Oversight,</w:t>
      </w:r>
      <w:r>
        <w:t>”</w:t>
      </w:r>
      <w:r w:rsidRPr="001A4850">
        <w:t xml:space="preserve"> Future Electric Utility Regulation Series, Lawrence Berkeley National Laboratory, October 2015, p. vi</w:t>
      </w:r>
      <w:r>
        <w:t xml:space="preserve">. </w:t>
      </w:r>
    </w:p>
  </w:footnote>
  <w:footnote w:id="664">
    <w:p w:rsidRPr="00716CDF" w:rsidR="00FB7F86" w:rsidP="009608A7" w:rsidRDefault="00FB7F86" w14:paraId="06A41A6D" w14:textId="77777777">
      <w:pPr>
        <w:pStyle w:val="FootnoteText"/>
        <w:rPr>
          <w:szCs w:val="26"/>
        </w:rPr>
      </w:pPr>
      <w:r w:rsidRPr="00716CDF">
        <w:rPr>
          <w:rStyle w:val="FootnoteReference"/>
          <w:szCs w:val="26"/>
        </w:rPr>
        <w:footnoteRef/>
      </w:r>
      <w:r w:rsidRPr="00716CDF">
        <w:rPr>
          <w:szCs w:val="26"/>
        </w:rPr>
        <w:t xml:space="preserve"> PJM Comments</w:t>
      </w:r>
      <w:r>
        <w:rPr>
          <w:szCs w:val="26"/>
        </w:rPr>
        <w:t xml:space="preserve"> (RM16-23)</w:t>
      </w:r>
      <w:r w:rsidRPr="00716CDF">
        <w:rPr>
          <w:szCs w:val="26"/>
        </w:rPr>
        <w:t xml:space="preserve"> at 28.</w:t>
      </w:r>
    </w:p>
  </w:footnote>
  <w:footnote w:id="665">
    <w:p w:rsidRPr="00716CDF" w:rsidR="00FB7F86" w:rsidP="009608A7" w:rsidRDefault="00FB7F86" w14:paraId="6096742E" w14:textId="77777777">
      <w:pPr>
        <w:pStyle w:val="FootnoteText"/>
        <w:rPr>
          <w:szCs w:val="26"/>
        </w:rPr>
      </w:pPr>
      <w:r w:rsidRPr="00716CDF">
        <w:rPr>
          <w:rStyle w:val="FootnoteReference"/>
          <w:szCs w:val="26"/>
        </w:rPr>
        <w:footnoteRef/>
      </w:r>
      <w:r w:rsidRPr="00716CDF">
        <w:rPr>
          <w:szCs w:val="26"/>
        </w:rPr>
        <w:t xml:space="preserve"> SoCal Edison Comments</w:t>
      </w:r>
      <w:r>
        <w:rPr>
          <w:szCs w:val="26"/>
        </w:rPr>
        <w:t xml:space="preserve"> (RM16-23)</w:t>
      </w:r>
      <w:r w:rsidRPr="00716CDF">
        <w:rPr>
          <w:szCs w:val="26"/>
        </w:rPr>
        <w:t xml:space="preserve"> at 8.</w:t>
      </w:r>
    </w:p>
  </w:footnote>
  <w:footnote w:id="666">
    <w:p w:rsidRPr="00716CDF" w:rsidR="00FB7F86" w:rsidP="002E614A" w:rsidRDefault="00FB7F86" w14:paraId="1B444EA5" w14:textId="77777777">
      <w:pPr>
        <w:pStyle w:val="FootnoteText"/>
        <w:rPr>
          <w:szCs w:val="26"/>
        </w:rPr>
      </w:pPr>
      <w:r w:rsidRPr="00716CDF">
        <w:rPr>
          <w:rStyle w:val="FootnoteReference"/>
          <w:szCs w:val="26"/>
        </w:rPr>
        <w:footnoteRef/>
      </w:r>
      <w:r w:rsidRPr="00716CDF">
        <w:rPr>
          <w:szCs w:val="26"/>
        </w:rPr>
        <w:t xml:space="preserve"> Mensah Comments</w:t>
      </w:r>
      <w:r>
        <w:rPr>
          <w:szCs w:val="26"/>
        </w:rPr>
        <w:t xml:space="preserve"> (RM16-23)</w:t>
      </w:r>
      <w:r w:rsidRPr="00716CDF">
        <w:rPr>
          <w:szCs w:val="26"/>
        </w:rPr>
        <w:t xml:space="preserve"> at 4.</w:t>
      </w:r>
    </w:p>
  </w:footnote>
  <w:footnote w:id="667">
    <w:p w:rsidRPr="00D92F27" w:rsidR="00FB7F86" w:rsidP="002E614A" w:rsidRDefault="00FB7F86" w14:paraId="7C502FEB" w14:textId="6A40FE02">
      <w:pPr>
        <w:pStyle w:val="FootnoteText"/>
      </w:pPr>
      <w:r w:rsidRPr="006A4190">
        <w:rPr>
          <w:rStyle w:val="FootnoteReference"/>
        </w:rPr>
        <w:footnoteRef/>
      </w:r>
      <w:r w:rsidRPr="006A4190">
        <w:t xml:space="preserve"> </w:t>
      </w:r>
      <w:r w:rsidRPr="006A4190">
        <w:rPr>
          <w:i/>
        </w:rPr>
        <w:t>See infra</w:t>
      </w:r>
      <w:r w:rsidRPr="006A4190">
        <w:t xml:space="preserve"> Section IV.H.4 (Role of Relevant Electric Retail Regulatory Authorities).</w:t>
      </w:r>
    </w:p>
  </w:footnote>
  <w:footnote w:id="668">
    <w:p w:rsidR="00FB7F86" w:rsidRDefault="00FB7F86" w14:paraId="123AC401" w14:textId="35E2A6CC">
      <w:pPr>
        <w:pStyle w:val="FootnoteText"/>
      </w:pPr>
      <w:r w:rsidRPr="005908BC">
        <w:rPr>
          <w:rStyle w:val="FootnoteReference"/>
        </w:rPr>
        <w:footnoteRef/>
      </w:r>
      <w:r w:rsidRPr="005908BC">
        <w:t xml:space="preserve"> </w:t>
      </w:r>
      <w:r w:rsidRPr="00716CDF">
        <w:rPr>
          <w:szCs w:val="26"/>
        </w:rPr>
        <w:t>NOPR</w:t>
      </w:r>
      <w:r>
        <w:rPr>
          <w:szCs w:val="26"/>
        </w:rPr>
        <w:t>, 157 FERC ¶ </w:t>
      </w:r>
      <w:r>
        <w:t>61,121</w:t>
      </w:r>
      <w:r w:rsidRPr="00716CDF">
        <w:rPr>
          <w:szCs w:val="26"/>
        </w:rPr>
        <w:t xml:space="preserve"> at P</w:t>
      </w:r>
      <w:r>
        <w:rPr>
          <w:szCs w:val="26"/>
        </w:rPr>
        <w:t>P 149, </w:t>
      </w:r>
      <w:r w:rsidRPr="00716CDF">
        <w:rPr>
          <w:szCs w:val="26"/>
        </w:rPr>
        <w:t>154.</w:t>
      </w:r>
    </w:p>
  </w:footnote>
  <w:footnote w:id="669">
    <w:p w:rsidRPr="000D2E1E" w:rsidR="00FB7F86" w:rsidRDefault="00FB7F86" w14:paraId="669570E4" w14:textId="3B6859B7">
      <w:pPr>
        <w:pStyle w:val="FootnoteText"/>
      </w:pPr>
      <w:r>
        <w:rPr>
          <w:rStyle w:val="FootnoteReference"/>
        </w:rPr>
        <w:footnoteRef/>
      </w:r>
      <w:r>
        <w:t xml:space="preserve"> </w:t>
      </w:r>
      <w:r>
        <w:rPr>
          <w:i/>
          <w:iCs/>
        </w:rPr>
        <w:t xml:space="preserve">Id. </w:t>
      </w:r>
      <w:r>
        <w:t>P 154.</w:t>
      </w:r>
    </w:p>
  </w:footnote>
  <w:footnote w:id="670">
    <w:p w:rsidRPr="00407052" w:rsidR="00FB7F86" w:rsidP="002E614A" w:rsidRDefault="00FB7F86" w14:paraId="2DD5E660" w14:textId="62F9C0A9">
      <w:pPr>
        <w:pStyle w:val="FootnoteText"/>
      </w:pPr>
      <w:r w:rsidRPr="00407052">
        <w:rPr>
          <w:rStyle w:val="FootnoteReference"/>
        </w:rPr>
        <w:footnoteRef/>
      </w:r>
      <w:r w:rsidRPr="00407052">
        <w:t xml:space="preserve"> </w:t>
      </w:r>
      <w:r>
        <w:rPr>
          <w:i/>
          <w:iCs/>
        </w:rPr>
        <w:t>See, e.g.</w:t>
      </w:r>
      <w:r>
        <w:t xml:space="preserve">, </w:t>
      </w:r>
      <w:r w:rsidRPr="00407052">
        <w:t xml:space="preserve">Avangrid </w:t>
      </w:r>
      <w:r>
        <w:t>Comments (RM16-23) at</w:t>
      </w:r>
      <w:r w:rsidRPr="00407052">
        <w:t xml:space="preserve"> 16; Pacific Gas &amp; Electric </w:t>
      </w:r>
      <w:r>
        <w:t>Comments (RM16-23) at</w:t>
      </w:r>
      <w:r w:rsidRPr="00407052">
        <w:t xml:space="preserve"> 21; </w:t>
      </w:r>
      <w:r>
        <w:t xml:space="preserve">PJM Comments (2018 RM18-9) at 19; </w:t>
      </w:r>
      <w:r w:rsidRPr="00407052">
        <w:t xml:space="preserve">Robert Borlick </w:t>
      </w:r>
      <w:r>
        <w:t>Comments (RM16-23) at</w:t>
      </w:r>
      <w:r w:rsidRPr="00407052">
        <w:t xml:space="preserve"> 5</w:t>
      </w:r>
      <w:r>
        <w:t>-7</w:t>
      </w:r>
      <w:r w:rsidRPr="00407052">
        <w:t xml:space="preserve">; SoCal Edison </w:t>
      </w:r>
      <w:r>
        <w:t>Comments (RM16-23) at</w:t>
      </w:r>
      <w:r w:rsidRPr="00407052">
        <w:t xml:space="preserve"> 6; </w:t>
      </w:r>
      <w:r>
        <w:t>TAPS Comments (2018 RM18-9) at 27</w:t>
      </w:r>
      <w:r w:rsidRPr="00407052">
        <w:t>.</w:t>
      </w:r>
      <w:r>
        <w:t xml:space="preserve"> </w:t>
      </w:r>
    </w:p>
  </w:footnote>
  <w:footnote w:id="671">
    <w:p w:rsidRPr="00407052" w:rsidR="00FB7F86" w:rsidP="00A2228F" w:rsidRDefault="00FB7F86" w14:paraId="01F3AB2C" w14:textId="1A7FAF95">
      <w:pPr>
        <w:pStyle w:val="FootnoteText"/>
        <w:widowControl/>
      </w:pPr>
      <w:r w:rsidRPr="00407052">
        <w:rPr>
          <w:rStyle w:val="FootnoteReference"/>
        </w:rPr>
        <w:footnoteRef/>
      </w:r>
      <w:r w:rsidRPr="00407052">
        <w:t xml:space="preserve"> </w:t>
      </w:r>
      <w:r>
        <w:rPr>
          <w:i/>
          <w:iCs/>
        </w:rPr>
        <w:t>See, e.g.</w:t>
      </w:r>
      <w:r>
        <w:t xml:space="preserve">, </w:t>
      </w:r>
      <w:r w:rsidRPr="00407052">
        <w:t xml:space="preserve">Dominion </w:t>
      </w:r>
      <w:r>
        <w:t>Comments (RM16-23) at</w:t>
      </w:r>
      <w:r w:rsidRPr="00407052">
        <w:t xml:space="preserve"> 10; EEI </w:t>
      </w:r>
      <w:r>
        <w:t>Comments (RM16-23) at</w:t>
      </w:r>
      <w:r w:rsidRPr="00407052">
        <w:t xml:space="preserve"> 35-36; MISO Transmission Owners </w:t>
      </w:r>
      <w:r>
        <w:t>Comments (RM16-23) at</w:t>
      </w:r>
      <w:r w:rsidRPr="00407052">
        <w:t xml:space="preserve"> 19; SoCal Edison </w:t>
      </w:r>
      <w:r>
        <w:t>Comments (RM16-23) at</w:t>
      </w:r>
      <w:r w:rsidRPr="00407052">
        <w:t xml:space="preserve"> 11-12; Xcel Energy Services </w:t>
      </w:r>
      <w:r>
        <w:t>Comments (RM16-23) at</w:t>
      </w:r>
      <w:r w:rsidRPr="00407052">
        <w:t xml:space="preserve"> 28.  </w:t>
      </w:r>
    </w:p>
  </w:footnote>
  <w:footnote w:id="672">
    <w:p w:rsidR="00FB7F86" w:rsidP="002E614A" w:rsidRDefault="00FB7F86" w14:paraId="7BFA7698" w14:textId="656FBB3D">
      <w:pPr>
        <w:pStyle w:val="FootnoteText"/>
      </w:pPr>
      <w:r>
        <w:rPr>
          <w:rStyle w:val="FootnoteReference"/>
        </w:rPr>
        <w:footnoteRef/>
      </w:r>
      <w:r>
        <w:t xml:space="preserve"> NRECA Comments (2018 RM18-9) at 29.</w:t>
      </w:r>
    </w:p>
  </w:footnote>
  <w:footnote w:id="673">
    <w:p w:rsidRPr="00716CDF" w:rsidR="00FB7F86" w:rsidP="002E614A" w:rsidRDefault="00FB7F86" w14:paraId="52A4AD97" w14:textId="57912A1B">
      <w:pPr>
        <w:pStyle w:val="FootnoteText"/>
      </w:pPr>
      <w:r w:rsidRPr="00716CDF">
        <w:rPr>
          <w:rStyle w:val="FootnoteReference"/>
          <w:szCs w:val="26"/>
        </w:rPr>
        <w:footnoteRef/>
      </w:r>
      <w:r w:rsidRPr="00716CDF">
        <w:t xml:space="preserve"> </w:t>
      </w:r>
      <w:r>
        <w:rPr>
          <w:i/>
          <w:iCs/>
        </w:rPr>
        <w:t>See, e.g.</w:t>
      </w:r>
      <w:r>
        <w:t xml:space="preserve">, </w:t>
      </w:r>
      <w:r w:rsidRPr="00716CDF">
        <w:t xml:space="preserve">Dominion </w:t>
      </w:r>
      <w:r>
        <w:t>Comments (RM16-23) at</w:t>
      </w:r>
      <w:r w:rsidRPr="00716CDF">
        <w:t xml:space="preserve"> 10</w:t>
      </w:r>
      <w:r>
        <w:t xml:space="preserve">; </w:t>
      </w:r>
      <w:r w:rsidRPr="00716CDF">
        <w:rPr>
          <w:szCs w:val="26"/>
        </w:rPr>
        <w:t xml:space="preserve">EEI </w:t>
      </w:r>
      <w:r>
        <w:rPr>
          <w:szCs w:val="26"/>
        </w:rPr>
        <w:t>Comments (RM16-23) at</w:t>
      </w:r>
      <w:r w:rsidRPr="00716CDF">
        <w:rPr>
          <w:szCs w:val="26"/>
        </w:rPr>
        <w:t xml:space="preserve"> 35-36</w:t>
      </w:r>
      <w:r>
        <w:rPr>
          <w:szCs w:val="26"/>
        </w:rPr>
        <w:t xml:space="preserve">; </w:t>
      </w:r>
      <w:r w:rsidRPr="004656B5">
        <w:rPr>
          <w:szCs w:val="26"/>
        </w:rPr>
        <w:t>PJM Utilities Coalition Comments (</w:t>
      </w:r>
      <w:r>
        <w:rPr>
          <w:szCs w:val="26"/>
        </w:rPr>
        <w:t xml:space="preserve">2018 </w:t>
      </w:r>
      <w:r w:rsidRPr="004656B5">
        <w:rPr>
          <w:szCs w:val="26"/>
        </w:rPr>
        <w:t xml:space="preserve">RM18-9) at </w:t>
      </w:r>
      <w:r>
        <w:rPr>
          <w:szCs w:val="26"/>
        </w:rPr>
        <w:t>14-15</w:t>
      </w:r>
      <w:r w:rsidRPr="00716CDF">
        <w:t>.</w:t>
      </w:r>
    </w:p>
  </w:footnote>
  <w:footnote w:id="674">
    <w:p w:rsidRPr="00716CDF" w:rsidR="00FB7F86" w:rsidP="00B23574" w:rsidRDefault="00FB7F86" w14:paraId="6B8BA978" w14:textId="0CFE1616">
      <w:pPr>
        <w:pStyle w:val="FootnoteText"/>
        <w:rPr>
          <w:szCs w:val="26"/>
        </w:rPr>
      </w:pPr>
      <w:r w:rsidRPr="00716CDF">
        <w:rPr>
          <w:rStyle w:val="FootnoteReference"/>
          <w:szCs w:val="26"/>
        </w:rPr>
        <w:footnoteRef/>
      </w:r>
      <w:r w:rsidRPr="00716CDF">
        <w:rPr>
          <w:szCs w:val="26"/>
        </w:rPr>
        <w:t xml:space="preserve"> </w:t>
      </w:r>
      <w:r>
        <w:rPr>
          <w:i/>
          <w:iCs/>
        </w:rPr>
        <w:t>See, e.g.</w:t>
      </w:r>
      <w:r>
        <w:t>,</w:t>
      </w:r>
      <w:r w:rsidRPr="00716CDF">
        <w:rPr>
          <w:szCs w:val="26"/>
        </w:rPr>
        <w:t xml:space="preserve"> Advanced Energy Economy </w:t>
      </w:r>
      <w:r>
        <w:rPr>
          <w:szCs w:val="26"/>
        </w:rPr>
        <w:t>Comments (RM16-23) at</w:t>
      </w:r>
      <w:r w:rsidRPr="00716CDF">
        <w:rPr>
          <w:szCs w:val="26"/>
        </w:rPr>
        <w:t xml:space="preserve"> 40</w:t>
      </w:r>
      <w:r>
        <w:rPr>
          <w:szCs w:val="26"/>
        </w:rPr>
        <w:t xml:space="preserve">; </w:t>
      </w:r>
      <w:r w:rsidRPr="00716CDF">
        <w:rPr>
          <w:szCs w:val="26"/>
        </w:rPr>
        <w:t xml:space="preserve">Advanced Energy Management </w:t>
      </w:r>
      <w:r>
        <w:rPr>
          <w:szCs w:val="26"/>
        </w:rPr>
        <w:t>Comments (RM16-23) at</w:t>
      </w:r>
      <w:r w:rsidRPr="00716CDF">
        <w:rPr>
          <w:szCs w:val="26"/>
        </w:rPr>
        <w:t xml:space="preserve"> 21; NextEra </w:t>
      </w:r>
      <w:r>
        <w:rPr>
          <w:szCs w:val="26"/>
        </w:rPr>
        <w:t>Comments (RM16-23) at</w:t>
      </w:r>
      <w:r w:rsidRPr="00716CDF">
        <w:rPr>
          <w:szCs w:val="26"/>
        </w:rPr>
        <w:t xml:space="preserve"> 17.</w:t>
      </w:r>
    </w:p>
  </w:footnote>
  <w:footnote w:id="675">
    <w:p w:rsidRPr="00716CDF" w:rsidR="00FB7F86" w:rsidP="002E614A" w:rsidRDefault="00FB7F86" w14:paraId="12A45AE4" w14:textId="77777777">
      <w:pPr>
        <w:pStyle w:val="FootnoteText"/>
        <w:rPr>
          <w:szCs w:val="26"/>
        </w:rPr>
      </w:pPr>
      <w:r w:rsidRPr="00716CDF">
        <w:rPr>
          <w:rStyle w:val="FootnoteReference"/>
          <w:szCs w:val="26"/>
        </w:rPr>
        <w:footnoteRef/>
      </w:r>
      <w:r w:rsidRPr="00716CDF">
        <w:rPr>
          <w:szCs w:val="26"/>
        </w:rPr>
        <w:t xml:space="preserve"> MISO Transmission Owners </w:t>
      </w:r>
      <w:r>
        <w:rPr>
          <w:szCs w:val="26"/>
        </w:rPr>
        <w:t>Comments (RM16-23) at</w:t>
      </w:r>
      <w:r w:rsidRPr="00716CDF">
        <w:rPr>
          <w:szCs w:val="26"/>
        </w:rPr>
        <w:t xml:space="preserve"> 19.  </w:t>
      </w:r>
    </w:p>
  </w:footnote>
  <w:footnote w:id="676">
    <w:p w:rsidR="00FB7F86" w:rsidP="002E614A" w:rsidRDefault="00FB7F86" w14:paraId="463F98EC" w14:textId="77777777">
      <w:pPr>
        <w:pStyle w:val="FootnoteText"/>
      </w:pPr>
      <w:r>
        <w:rPr>
          <w:rStyle w:val="FootnoteReference"/>
        </w:rPr>
        <w:footnoteRef/>
      </w:r>
      <w:r>
        <w:t xml:space="preserve"> NRECA Comments (2018 RM18-9) at 29.</w:t>
      </w:r>
    </w:p>
  </w:footnote>
  <w:footnote w:id="677">
    <w:p w:rsidR="00FB7F86" w:rsidP="002E614A" w:rsidRDefault="00FB7F86" w14:paraId="10DA6323" w14:textId="46AC3DB7">
      <w:pPr>
        <w:pStyle w:val="FootnoteText"/>
      </w:pPr>
      <w:r>
        <w:rPr>
          <w:rStyle w:val="FootnoteReference"/>
        </w:rPr>
        <w:footnoteRef/>
      </w:r>
      <w:r>
        <w:t xml:space="preserve"> </w:t>
      </w:r>
      <w:r>
        <w:rPr>
          <w:i/>
          <w:iCs/>
        </w:rPr>
        <w:t>See, e.g.</w:t>
      </w:r>
      <w:r>
        <w:t xml:space="preserve">, EEI Comments (2018 RM18-9) at 10, 13; NRECA Comments (2018 RM18-9) at 29; PJM Utilities Coalition Comments (2018 RM18-9) at 14; </w:t>
      </w:r>
      <w:r w:rsidRPr="00407052">
        <w:t xml:space="preserve">TAPS </w:t>
      </w:r>
      <w:r>
        <w:t>Comments (RM16-23) at</w:t>
      </w:r>
      <w:r w:rsidRPr="00407052">
        <w:t xml:space="preserve"> 25</w:t>
      </w:r>
      <w:r>
        <w:t>; TAPS Comments (2018 RM18-9) at 28.</w:t>
      </w:r>
    </w:p>
  </w:footnote>
  <w:footnote w:id="678">
    <w:p w:rsidR="00FB7F86" w:rsidP="002E614A" w:rsidRDefault="00FB7F86" w14:paraId="251A018B" w14:textId="5D28B180">
      <w:pPr>
        <w:pStyle w:val="FootnoteText"/>
      </w:pPr>
      <w:r>
        <w:rPr>
          <w:rStyle w:val="FootnoteReference"/>
        </w:rPr>
        <w:footnoteRef/>
      </w:r>
      <w:r>
        <w:t xml:space="preserve"> </w:t>
      </w:r>
      <w:r>
        <w:rPr>
          <w:i/>
          <w:iCs/>
        </w:rPr>
        <w:t>See, e.g.</w:t>
      </w:r>
      <w:r>
        <w:t>, EEI Comments (2018 RM18-9) at 13; TAPS Comments (2018 RM18-9) at 28.</w:t>
      </w:r>
    </w:p>
  </w:footnote>
  <w:footnote w:id="679">
    <w:p w:rsidR="00FB7F86" w:rsidP="002E614A" w:rsidRDefault="00FB7F86" w14:paraId="71BA0470" w14:textId="77777777">
      <w:pPr>
        <w:pStyle w:val="FootnoteText"/>
      </w:pPr>
      <w:r>
        <w:rPr>
          <w:rStyle w:val="FootnoteReference"/>
        </w:rPr>
        <w:footnoteRef/>
      </w:r>
      <w:r>
        <w:t xml:space="preserve"> EEI Comments (2018 RM18-9) at 13.</w:t>
      </w:r>
    </w:p>
  </w:footnote>
  <w:footnote w:id="680">
    <w:p w:rsidRPr="00407052" w:rsidR="00FB7F86" w:rsidP="00A2228F" w:rsidRDefault="00FB7F86" w14:paraId="7D21E39A" w14:textId="76193C75">
      <w:pPr>
        <w:pStyle w:val="FootnoteText"/>
        <w:widowControl/>
      </w:pPr>
      <w:r w:rsidRPr="00407052">
        <w:rPr>
          <w:rStyle w:val="FootnoteReference"/>
        </w:rPr>
        <w:footnoteRef/>
      </w:r>
      <w:r w:rsidRPr="00407052">
        <w:t xml:space="preserve"> </w:t>
      </w:r>
      <w:r>
        <w:rPr>
          <w:i/>
          <w:iCs/>
        </w:rPr>
        <w:t>See, e.g.</w:t>
      </w:r>
      <w:r>
        <w:t xml:space="preserve">, </w:t>
      </w:r>
      <w:r w:rsidRPr="00407052">
        <w:t xml:space="preserve">Advanced Energy Economy </w:t>
      </w:r>
      <w:r>
        <w:t>Comments (RM16-23) at</w:t>
      </w:r>
      <w:r w:rsidRPr="00407052">
        <w:t xml:space="preserve"> 39, 40; Advanced Energy Management </w:t>
      </w:r>
      <w:r>
        <w:t>Comments (RM16-23) at</w:t>
      </w:r>
      <w:r w:rsidRPr="00407052">
        <w:t xml:space="preserve"> 21, 22; Center for Biological Diversity </w:t>
      </w:r>
      <w:r>
        <w:t>Comments (RM16-23) at</w:t>
      </w:r>
      <w:r w:rsidRPr="00407052">
        <w:t xml:space="preserve"> 3; Stem </w:t>
      </w:r>
      <w:r>
        <w:t>Comments (RM16-23) at</w:t>
      </w:r>
      <w:r w:rsidRPr="00407052">
        <w:t xml:space="preserve"> 15. </w:t>
      </w:r>
    </w:p>
  </w:footnote>
  <w:footnote w:id="681">
    <w:p w:rsidRPr="00407052" w:rsidR="00FB7F86" w:rsidP="002E614A" w:rsidRDefault="00FB7F86" w14:paraId="1825915F" w14:textId="353F948B">
      <w:pPr>
        <w:pStyle w:val="FootnoteText"/>
      </w:pPr>
      <w:r w:rsidRPr="00407052">
        <w:rPr>
          <w:rStyle w:val="FootnoteReference"/>
        </w:rPr>
        <w:footnoteRef/>
      </w:r>
      <w:r w:rsidRPr="00407052">
        <w:t xml:space="preserve"> </w:t>
      </w:r>
      <w:r>
        <w:rPr>
          <w:i/>
          <w:iCs/>
        </w:rPr>
        <w:t>See, e.g.</w:t>
      </w:r>
      <w:r>
        <w:t xml:space="preserve">, </w:t>
      </w:r>
      <w:r w:rsidRPr="00407052">
        <w:t xml:space="preserve">Advanced Energy Economy </w:t>
      </w:r>
      <w:r>
        <w:t>Comments (RM16-23) at</w:t>
      </w:r>
      <w:r w:rsidRPr="00407052">
        <w:t xml:space="preserve"> 39, 40; Advanced Energy Management </w:t>
      </w:r>
      <w:r>
        <w:t>Comments (RM16-23) at</w:t>
      </w:r>
      <w:r w:rsidRPr="00407052">
        <w:t xml:space="preserve"> 21, 22; Stem </w:t>
      </w:r>
      <w:r>
        <w:t>Comments (RM16-23) at</w:t>
      </w:r>
      <w:r w:rsidRPr="00407052">
        <w:t xml:space="preserve"> 14-15.</w:t>
      </w:r>
    </w:p>
  </w:footnote>
  <w:footnote w:id="682">
    <w:p w:rsidR="00FB7F86" w:rsidP="002E614A" w:rsidRDefault="00FB7F86" w14:paraId="744697E4" w14:textId="0AA20CAF">
      <w:pPr>
        <w:pStyle w:val="FootnoteText"/>
      </w:pPr>
      <w:r>
        <w:rPr>
          <w:rStyle w:val="FootnoteReference"/>
        </w:rPr>
        <w:footnoteRef/>
      </w:r>
      <w:r>
        <w:t xml:space="preserve"> </w:t>
      </w:r>
      <w:r>
        <w:rPr>
          <w:i/>
          <w:iCs/>
        </w:rPr>
        <w:t>See, e.g.</w:t>
      </w:r>
      <w:r>
        <w:t>, Advanced Energy Economy Comments (2018 RM18-9) at 11; Advanced Energy Management Comments (2018 RM18-9) at 18; SEIA Comments (2018 RM18-9) at 16; Stem Comments (2018 RM18-9) at 15; Sunrun Comments (2018 RM18-9) at 6.</w:t>
      </w:r>
    </w:p>
  </w:footnote>
  <w:footnote w:id="683">
    <w:p w:rsidR="00FB7F86" w:rsidP="002E614A" w:rsidRDefault="00FB7F86" w14:paraId="533DF060" w14:textId="77777777">
      <w:pPr>
        <w:pStyle w:val="FootnoteText"/>
      </w:pPr>
      <w:r>
        <w:rPr>
          <w:rStyle w:val="FootnoteReference"/>
        </w:rPr>
        <w:footnoteRef/>
      </w:r>
      <w:r>
        <w:t xml:space="preserve"> Advanced Energy Management Comments (2018 RM18-9) at 18.</w:t>
      </w:r>
    </w:p>
  </w:footnote>
  <w:footnote w:id="684">
    <w:p w:rsidR="00FB7F86" w:rsidP="002E614A" w:rsidRDefault="00FB7F86" w14:paraId="0A3B781B" w14:textId="240F7C0C">
      <w:pPr>
        <w:pStyle w:val="FootnoteText"/>
      </w:pPr>
      <w:r>
        <w:rPr>
          <w:rStyle w:val="FootnoteReference"/>
        </w:rPr>
        <w:footnoteRef/>
      </w:r>
      <w:r>
        <w:t xml:space="preserve"> SEIA Comments (2018 RM18-9) at 16.</w:t>
      </w:r>
    </w:p>
  </w:footnote>
  <w:footnote w:id="685">
    <w:p w:rsidR="00FB7F86" w:rsidP="002E614A" w:rsidRDefault="00FB7F86" w14:paraId="1A69F1FF" w14:textId="16748DE8">
      <w:pPr>
        <w:pStyle w:val="FootnoteText"/>
      </w:pPr>
      <w:r>
        <w:rPr>
          <w:rStyle w:val="FootnoteReference"/>
        </w:rPr>
        <w:footnoteRef/>
      </w:r>
      <w:r>
        <w:t xml:space="preserve"> Global Cold Chain Alliance Comments (2018 RM18-9) at 2-3; Viking Cold Solutions Comments (2018 RM18-9) at 3.</w:t>
      </w:r>
    </w:p>
  </w:footnote>
  <w:footnote w:id="686">
    <w:p w:rsidRPr="00716CDF" w:rsidR="00FB7F86" w:rsidP="002E614A" w:rsidRDefault="00FB7F86" w14:paraId="6D75912F" w14:textId="40C8881B">
      <w:pPr>
        <w:pStyle w:val="FootnoteText"/>
        <w:rPr>
          <w:szCs w:val="26"/>
        </w:rPr>
      </w:pPr>
      <w:r w:rsidRPr="00716CDF">
        <w:rPr>
          <w:rStyle w:val="FootnoteReference"/>
          <w:szCs w:val="26"/>
        </w:rPr>
        <w:footnoteRef/>
      </w:r>
      <w:r w:rsidRPr="00716CDF">
        <w:rPr>
          <w:szCs w:val="26"/>
        </w:rPr>
        <w:t xml:space="preserve"> Advanced Energy Economy </w:t>
      </w:r>
      <w:r>
        <w:rPr>
          <w:szCs w:val="26"/>
        </w:rPr>
        <w:t>Comments (RM16-23) at</w:t>
      </w:r>
      <w:r w:rsidRPr="00716CDF">
        <w:rPr>
          <w:szCs w:val="26"/>
        </w:rPr>
        <w:t xml:space="preserve"> 39, 40</w:t>
      </w:r>
      <w:r>
        <w:rPr>
          <w:szCs w:val="26"/>
        </w:rPr>
        <w:t xml:space="preserve">; </w:t>
      </w:r>
      <w:r w:rsidRPr="00716CDF">
        <w:rPr>
          <w:szCs w:val="26"/>
        </w:rPr>
        <w:t xml:space="preserve">Advanced Energy Management </w:t>
      </w:r>
      <w:r>
        <w:rPr>
          <w:szCs w:val="26"/>
        </w:rPr>
        <w:t>Comments (RM16-23) at</w:t>
      </w:r>
      <w:r w:rsidRPr="00716CDF">
        <w:rPr>
          <w:szCs w:val="26"/>
        </w:rPr>
        <w:t xml:space="preserve"> 21, 22.</w:t>
      </w:r>
    </w:p>
  </w:footnote>
  <w:footnote w:id="687">
    <w:p w:rsidRPr="00716CDF" w:rsidR="00FB7F86" w:rsidP="002E614A" w:rsidRDefault="00FB7F86" w14:paraId="524FB833" w14:textId="77777777">
      <w:pPr>
        <w:pStyle w:val="FootnoteText"/>
        <w:rPr>
          <w:szCs w:val="26"/>
        </w:rPr>
      </w:pPr>
      <w:r w:rsidRPr="00716CDF">
        <w:rPr>
          <w:rStyle w:val="FootnoteReference"/>
          <w:szCs w:val="26"/>
        </w:rPr>
        <w:footnoteRef/>
      </w:r>
      <w:r w:rsidRPr="00716CDF">
        <w:rPr>
          <w:szCs w:val="26"/>
        </w:rPr>
        <w:t xml:space="preserve"> Advanced Energy Management </w:t>
      </w:r>
      <w:r>
        <w:rPr>
          <w:szCs w:val="26"/>
        </w:rPr>
        <w:t>Comments (RM16-23) at</w:t>
      </w:r>
      <w:r w:rsidRPr="00716CDF">
        <w:rPr>
          <w:szCs w:val="26"/>
        </w:rPr>
        <w:t xml:space="preserve"> 21.</w:t>
      </w:r>
    </w:p>
  </w:footnote>
  <w:footnote w:id="688">
    <w:p w:rsidR="00FB7F86" w:rsidP="002E614A" w:rsidRDefault="00FB7F86" w14:paraId="575A6DBE" w14:textId="0FFB0EA2">
      <w:pPr>
        <w:pStyle w:val="FootnoteText"/>
      </w:pPr>
      <w:r>
        <w:rPr>
          <w:rStyle w:val="FootnoteReference"/>
        </w:rPr>
        <w:footnoteRef/>
      </w:r>
      <w:r>
        <w:t xml:space="preserve"> Advanced Energy Management Comments (2018 RM18-9) at 19; Tesla Comments (2018 RM18-9) at 10.</w:t>
      </w:r>
    </w:p>
  </w:footnote>
  <w:footnote w:id="689">
    <w:p w:rsidR="00FB7F86" w:rsidP="002E614A" w:rsidRDefault="00FB7F86" w14:paraId="4330FD79" w14:textId="7B65E00F">
      <w:pPr>
        <w:pStyle w:val="FootnoteText"/>
      </w:pPr>
      <w:r>
        <w:rPr>
          <w:rStyle w:val="FootnoteReference"/>
        </w:rPr>
        <w:footnoteRef/>
      </w:r>
      <w:r>
        <w:t xml:space="preserve"> </w:t>
      </w:r>
      <w:r>
        <w:rPr>
          <w:i/>
          <w:iCs/>
        </w:rPr>
        <w:t>See, e.g.</w:t>
      </w:r>
      <w:r w:rsidRPr="00C84049">
        <w:t>,</w:t>
      </w:r>
      <w:r>
        <w:rPr>
          <w:i/>
          <w:iCs/>
        </w:rPr>
        <w:t xml:space="preserve"> </w:t>
      </w:r>
      <w:r>
        <w:t>Advanced Energy Management Comments (2018 RM18-9) at 17; Icetec Comments (2018 RM18-9) at 17-18; Sunrun Comments (2018 RM18-9) at 7; Tesla Comments (2018 RM18-9) at 9-10.</w:t>
      </w:r>
    </w:p>
  </w:footnote>
  <w:footnote w:id="690">
    <w:p w:rsidR="00FB7F86" w:rsidP="00A2228F" w:rsidRDefault="00FB7F86" w14:paraId="4978D091" w14:textId="7744026D">
      <w:pPr>
        <w:pStyle w:val="FootnoteText"/>
        <w:widowControl/>
      </w:pPr>
      <w:r>
        <w:rPr>
          <w:rStyle w:val="FootnoteReference"/>
        </w:rPr>
        <w:footnoteRef/>
      </w:r>
      <w:r>
        <w:t xml:space="preserve"> Advanced Energy Management Comments (2018 RM18-9) at 18; Stem Comments (2018 RM18-9) at 15.</w:t>
      </w:r>
    </w:p>
  </w:footnote>
  <w:footnote w:id="691">
    <w:p w:rsidR="00FB7F86" w:rsidP="002E614A" w:rsidRDefault="00FB7F86" w14:paraId="30A07677" w14:textId="681A4D92">
      <w:pPr>
        <w:pStyle w:val="FootnoteText"/>
      </w:pPr>
      <w:r>
        <w:rPr>
          <w:rStyle w:val="FootnoteReference"/>
        </w:rPr>
        <w:footnoteRef/>
      </w:r>
      <w:r>
        <w:t xml:space="preserve"> </w:t>
      </w:r>
      <w:r>
        <w:rPr>
          <w:i/>
          <w:iCs/>
        </w:rPr>
        <w:t>See, e.g.</w:t>
      </w:r>
      <w:r w:rsidRPr="00C84049">
        <w:t>,</w:t>
      </w:r>
      <w:r>
        <w:rPr>
          <w:i/>
          <w:iCs/>
        </w:rPr>
        <w:t xml:space="preserve"> </w:t>
      </w:r>
      <w:r>
        <w:t>Advanced Energy Economy Comments (2018 RM18-9) at 11; Icetec Comments (2018 RM18-9) at 16; SEIA Comments (2018 RM18-9) at 16; Stem Comments (2018 RM18-9) at 14-15; Tesla Comments (2018 RM18-9) at 9.</w:t>
      </w:r>
    </w:p>
  </w:footnote>
  <w:footnote w:id="692">
    <w:p w:rsidR="00FB7F86" w:rsidP="002E614A" w:rsidRDefault="00FB7F86" w14:paraId="16ED84E8" w14:textId="77777777">
      <w:pPr>
        <w:pStyle w:val="FootnoteText"/>
      </w:pPr>
      <w:r>
        <w:rPr>
          <w:rStyle w:val="FootnoteReference"/>
        </w:rPr>
        <w:footnoteRef/>
      </w:r>
      <w:r>
        <w:t xml:space="preserve"> NRECA Comments (2018 RM18-9) at 30.</w:t>
      </w:r>
    </w:p>
  </w:footnote>
  <w:footnote w:id="693">
    <w:p w:rsidR="00FB7F86" w:rsidP="002E614A" w:rsidRDefault="00FB7F86" w14:paraId="31106B4F" w14:textId="77777777">
      <w:pPr>
        <w:pStyle w:val="FootnoteText"/>
      </w:pPr>
      <w:r>
        <w:rPr>
          <w:rStyle w:val="FootnoteReference"/>
        </w:rPr>
        <w:footnoteRef/>
      </w:r>
      <w:r>
        <w:t xml:space="preserve"> </w:t>
      </w:r>
      <w:r w:rsidRPr="002C78F2">
        <w:t>NYISO Indicated Transmission Owners</w:t>
      </w:r>
      <w:r>
        <w:t xml:space="preserve"> Comments (2018 RM18-9) at 15, 17.</w:t>
      </w:r>
    </w:p>
  </w:footnote>
  <w:footnote w:id="694">
    <w:p w:rsidR="00FB7F86" w:rsidP="002E614A" w:rsidRDefault="00FB7F86" w14:paraId="5DF183EC" w14:textId="6C428911">
      <w:pPr>
        <w:pStyle w:val="FootnoteText"/>
      </w:pPr>
      <w:r>
        <w:rPr>
          <w:rStyle w:val="FootnoteReference"/>
        </w:rPr>
        <w:footnoteRef/>
      </w:r>
      <w:r>
        <w:t xml:space="preserve"> </w:t>
      </w:r>
      <w:r w:rsidRPr="00BC5EAD">
        <w:t>Pacific Gas &amp; Electric</w:t>
      </w:r>
      <w:r>
        <w:t xml:space="preserve"> Comments (2018 RM18-9) at 17-18.</w:t>
      </w:r>
    </w:p>
  </w:footnote>
  <w:footnote w:id="695">
    <w:p w:rsidR="00FB7F86" w:rsidP="002E614A" w:rsidRDefault="00FB7F86" w14:paraId="155EE6DA" w14:textId="77777777">
      <w:pPr>
        <w:pStyle w:val="FootnoteText"/>
      </w:pPr>
      <w:r>
        <w:rPr>
          <w:rStyle w:val="FootnoteReference"/>
        </w:rPr>
        <w:footnoteRef/>
      </w:r>
      <w:r>
        <w:t xml:space="preserve"> EEI Comments (2018 RM18-9) at 14.</w:t>
      </w:r>
    </w:p>
  </w:footnote>
  <w:footnote w:id="696">
    <w:p w:rsidR="00FB7F86" w:rsidRDefault="00FB7F86" w14:paraId="05B54F16" w14:textId="335E601B">
      <w:pPr>
        <w:pStyle w:val="FootnoteText"/>
      </w:pPr>
      <w:r>
        <w:rPr>
          <w:rStyle w:val="FootnoteReference"/>
        </w:rPr>
        <w:footnoteRef/>
      </w:r>
      <w:r>
        <w:t xml:space="preserve"> </w:t>
      </w:r>
      <w:r>
        <w:rPr>
          <w:i/>
          <w:iCs/>
        </w:rPr>
        <w:t>See, e.g.</w:t>
      </w:r>
      <w:r w:rsidRPr="00C84049">
        <w:t>,</w:t>
      </w:r>
      <w:r>
        <w:rPr>
          <w:i/>
          <w:iCs/>
        </w:rPr>
        <w:t xml:space="preserve"> </w:t>
      </w:r>
      <w:r w:rsidRPr="00716CDF">
        <w:rPr>
          <w:szCs w:val="26"/>
        </w:rPr>
        <w:t xml:space="preserve">Advanced Energy Economy </w:t>
      </w:r>
      <w:r>
        <w:rPr>
          <w:szCs w:val="26"/>
        </w:rPr>
        <w:t>Comments (RM16-23) at</w:t>
      </w:r>
      <w:r w:rsidRPr="00716CDF">
        <w:rPr>
          <w:szCs w:val="26"/>
        </w:rPr>
        <w:t xml:space="preserve"> 39</w:t>
      </w:r>
      <w:r>
        <w:rPr>
          <w:szCs w:val="26"/>
        </w:rPr>
        <w:t xml:space="preserve">; </w:t>
      </w:r>
      <w:r>
        <w:t xml:space="preserve">APPA Comments (2018 RM18-9) at 27; </w:t>
      </w:r>
      <w:r w:rsidRPr="00716CDF">
        <w:rPr>
          <w:szCs w:val="26"/>
        </w:rPr>
        <w:t xml:space="preserve">Center for Biological Diversity </w:t>
      </w:r>
      <w:r>
        <w:rPr>
          <w:szCs w:val="26"/>
        </w:rPr>
        <w:t>Comments (RM16-23) at</w:t>
      </w:r>
      <w:r w:rsidRPr="00716CDF">
        <w:rPr>
          <w:szCs w:val="26"/>
        </w:rPr>
        <w:t xml:space="preserve"> 3</w:t>
      </w:r>
      <w:r>
        <w:rPr>
          <w:szCs w:val="26"/>
        </w:rPr>
        <w:t>.</w:t>
      </w:r>
    </w:p>
  </w:footnote>
  <w:footnote w:id="697">
    <w:p w:rsidRPr="00716CDF" w:rsidR="00FB7F86" w:rsidP="002E614A" w:rsidRDefault="00FB7F86" w14:paraId="74CB052B" w14:textId="77777777">
      <w:pPr>
        <w:pStyle w:val="FootnoteText"/>
        <w:rPr>
          <w:szCs w:val="26"/>
        </w:rPr>
      </w:pPr>
      <w:r w:rsidRPr="00716CDF">
        <w:rPr>
          <w:rStyle w:val="FootnoteReference"/>
          <w:szCs w:val="26"/>
        </w:rPr>
        <w:footnoteRef/>
      </w:r>
      <w:r w:rsidRPr="00716CDF">
        <w:rPr>
          <w:szCs w:val="26"/>
        </w:rPr>
        <w:t xml:space="preserve"> Stem </w:t>
      </w:r>
      <w:r>
        <w:rPr>
          <w:szCs w:val="26"/>
        </w:rPr>
        <w:t>Comments (RM16-23) at</w:t>
      </w:r>
      <w:r w:rsidRPr="00716CDF">
        <w:rPr>
          <w:szCs w:val="26"/>
        </w:rPr>
        <w:t xml:space="preserve"> 4, 15.</w:t>
      </w:r>
    </w:p>
  </w:footnote>
  <w:footnote w:id="698">
    <w:p w:rsidRPr="00716CDF" w:rsidR="00FB7F86" w:rsidP="002E614A" w:rsidRDefault="00FB7F86" w14:paraId="2B9249DE" w14:textId="2FE01FA4">
      <w:pPr>
        <w:pStyle w:val="FootnoteText"/>
        <w:rPr>
          <w:szCs w:val="26"/>
        </w:rPr>
      </w:pPr>
      <w:r w:rsidRPr="00716CDF">
        <w:rPr>
          <w:rStyle w:val="FootnoteReference"/>
          <w:szCs w:val="26"/>
        </w:rPr>
        <w:footnoteRef/>
      </w:r>
      <w:r w:rsidRPr="00716CDF">
        <w:rPr>
          <w:szCs w:val="26"/>
        </w:rPr>
        <w:t xml:space="preserve"> </w:t>
      </w:r>
      <w:r>
        <w:rPr>
          <w:i/>
          <w:iCs/>
          <w:szCs w:val="26"/>
        </w:rPr>
        <w:t>Id.</w:t>
      </w:r>
      <w:r>
        <w:rPr>
          <w:szCs w:val="26"/>
        </w:rPr>
        <w:t xml:space="preserve"> at</w:t>
      </w:r>
      <w:r w:rsidRPr="00716CDF">
        <w:rPr>
          <w:szCs w:val="26"/>
        </w:rPr>
        <w:t xml:space="preserve"> 4.</w:t>
      </w:r>
    </w:p>
  </w:footnote>
  <w:footnote w:id="699">
    <w:p w:rsidRPr="00716CDF" w:rsidR="00FB7F86" w:rsidP="002E614A" w:rsidRDefault="00FB7F86" w14:paraId="26289E3F" w14:textId="77777777">
      <w:pPr>
        <w:pStyle w:val="FootnoteText"/>
        <w:rPr>
          <w:szCs w:val="26"/>
        </w:rPr>
      </w:pPr>
      <w:r w:rsidRPr="00716CDF">
        <w:rPr>
          <w:rStyle w:val="FootnoteReference"/>
          <w:szCs w:val="26"/>
        </w:rPr>
        <w:footnoteRef/>
      </w:r>
      <w:r w:rsidRPr="00716CDF">
        <w:rPr>
          <w:szCs w:val="26"/>
        </w:rPr>
        <w:t xml:space="preserve"> Tesla/SolarCity </w:t>
      </w:r>
      <w:r>
        <w:rPr>
          <w:szCs w:val="26"/>
        </w:rPr>
        <w:t>Comments (RM16-23) at</w:t>
      </w:r>
      <w:r w:rsidRPr="00716CDF">
        <w:rPr>
          <w:szCs w:val="26"/>
        </w:rPr>
        <w:t xml:space="preserve"> 30.</w:t>
      </w:r>
    </w:p>
  </w:footnote>
  <w:footnote w:id="700">
    <w:p w:rsidR="00FB7F86" w:rsidP="002E614A" w:rsidRDefault="00FB7F86" w14:paraId="7F4B8D22" w14:textId="4699B8D6">
      <w:pPr>
        <w:pStyle w:val="FootnoteText"/>
      </w:pPr>
      <w:r>
        <w:rPr>
          <w:rStyle w:val="FootnoteReference"/>
        </w:rPr>
        <w:footnoteRef/>
      </w:r>
      <w:r>
        <w:t xml:space="preserve"> </w:t>
      </w:r>
      <w:r>
        <w:rPr>
          <w:i/>
          <w:iCs/>
        </w:rPr>
        <w:t>See, e.g.</w:t>
      </w:r>
      <w:r w:rsidRPr="00C84049">
        <w:t>,</w:t>
      </w:r>
      <w:r>
        <w:rPr>
          <w:i/>
          <w:iCs/>
        </w:rPr>
        <w:t xml:space="preserve"> </w:t>
      </w:r>
      <w:r>
        <w:t xml:space="preserve">NRECA Comments (2018 RM18-9) at 29; </w:t>
      </w:r>
      <w:r w:rsidRPr="00BC5EAD">
        <w:t>Pacific Gas &amp; Electric</w:t>
      </w:r>
      <w:r>
        <w:t xml:space="preserve"> Comments (2018 RM18-9) at 13.</w:t>
      </w:r>
    </w:p>
  </w:footnote>
  <w:footnote w:id="701">
    <w:p w:rsidR="00FB7F86" w:rsidP="002E614A" w:rsidRDefault="00FB7F86" w14:paraId="10723EAD" w14:textId="10375E1A">
      <w:pPr>
        <w:pStyle w:val="FootnoteText"/>
      </w:pPr>
      <w:r>
        <w:rPr>
          <w:rStyle w:val="FootnoteReference"/>
        </w:rPr>
        <w:footnoteRef/>
      </w:r>
      <w:r>
        <w:t xml:space="preserve"> Stem Comments (2018 RM18-9) at 15.</w:t>
      </w:r>
    </w:p>
  </w:footnote>
  <w:footnote w:id="702">
    <w:p w:rsidR="00FB7F86" w:rsidP="002E614A" w:rsidRDefault="00FB7F86" w14:paraId="09DB26ED" w14:textId="7FEB47D8">
      <w:pPr>
        <w:pStyle w:val="FootnoteText"/>
      </w:pPr>
      <w:r>
        <w:rPr>
          <w:rStyle w:val="FootnoteReference"/>
        </w:rPr>
        <w:footnoteRef/>
      </w:r>
      <w:r>
        <w:t xml:space="preserve"> </w:t>
      </w:r>
      <w:r>
        <w:rPr>
          <w:i/>
          <w:iCs/>
        </w:rPr>
        <w:t>See, e.g.</w:t>
      </w:r>
      <w:r w:rsidRPr="00C84049">
        <w:t>,</w:t>
      </w:r>
      <w:r>
        <w:rPr>
          <w:i/>
          <w:iCs/>
        </w:rPr>
        <w:t xml:space="preserve"> </w:t>
      </w:r>
      <w:r>
        <w:t xml:space="preserve">Icetec Comments (2018 RM18-9) at 17-18; Stem Comments (2018 RM18-9) at 15; Sunrun Comments (2018 RM18-9) at 7. </w:t>
      </w:r>
    </w:p>
  </w:footnote>
  <w:footnote w:id="703">
    <w:p w:rsidR="00FB7F86" w:rsidP="002E614A" w:rsidRDefault="00FB7F86" w14:paraId="37710ECA" w14:textId="77777777">
      <w:pPr>
        <w:pStyle w:val="FootnoteText"/>
      </w:pPr>
      <w:r>
        <w:rPr>
          <w:rStyle w:val="FootnoteReference"/>
        </w:rPr>
        <w:footnoteRef/>
      </w:r>
      <w:r>
        <w:t xml:space="preserve"> Icetec Comments (2018 RM18-9) at 9.</w:t>
      </w:r>
    </w:p>
  </w:footnote>
  <w:footnote w:id="704">
    <w:p w:rsidRPr="00407052" w:rsidR="00FB7F86" w:rsidP="002E614A" w:rsidRDefault="00FB7F86" w14:paraId="07513A2C" w14:textId="408FFDD8">
      <w:pPr>
        <w:pStyle w:val="FootnoteText"/>
      </w:pPr>
      <w:r w:rsidRPr="00407052">
        <w:rPr>
          <w:rStyle w:val="FootnoteReference"/>
        </w:rPr>
        <w:footnoteRef/>
      </w:r>
      <w:r w:rsidRPr="00407052">
        <w:t xml:space="preserve"> CAISO </w:t>
      </w:r>
      <w:r>
        <w:t>Comments (RM16-23) at</w:t>
      </w:r>
      <w:r w:rsidRPr="00407052">
        <w:t xml:space="preserve"> 39, 41-43, 46; IRC </w:t>
      </w:r>
      <w:r>
        <w:t>Comments (RM16-23) at</w:t>
      </w:r>
      <w:r w:rsidRPr="00407052">
        <w:t xml:space="preserve"> 9; ISO-NE </w:t>
      </w:r>
      <w:r>
        <w:t>Comments (RM16-23) at</w:t>
      </w:r>
      <w:r w:rsidRPr="00407052">
        <w:t xml:space="preserve"> 54-55; PJM </w:t>
      </w:r>
      <w:r>
        <w:t>Comments (RM16-23) at</w:t>
      </w:r>
      <w:r w:rsidRPr="00407052">
        <w:t xml:space="preserve"> 8, 26; SPP </w:t>
      </w:r>
      <w:r>
        <w:t>Comments (RM16-23) at</w:t>
      </w:r>
      <w:r w:rsidRPr="00407052">
        <w:t xml:space="preserve"> 24.</w:t>
      </w:r>
    </w:p>
  </w:footnote>
  <w:footnote w:id="705">
    <w:p w:rsidR="00FB7F86" w:rsidP="002E614A" w:rsidRDefault="00FB7F86" w14:paraId="523154D8" w14:textId="703CE16F">
      <w:pPr>
        <w:pStyle w:val="FootnoteText"/>
      </w:pPr>
      <w:r>
        <w:rPr>
          <w:rStyle w:val="FootnoteReference"/>
        </w:rPr>
        <w:footnoteRef/>
      </w:r>
      <w:r>
        <w:t xml:space="preserve"> PJM Comments (2018 RM18-9) at 19.</w:t>
      </w:r>
      <w:r>
        <w:tab/>
      </w:r>
    </w:p>
  </w:footnote>
  <w:footnote w:id="706">
    <w:p w:rsidR="00FB7F86" w:rsidRDefault="00FB7F86" w14:paraId="47FD775B" w14:textId="60A1B1CA">
      <w:pPr>
        <w:pStyle w:val="FootnoteText"/>
      </w:pPr>
      <w:r>
        <w:rPr>
          <w:rStyle w:val="FootnoteReference"/>
        </w:rPr>
        <w:footnoteRef/>
      </w:r>
      <w:r>
        <w:t xml:space="preserve"> </w:t>
      </w:r>
      <w:r w:rsidRPr="005706FF">
        <w:rPr>
          <w:szCs w:val="26"/>
        </w:rPr>
        <w:t>CAISO Comments (RM16-23) at 41</w:t>
      </w:r>
      <w:r>
        <w:rPr>
          <w:szCs w:val="26"/>
        </w:rPr>
        <w:t>;</w:t>
      </w:r>
      <w:r w:rsidRPr="000A7394">
        <w:rPr>
          <w:szCs w:val="26"/>
        </w:rPr>
        <w:t xml:space="preserve"> </w:t>
      </w:r>
      <w:r w:rsidRPr="005706FF">
        <w:rPr>
          <w:szCs w:val="26"/>
        </w:rPr>
        <w:t>IRC Comments (RM16-23) at 9</w:t>
      </w:r>
      <w:r>
        <w:rPr>
          <w:szCs w:val="26"/>
        </w:rPr>
        <w:t xml:space="preserve">; </w:t>
      </w:r>
      <w:r w:rsidRPr="00407052">
        <w:t xml:space="preserve">PJM </w:t>
      </w:r>
      <w:r>
        <w:t>Comments (RM16-23) at</w:t>
      </w:r>
      <w:r w:rsidRPr="00407052">
        <w:t xml:space="preserve"> 8.</w:t>
      </w:r>
    </w:p>
  </w:footnote>
  <w:footnote w:id="707">
    <w:p w:rsidRPr="00716CDF" w:rsidR="00FB7F86" w:rsidP="002E614A" w:rsidRDefault="00FB7F86" w14:paraId="50AE1A60" w14:textId="77777777">
      <w:pPr>
        <w:pStyle w:val="FootnoteText"/>
        <w:rPr>
          <w:szCs w:val="26"/>
        </w:rPr>
      </w:pPr>
      <w:r w:rsidRPr="00716CDF">
        <w:rPr>
          <w:rStyle w:val="FootnoteReference"/>
          <w:szCs w:val="26"/>
        </w:rPr>
        <w:footnoteRef/>
      </w:r>
      <w:r w:rsidRPr="00716CDF">
        <w:rPr>
          <w:szCs w:val="26"/>
        </w:rPr>
        <w:t xml:space="preserve"> CAISO </w:t>
      </w:r>
      <w:r>
        <w:rPr>
          <w:szCs w:val="26"/>
        </w:rPr>
        <w:t>Comments (RM16-23) at</w:t>
      </w:r>
      <w:r w:rsidRPr="00716CDF">
        <w:rPr>
          <w:szCs w:val="26"/>
        </w:rPr>
        <w:t xml:space="preserve"> 41.</w:t>
      </w:r>
    </w:p>
  </w:footnote>
  <w:footnote w:id="708">
    <w:p w:rsidR="00FB7F86" w:rsidP="002E614A" w:rsidRDefault="00FB7F86" w14:paraId="17223797" w14:textId="77777777">
      <w:pPr>
        <w:pStyle w:val="FootnoteText"/>
      </w:pPr>
      <w:r>
        <w:rPr>
          <w:rStyle w:val="FootnoteReference"/>
        </w:rPr>
        <w:footnoteRef/>
      </w:r>
      <w:r>
        <w:t xml:space="preserve"> TAPS Comments (2018 RM18-9) at 28.</w:t>
      </w:r>
    </w:p>
  </w:footnote>
  <w:footnote w:id="709">
    <w:p w:rsidRPr="005B317B" w:rsidR="00FB7F86" w:rsidRDefault="00FB7F86" w14:paraId="15E3FF6F" w14:textId="1782D801">
      <w:pPr>
        <w:pStyle w:val="FootnoteText"/>
      </w:pPr>
      <w:r>
        <w:rPr>
          <w:rStyle w:val="FootnoteReference"/>
        </w:rPr>
        <w:footnoteRef/>
      </w:r>
      <w:r>
        <w:t xml:space="preserve"> </w:t>
      </w:r>
      <w:r w:rsidRPr="00A2228F">
        <w:rPr>
          <w:i/>
          <w:iCs/>
        </w:rPr>
        <w:t xml:space="preserve">See infra </w:t>
      </w:r>
      <w:r w:rsidRPr="00A2228F">
        <w:t>PP 295-297</w:t>
      </w:r>
      <w:r w:rsidRPr="00C84049">
        <w:rPr>
          <w:highlight w:val="yellow"/>
        </w:rPr>
        <w:t>.</w:t>
      </w:r>
    </w:p>
  </w:footnote>
  <w:footnote w:id="710">
    <w:p w:rsidR="00FB7F86" w:rsidRDefault="00FB7F86" w14:paraId="70115D25" w14:textId="442AA5DA">
      <w:pPr>
        <w:pStyle w:val="FootnoteText"/>
      </w:pPr>
      <w:r>
        <w:rPr>
          <w:rStyle w:val="FootnoteReference"/>
        </w:rPr>
        <w:footnoteRef/>
      </w:r>
      <w:r>
        <w:t xml:space="preserve"> For example, </w:t>
      </w:r>
      <w:r w:rsidRPr="00BC32A0">
        <w:t>the approach used in the CAISO Distributed Energy</w:t>
      </w:r>
      <w:r>
        <w:t xml:space="preserve"> </w:t>
      </w:r>
      <w:r w:rsidRPr="00BC32A0">
        <w:t>Resource Provider program.</w:t>
      </w:r>
    </w:p>
  </w:footnote>
  <w:footnote w:id="711">
    <w:p w:rsidRPr="005706FF" w:rsidR="00FB7F86" w:rsidP="002E614A" w:rsidRDefault="00FB7F86" w14:paraId="0DAD664D" w14:textId="11789CA8">
      <w:pPr>
        <w:pStyle w:val="FootnoteText"/>
        <w:rPr>
          <w:szCs w:val="26"/>
        </w:rPr>
      </w:pPr>
      <w:r w:rsidRPr="0069434D">
        <w:rPr>
          <w:rStyle w:val="FootnoteReference"/>
          <w:szCs w:val="26"/>
        </w:rPr>
        <w:footnoteRef/>
      </w:r>
      <w:r w:rsidRPr="005706FF">
        <w:rPr>
          <w:szCs w:val="26"/>
        </w:rPr>
        <w:t xml:space="preserve"> </w:t>
      </w:r>
      <w:r w:rsidRPr="005706FF">
        <w:rPr>
          <w:i/>
          <w:szCs w:val="26"/>
        </w:rPr>
        <w:t>See supra</w:t>
      </w:r>
      <w:r w:rsidRPr="00DE70CD">
        <w:rPr>
          <w:szCs w:val="26"/>
        </w:rPr>
        <w:t xml:space="preserve"> </w:t>
      </w:r>
      <w:r w:rsidRPr="0013564C">
        <w:rPr>
          <w:szCs w:val="26"/>
        </w:rPr>
        <w:t>Section IV.A.3 (Interconnection).</w:t>
      </w:r>
    </w:p>
  </w:footnote>
  <w:footnote w:id="712">
    <w:p w:rsidRPr="005706FF" w:rsidR="00FB7F86" w:rsidP="004D6A2F" w:rsidRDefault="00FB7F86" w14:paraId="3A72A0A1" w14:textId="59A4BD4D">
      <w:pPr>
        <w:pStyle w:val="FootnoteText"/>
        <w:rPr>
          <w:szCs w:val="26"/>
        </w:rPr>
      </w:pPr>
      <w:r w:rsidRPr="0069434D">
        <w:rPr>
          <w:rStyle w:val="FootnoteReference"/>
          <w:szCs w:val="26"/>
        </w:rPr>
        <w:footnoteRef/>
      </w:r>
      <w:r w:rsidRPr="005706FF">
        <w:rPr>
          <w:szCs w:val="26"/>
        </w:rPr>
        <w:t xml:space="preserve"> </w:t>
      </w:r>
      <w:r w:rsidRPr="005706FF">
        <w:rPr>
          <w:i/>
          <w:szCs w:val="26"/>
        </w:rPr>
        <w:t>See, e.g.</w:t>
      </w:r>
      <w:r w:rsidRPr="005706FF">
        <w:rPr>
          <w:szCs w:val="26"/>
        </w:rPr>
        <w:t>, Advanced Energy Management Comments (2018 RM18-9) at 19</w:t>
      </w:r>
      <w:r>
        <w:rPr>
          <w:szCs w:val="26"/>
        </w:rPr>
        <w:t>;</w:t>
      </w:r>
      <w:r w:rsidRPr="005706FF">
        <w:rPr>
          <w:szCs w:val="26"/>
        </w:rPr>
        <w:t xml:space="preserve"> Stem Comments (2018 RM18-9) at 15</w:t>
      </w:r>
      <w:r>
        <w:rPr>
          <w:szCs w:val="26"/>
        </w:rPr>
        <w:t>;</w:t>
      </w:r>
      <w:r w:rsidRPr="005706FF">
        <w:rPr>
          <w:szCs w:val="26"/>
        </w:rPr>
        <w:t xml:space="preserve"> Tesla Comments (2018 RM18-9) at 9</w:t>
      </w:r>
      <w:r w:rsidRPr="0069434D">
        <w:rPr>
          <w:szCs w:val="26"/>
        </w:rPr>
        <w:t>.</w:t>
      </w:r>
    </w:p>
  </w:footnote>
  <w:footnote w:id="713">
    <w:p w:rsidRPr="005706FF" w:rsidR="00FB7F86" w:rsidP="002E614A" w:rsidRDefault="00FB7F86" w14:paraId="33FE3DB9" w14:textId="43CEAC3B">
      <w:pPr>
        <w:pStyle w:val="FootnoteText"/>
        <w:rPr>
          <w:szCs w:val="26"/>
        </w:rPr>
      </w:pPr>
      <w:r w:rsidRPr="0069434D">
        <w:rPr>
          <w:rStyle w:val="FootnoteReference"/>
          <w:szCs w:val="26"/>
        </w:rPr>
        <w:footnoteRef/>
      </w:r>
      <w:r w:rsidRPr="005706FF">
        <w:rPr>
          <w:szCs w:val="26"/>
        </w:rPr>
        <w:t xml:space="preserve"> </w:t>
      </w:r>
      <w:r>
        <w:rPr>
          <w:szCs w:val="26"/>
        </w:rPr>
        <w:t xml:space="preserve">For instance, </w:t>
      </w:r>
      <w:r w:rsidRPr="005706FF">
        <w:rPr>
          <w:szCs w:val="26"/>
        </w:rPr>
        <w:t xml:space="preserve">CAISO utilizes a 30-day review </w:t>
      </w:r>
      <w:r>
        <w:rPr>
          <w:szCs w:val="26"/>
        </w:rPr>
        <w:t>period</w:t>
      </w:r>
      <w:r w:rsidRPr="005706FF">
        <w:rPr>
          <w:szCs w:val="26"/>
        </w:rPr>
        <w:t xml:space="preserve"> in its Distributed Energy Resource Provider program.</w:t>
      </w:r>
    </w:p>
  </w:footnote>
  <w:footnote w:id="714">
    <w:p w:rsidR="00FB7F86" w:rsidRDefault="00FB7F86" w14:paraId="5E1EE6D9" w14:textId="0525D4D2">
      <w:pPr>
        <w:pStyle w:val="FootnoteText"/>
      </w:pPr>
      <w:r>
        <w:rPr>
          <w:rStyle w:val="FootnoteReference"/>
        </w:rPr>
        <w:footnoteRef/>
      </w:r>
      <w:r>
        <w:t xml:space="preserve"> </w:t>
      </w:r>
      <w:r w:rsidRPr="00C84049">
        <w:rPr>
          <w:i/>
        </w:rPr>
        <w:t>See</w:t>
      </w:r>
      <w:r>
        <w:t xml:space="preserve"> </w:t>
      </w:r>
      <w:r>
        <w:rPr>
          <w:i/>
          <w:iCs/>
        </w:rPr>
        <w:t>supra</w:t>
      </w:r>
      <w:r>
        <w:t xml:space="preserve"> </w:t>
      </w:r>
      <w:r w:rsidRPr="00A86F14">
        <w:t>Section IV.A.2 (Opt-Out) for further discussion.</w:t>
      </w:r>
    </w:p>
  </w:footnote>
  <w:footnote w:id="715">
    <w:p w:rsidRPr="005706FF" w:rsidR="00FB7F86" w:rsidP="002E614A" w:rsidRDefault="00FB7F86" w14:paraId="36E407FB" w14:textId="645303E2">
      <w:pPr>
        <w:pStyle w:val="FootnoteText"/>
        <w:rPr>
          <w:szCs w:val="26"/>
        </w:rPr>
      </w:pPr>
      <w:r w:rsidRPr="0069434D">
        <w:rPr>
          <w:rStyle w:val="FootnoteReference"/>
          <w:szCs w:val="26"/>
        </w:rPr>
        <w:footnoteRef/>
      </w:r>
      <w:r w:rsidRPr="005706FF">
        <w:rPr>
          <w:szCs w:val="26"/>
        </w:rPr>
        <w:t xml:space="preserve"> </w:t>
      </w:r>
      <w:r w:rsidRPr="005706FF">
        <w:rPr>
          <w:i/>
          <w:szCs w:val="26"/>
        </w:rPr>
        <w:t>See, e.g.</w:t>
      </w:r>
      <w:r w:rsidRPr="005706FF">
        <w:rPr>
          <w:szCs w:val="26"/>
        </w:rPr>
        <w:t>, IRC Comments (RM16-23) at 9</w:t>
      </w:r>
      <w:r>
        <w:rPr>
          <w:szCs w:val="26"/>
        </w:rPr>
        <w:t>;</w:t>
      </w:r>
      <w:r w:rsidRPr="005706FF">
        <w:rPr>
          <w:szCs w:val="26"/>
        </w:rPr>
        <w:t xml:space="preserve"> </w:t>
      </w:r>
      <w:r>
        <w:rPr>
          <w:szCs w:val="26"/>
        </w:rPr>
        <w:t>PJM Comments (2018 RM18-9) at 8</w:t>
      </w:r>
      <w:r w:rsidRPr="005706FF">
        <w:rPr>
          <w:szCs w:val="26"/>
        </w:rPr>
        <w:t>.</w:t>
      </w:r>
    </w:p>
  </w:footnote>
  <w:footnote w:id="716">
    <w:p w:rsidRPr="0069434D" w:rsidR="00FB7F86" w:rsidP="002E614A" w:rsidRDefault="00FB7F86" w14:paraId="6512FBBA" w14:textId="61560CDA">
      <w:pPr>
        <w:pStyle w:val="FootnoteText"/>
        <w:rPr>
          <w:szCs w:val="26"/>
        </w:rPr>
      </w:pPr>
      <w:r w:rsidRPr="0069434D">
        <w:rPr>
          <w:rStyle w:val="FootnoteReference"/>
          <w:szCs w:val="26"/>
        </w:rPr>
        <w:footnoteRef/>
      </w:r>
      <w:r w:rsidRPr="0069434D">
        <w:rPr>
          <w:szCs w:val="26"/>
        </w:rPr>
        <w:t xml:space="preserve"> For example, a dispute over how the RTO/ISO managed and implemented the distribution review process during</w:t>
      </w:r>
      <w:r>
        <w:rPr>
          <w:szCs w:val="26"/>
        </w:rPr>
        <w:t xml:space="preserve"> a</w:t>
      </w:r>
      <w:r w:rsidRPr="0069434D">
        <w:rPr>
          <w:szCs w:val="26"/>
        </w:rPr>
        <w:t xml:space="preserve"> distributed energy resource aggregation registration </w:t>
      </w:r>
      <w:r>
        <w:rPr>
          <w:szCs w:val="26"/>
        </w:rPr>
        <w:t>could</w:t>
      </w:r>
      <w:r w:rsidRPr="0069434D">
        <w:rPr>
          <w:szCs w:val="26"/>
        </w:rPr>
        <w:t xml:space="preserve"> be brought to the Commission. </w:t>
      </w:r>
    </w:p>
  </w:footnote>
  <w:footnote w:id="717">
    <w:p w:rsidR="00FB7F86" w:rsidRDefault="00FB7F86" w14:paraId="58EA3553" w14:textId="2CDB78A6">
      <w:pPr>
        <w:pStyle w:val="FootnoteText"/>
      </w:pPr>
      <w:r>
        <w:rPr>
          <w:rStyle w:val="FootnoteReference"/>
        </w:rPr>
        <w:footnoteRef/>
      </w:r>
      <w:r>
        <w:t xml:space="preserve"> </w:t>
      </w:r>
      <w:r>
        <w:rPr>
          <w:szCs w:val="26"/>
        </w:rPr>
        <w:t>NOPR, 157 FERC ¶ 61,121 at P 155</w:t>
      </w:r>
      <w:r w:rsidRPr="00716CDF">
        <w:rPr>
          <w:szCs w:val="26"/>
        </w:rPr>
        <w:t>.</w:t>
      </w:r>
    </w:p>
  </w:footnote>
  <w:footnote w:id="718">
    <w:p w:rsidRPr="00716CDF" w:rsidR="00FB7F86" w:rsidP="00A109F7" w:rsidRDefault="00FB7F86" w14:paraId="2194164B" w14:textId="2AB2805C">
      <w:pPr>
        <w:pStyle w:val="FootnoteText"/>
        <w:rPr>
          <w:szCs w:val="26"/>
        </w:rPr>
      </w:pPr>
      <w:r w:rsidRPr="00716CDF">
        <w:rPr>
          <w:rStyle w:val="FootnoteReference"/>
        </w:rPr>
        <w:footnoteRef/>
      </w:r>
      <w:r w:rsidRPr="00716CDF">
        <w:rPr>
          <w:szCs w:val="26"/>
        </w:rPr>
        <w:t xml:space="preserve"> </w:t>
      </w:r>
      <w:r>
        <w:rPr>
          <w:i/>
          <w:iCs/>
        </w:rPr>
        <w:t>See, e.g.</w:t>
      </w:r>
      <w:r w:rsidRPr="00C84049">
        <w:t>,</w:t>
      </w:r>
      <w:r>
        <w:rPr>
          <w:i/>
          <w:iCs/>
        </w:rPr>
        <w:t xml:space="preserve"> </w:t>
      </w:r>
      <w:r w:rsidRPr="00407052">
        <w:rPr>
          <w:szCs w:val="26"/>
        </w:rPr>
        <w:t xml:space="preserve">APPA/NRECA </w:t>
      </w:r>
      <w:r>
        <w:rPr>
          <w:szCs w:val="26"/>
        </w:rPr>
        <w:t>Comments (RM16-23)</w:t>
      </w:r>
      <w:r w:rsidRPr="00407052">
        <w:rPr>
          <w:szCs w:val="26"/>
        </w:rPr>
        <w:t xml:space="preserve"> at 45; </w:t>
      </w:r>
      <w:r w:rsidRPr="00716CDF">
        <w:rPr>
          <w:szCs w:val="26"/>
        </w:rPr>
        <w:t xml:space="preserve">Duke Energy </w:t>
      </w:r>
      <w:r>
        <w:rPr>
          <w:szCs w:val="26"/>
        </w:rPr>
        <w:t>Comments (RM16-23)</w:t>
      </w:r>
      <w:r w:rsidRPr="00716CDF">
        <w:rPr>
          <w:szCs w:val="26"/>
        </w:rPr>
        <w:t xml:space="preserve"> at 7; EEI </w:t>
      </w:r>
      <w:r>
        <w:rPr>
          <w:szCs w:val="26"/>
        </w:rPr>
        <w:t>Comments (RM16-23)</w:t>
      </w:r>
      <w:r w:rsidRPr="00716CDF">
        <w:rPr>
          <w:szCs w:val="26"/>
        </w:rPr>
        <w:t xml:space="preserve"> at 37; </w:t>
      </w:r>
      <w:r>
        <w:rPr>
          <w:szCs w:val="26"/>
        </w:rPr>
        <w:t xml:space="preserve">Exelon Comments (RM16-23) at 2, 11; </w:t>
      </w:r>
      <w:r w:rsidRPr="00716CDF">
        <w:rPr>
          <w:szCs w:val="26"/>
        </w:rPr>
        <w:t xml:space="preserve">Guannan He </w:t>
      </w:r>
      <w:r>
        <w:rPr>
          <w:szCs w:val="26"/>
        </w:rPr>
        <w:t>Comments (RM16-23)</w:t>
      </w:r>
      <w:r w:rsidRPr="00716CDF">
        <w:rPr>
          <w:szCs w:val="26"/>
        </w:rPr>
        <w:t xml:space="preserve"> at 2</w:t>
      </w:r>
      <w:r w:rsidRPr="00716CDF" w:rsidDel="0040033B">
        <w:rPr>
          <w:szCs w:val="26"/>
        </w:rPr>
        <w:t xml:space="preserve">; </w:t>
      </w:r>
      <w:r w:rsidRPr="00716CDF">
        <w:rPr>
          <w:szCs w:val="26"/>
        </w:rPr>
        <w:t xml:space="preserve">NYISO </w:t>
      </w:r>
      <w:r>
        <w:rPr>
          <w:szCs w:val="26"/>
        </w:rPr>
        <w:t>Comments (RM16-23)</w:t>
      </w:r>
      <w:r w:rsidRPr="00716CDF">
        <w:rPr>
          <w:szCs w:val="26"/>
        </w:rPr>
        <w:t xml:space="preserve"> at 19.</w:t>
      </w:r>
    </w:p>
  </w:footnote>
  <w:footnote w:id="719">
    <w:p w:rsidRPr="00716CDF" w:rsidR="00FB7F86" w:rsidP="00A109F7" w:rsidRDefault="00FB7F86" w14:paraId="4927FD68" w14:textId="77777777">
      <w:pPr>
        <w:pStyle w:val="FootnoteText"/>
        <w:rPr>
          <w:szCs w:val="26"/>
        </w:rPr>
      </w:pPr>
      <w:r w:rsidRPr="00716CDF">
        <w:rPr>
          <w:rStyle w:val="FootnoteReference"/>
        </w:rPr>
        <w:footnoteRef/>
      </w:r>
      <w:r w:rsidRPr="00716CDF">
        <w:rPr>
          <w:szCs w:val="26"/>
        </w:rPr>
        <w:t xml:space="preserve"> Pacific Gas &amp; Electric </w:t>
      </w:r>
      <w:r>
        <w:rPr>
          <w:szCs w:val="26"/>
        </w:rPr>
        <w:t>Comments (RM16-23)</w:t>
      </w:r>
      <w:r w:rsidRPr="00716CDF">
        <w:rPr>
          <w:szCs w:val="26"/>
        </w:rPr>
        <w:t xml:space="preserve"> at 21.</w:t>
      </w:r>
    </w:p>
  </w:footnote>
  <w:footnote w:id="720">
    <w:p w:rsidR="00FB7F86" w:rsidP="00A109F7" w:rsidRDefault="00FB7F86" w14:paraId="1E316789" w14:textId="77777777">
      <w:pPr>
        <w:pStyle w:val="FootnoteText"/>
        <w:spacing w:after="120"/>
        <w:contextualSpacing/>
        <w:rPr>
          <w:szCs w:val="26"/>
        </w:rPr>
      </w:pPr>
      <w:r w:rsidRPr="00407052">
        <w:rPr>
          <w:rStyle w:val="FootnoteReference"/>
        </w:rPr>
        <w:footnoteRef/>
      </w:r>
      <w:r w:rsidRPr="00407052">
        <w:rPr>
          <w:szCs w:val="26"/>
        </w:rPr>
        <w:t xml:space="preserve"> NYISO Indicated Transmission Owners </w:t>
      </w:r>
      <w:r>
        <w:rPr>
          <w:szCs w:val="26"/>
        </w:rPr>
        <w:t>Comments (RM16-23)</w:t>
      </w:r>
      <w:r w:rsidRPr="00407052">
        <w:rPr>
          <w:szCs w:val="26"/>
        </w:rPr>
        <w:t xml:space="preserve"> at 15-16; Xcel Energy Services </w:t>
      </w:r>
      <w:r>
        <w:rPr>
          <w:szCs w:val="26"/>
        </w:rPr>
        <w:t>Comments (RM16-23)</w:t>
      </w:r>
      <w:r w:rsidRPr="00407052">
        <w:rPr>
          <w:szCs w:val="26"/>
        </w:rPr>
        <w:t xml:space="preserve"> at 28.</w:t>
      </w:r>
    </w:p>
    <w:p w:rsidRPr="00407052" w:rsidR="00FB7F86" w:rsidP="00A109F7" w:rsidRDefault="00FB7F86" w14:paraId="685DA3B2" w14:textId="77777777">
      <w:pPr>
        <w:pStyle w:val="FootnoteText"/>
        <w:spacing w:after="120"/>
        <w:contextualSpacing/>
        <w:rPr>
          <w:szCs w:val="26"/>
        </w:rPr>
      </w:pPr>
    </w:p>
  </w:footnote>
  <w:footnote w:id="721">
    <w:p w:rsidRPr="00CF5818" w:rsidR="00FB7F86" w:rsidP="00A2228F" w:rsidRDefault="00FB7F86" w14:paraId="6B5DD4F4" w14:textId="6598273B">
      <w:pPr>
        <w:pStyle w:val="FootnoteText"/>
        <w:widowControl/>
        <w:rPr>
          <w:szCs w:val="26"/>
        </w:rPr>
      </w:pPr>
      <w:r w:rsidRPr="00CF5818">
        <w:rPr>
          <w:rStyle w:val="FootnoteReference"/>
        </w:rPr>
        <w:footnoteRef/>
      </w:r>
      <w:r w:rsidRPr="00CF5818">
        <w:rPr>
          <w:szCs w:val="26"/>
        </w:rPr>
        <w:t xml:space="preserve"> Organization of MISO States </w:t>
      </w:r>
      <w:r>
        <w:rPr>
          <w:szCs w:val="26"/>
        </w:rPr>
        <w:t>Comments (2018 RM18-9)</w:t>
      </w:r>
      <w:r w:rsidRPr="00CF5818">
        <w:rPr>
          <w:szCs w:val="26"/>
        </w:rPr>
        <w:t xml:space="preserve"> at 5; SoCal Edison </w:t>
      </w:r>
      <w:r>
        <w:rPr>
          <w:szCs w:val="26"/>
        </w:rPr>
        <w:t>Comments (RM16-23)</w:t>
      </w:r>
      <w:r w:rsidRPr="00CF5818">
        <w:rPr>
          <w:szCs w:val="26"/>
        </w:rPr>
        <w:t xml:space="preserve"> at 7</w:t>
      </w:r>
      <w:r>
        <w:rPr>
          <w:szCs w:val="26"/>
        </w:rPr>
        <w:t>-8</w:t>
      </w:r>
      <w:r w:rsidRPr="00CF5818">
        <w:rPr>
          <w:szCs w:val="26"/>
        </w:rPr>
        <w:t>.</w:t>
      </w:r>
    </w:p>
  </w:footnote>
  <w:footnote w:id="722">
    <w:p w:rsidRPr="00716CDF" w:rsidR="00FB7F86" w:rsidP="00A109F7" w:rsidRDefault="00FB7F86" w14:paraId="09BF870F" w14:textId="77777777">
      <w:pPr>
        <w:pStyle w:val="FootnoteText"/>
        <w:rPr>
          <w:szCs w:val="26"/>
        </w:rPr>
      </w:pPr>
      <w:r w:rsidRPr="00716CDF">
        <w:rPr>
          <w:rStyle w:val="FootnoteReference"/>
        </w:rPr>
        <w:footnoteRef/>
      </w:r>
      <w:r w:rsidRPr="00716CDF">
        <w:rPr>
          <w:szCs w:val="26"/>
        </w:rPr>
        <w:t xml:space="preserve"> Dominion </w:t>
      </w:r>
      <w:r>
        <w:rPr>
          <w:szCs w:val="26"/>
        </w:rPr>
        <w:t>Comments (RM16-23)</w:t>
      </w:r>
      <w:r w:rsidRPr="00716CDF">
        <w:rPr>
          <w:szCs w:val="26"/>
        </w:rPr>
        <w:t xml:space="preserve"> at 13-14.</w:t>
      </w:r>
    </w:p>
  </w:footnote>
  <w:footnote w:id="723">
    <w:p w:rsidRPr="00716CDF" w:rsidR="00FB7F86" w:rsidP="00A109F7" w:rsidRDefault="00FB7F86" w14:paraId="13AD0C04" w14:textId="77777777">
      <w:pPr>
        <w:pStyle w:val="FootnoteText"/>
        <w:rPr>
          <w:szCs w:val="26"/>
        </w:rPr>
      </w:pPr>
      <w:r w:rsidRPr="00716CDF">
        <w:rPr>
          <w:rStyle w:val="FootnoteReference"/>
        </w:rPr>
        <w:footnoteRef/>
      </w:r>
      <w:r w:rsidRPr="00716CDF">
        <w:rPr>
          <w:szCs w:val="26"/>
        </w:rPr>
        <w:t xml:space="preserve"> SPP </w:t>
      </w:r>
      <w:r>
        <w:rPr>
          <w:szCs w:val="26"/>
        </w:rPr>
        <w:t>Comments (RM16-23)</w:t>
      </w:r>
      <w:r w:rsidRPr="00716CDF">
        <w:rPr>
          <w:szCs w:val="26"/>
        </w:rPr>
        <w:t xml:space="preserve"> at 24.</w:t>
      </w:r>
    </w:p>
  </w:footnote>
  <w:footnote w:id="724">
    <w:p w:rsidR="00FB7F86" w:rsidP="00A109F7" w:rsidRDefault="00FB7F86" w14:paraId="70B2A674" w14:textId="77777777">
      <w:pPr>
        <w:pStyle w:val="FootnoteText"/>
        <w:spacing w:after="120"/>
        <w:contextualSpacing/>
        <w:rPr>
          <w:szCs w:val="26"/>
        </w:rPr>
      </w:pPr>
      <w:r w:rsidRPr="00407052">
        <w:rPr>
          <w:rStyle w:val="FootnoteReference"/>
        </w:rPr>
        <w:footnoteRef/>
      </w:r>
      <w:r w:rsidRPr="00407052">
        <w:rPr>
          <w:szCs w:val="26"/>
        </w:rPr>
        <w:t xml:space="preserve"> CAISO </w:t>
      </w:r>
      <w:r>
        <w:rPr>
          <w:szCs w:val="26"/>
        </w:rPr>
        <w:t>Comments (RM16-23)</w:t>
      </w:r>
      <w:r w:rsidRPr="00407052">
        <w:rPr>
          <w:szCs w:val="26"/>
        </w:rPr>
        <w:t xml:space="preserve"> at 42-43.</w:t>
      </w:r>
    </w:p>
    <w:p w:rsidRPr="00407052" w:rsidR="00FB7F86" w:rsidP="00A109F7" w:rsidRDefault="00FB7F86" w14:paraId="10A8A867" w14:textId="77777777">
      <w:pPr>
        <w:pStyle w:val="FootnoteText"/>
        <w:spacing w:after="120"/>
        <w:contextualSpacing/>
        <w:rPr>
          <w:szCs w:val="26"/>
        </w:rPr>
      </w:pPr>
      <w:r w:rsidRPr="00407052">
        <w:rPr>
          <w:szCs w:val="26"/>
        </w:rPr>
        <w:t xml:space="preserve"> </w:t>
      </w:r>
    </w:p>
  </w:footnote>
  <w:footnote w:id="725">
    <w:p w:rsidRPr="00716CDF" w:rsidR="00FB7F86" w:rsidP="00A109F7" w:rsidRDefault="00FB7F86" w14:paraId="31513F6D" w14:textId="35FE7A20">
      <w:pPr>
        <w:pStyle w:val="FootnoteText"/>
        <w:rPr>
          <w:szCs w:val="26"/>
        </w:rPr>
      </w:pPr>
      <w:r w:rsidRPr="00716CDF">
        <w:rPr>
          <w:rStyle w:val="FootnoteReference"/>
        </w:rPr>
        <w:footnoteRef/>
      </w:r>
      <w:r w:rsidRPr="00716CDF">
        <w:rPr>
          <w:szCs w:val="26"/>
        </w:rPr>
        <w:t xml:space="preserve"> </w:t>
      </w:r>
      <w:r>
        <w:rPr>
          <w:i/>
          <w:iCs/>
          <w:szCs w:val="26"/>
        </w:rPr>
        <w:t>Id.</w:t>
      </w:r>
      <w:r w:rsidRPr="00716CDF">
        <w:rPr>
          <w:szCs w:val="26"/>
        </w:rPr>
        <w:t xml:space="preserve"> at 42-4</w:t>
      </w:r>
      <w:r>
        <w:rPr>
          <w:szCs w:val="26"/>
        </w:rPr>
        <w:t>4</w:t>
      </w:r>
      <w:r w:rsidRPr="00716CDF">
        <w:rPr>
          <w:szCs w:val="26"/>
        </w:rPr>
        <w:t>.</w:t>
      </w:r>
    </w:p>
  </w:footnote>
  <w:footnote w:id="726">
    <w:p w:rsidRPr="009F0A9E" w:rsidR="00FB7F86" w:rsidP="00A109F7" w:rsidRDefault="00FB7F86" w14:paraId="14FB016E" w14:textId="77777777">
      <w:pPr>
        <w:pStyle w:val="FootnoteText"/>
        <w:rPr>
          <w:szCs w:val="26"/>
        </w:rPr>
      </w:pPr>
      <w:r w:rsidRPr="009F0A9E">
        <w:rPr>
          <w:rStyle w:val="FootnoteReference"/>
          <w:szCs w:val="26"/>
        </w:rPr>
        <w:footnoteRef/>
      </w:r>
      <w:r w:rsidRPr="009F0A9E">
        <w:rPr>
          <w:szCs w:val="26"/>
        </w:rPr>
        <w:t xml:space="preserve"> Organization of MISO States </w:t>
      </w:r>
      <w:r>
        <w:rPr>
          <w:szCs w:val="26"/>
        </w:rPr>
        <w:t>Comments (2018 RM18-9) at</w:t>
      </w:r>
      <w:r w:rsidRPr="009F0A9E">
        <w:rPr>
          <w:szCs w:val="26"/>
        </w:rPr>
        <w:t xml:space="preserve"> 5.</w:t>
      </w:r>
    </w:p>
  </w:footnote>
  <w:footnote w:id="727">
    <w:p w:rsidR="00FB7F86" w:rsidP="00A109F7" w:rsidRDefault="00FB7F86" w14:paraId="7C72A1B7" w14:textId="3F775712">
      <w:pPr>
        <w:pStyle w:val="FootnoteText"/>
      </w:pPr>
      <w:r>
        <w:rPr>
          <w:rStyle w:val="FootnoteReference"/>
        </w:rPr>
        <w:footnoteRef/>
      </w:r>
      <w:r>
        <w:t xml:space="preserve"> </w:t>
      </w:r>
      <w:r>
        <w:rPr>
          <w:i/>
          <w:iCs/>
        </w:rPr>
        <w:t>See, e.g.</w:t>
      </w:r>
      <w:r w:rsidRPr="00C84049">
        <w:t>,</w:t>
      </w:r>
      <w:r>
        <w:rPr>
          <w:i/>
          <w:iCs/>
        </w:rPr>
        <w:t xml:space="preserve"> </w:t>
      </w:r>
      <w:r>
        <w:t>NYISO Indicated Transmission Owners Comments (2018 RM18-9) at 22; PJM Comments (2018 RM18-9) at 27.</w:t>
      </w:r>
    </w:p>
  </w:footnote>
  <w:footnote w:id="728">
    <w:p w:rsidR="00FB7F86" w:rsidP="00A109F7" w:rsidRDefault="00FB7F86" w14:paraId="54B2D1A1" w14:textId="594D08C1">
      <w:pPr>
        <w:pStyle w:val="FootnoteText"/>
      </w:pPr>
      <w:r>
        <w:rPr>
          <w:rStyle w:val="FootnoteReference"/>
        </w:rPr>
        <w:footnoteRef/>
      </w:r>
      <w:r>
        <w:t xml:space="preserve"> </w:t>
      </w:r>
      <w:r>
        <w:rPr>
          <w:i/>
          <w:iCs/>
        </w:rPr>
        <w:t>See, e.g.</w:t>
      </w:r>
      <w:r w:rsidRPr="00C84049">
        <w:t>,</w:t>
      </w:r>
      <w:r>
        <w:rPr>
          <w:i/>
          <w:iCs/>
        </w:rPr>
        <w:t xml:space="preserve"> </w:t>
      </w:r>
      <w:r>
        <w:t>Advanced Energy Management Comments (2018 RM18-9) at 21-22; NYISO Indicated Transmission Owners Comments (2018 RM18-9) at 23; Pacific Gas &amp; Electric Comments (2018 RM18-9) at 22-23; PJM Comments (2018 RM18-9) at 27; TAPS Comments (2018 RM18-9) at 14.</w:t>
      </w:r>
    </w:p>
  </w:footnote>
  <w:footnote w:id="729">
    <w:p w:rsidR="00FB7F86" w:rsidP="00A109F7" w:rsidRDefault="00FB7F86" w14:paraId="6B20F9E8" w14:textId="51AC1532">
      <w:pPr>
        <w:pStyle w:val="FootnoteText"/>
      </w:pPr>
      <w:r>
        <w:rPr>
          <w:rStyle w:val="FootnoteReference"/>
        </w:rPr>
        <w:footnoteRef/>
      </w:r>
      <w:r>
        <w:t xml:space="preserve"> EEI Comments (2018 RM18-9) at 12; TAPS Comments (2018 RM18-9) at 14.</w:t>
      </w:r>
    </w:p>
  </w:footnote>
  <w:footnote w:id="730">
    <w:p w:rsidR="00FB7F86" w:rsidP="00A2228F" w:rsidRDefault="00FB7F86" w14:paraId="6B20331D" w14:textId="6C3C5E98">
      <w:pPr>
        <w:pStyle w:val="FootnoteText"/>
        <w:widowControl/>
      </w:pPr>
      <w:r>
        <w:rPr>
          <w:rStyle w:val="FootnoteReference"/>
        </w:rPr>
        <w:footnoteRef/>
      </w:r>
      <w:r>
        <w:t xml:space="preserve"> Advanced Energy Economy Comments (2018 RM18-9) at 11; EEI Comments (2018 RM18-9) at 17.</w:t>
      </w:r>
    </w:p>
  </w:footnote>
  <w:footnote w:id="731">
    <w:p w:rsidR="00FB7F86" w:rsidP="00A109F7" w:rsidRDefault="00FB7F86" w14:paraId="4D55C6DC" w14:textId="309E88DE">
      <w:pPr>
        <w:pStyle w:val="FootnoteText"/>
      </w:pPr>
      <w:r>
        <w:rPr>
          <w:rStyle w:val="FootnoteReference"/>
        </w:rPr>
        <w:footnoteRef/>
      </w:r>
      <w:r>
        <w:t xml:space="preserve"> EEI Comments (2018 RM18-9) at 17. </w:t>
      </w:r>
    </w:p>
  </w:footnote>
  <w:footnote w:id="732">
    <w:p w:rsidR="00FB7F86" w:rsidRDefault="00FB7F86" w14:paraId="3F08A6E3" w14:textId="3CE2CEB8">
      <w:pPr>
        <w:pStyle w:val="FootnoteText"/>
      </w:pPr>
      <w:r>
        <w:rPr>
          <w:rStyle w:val="FootnoteReference"/>
        </w:rPr>
        <w:footnoteRef/>
      </w:r>
      <w:r>
        <w:t xml:space="preserve"> Avangrid Comments (RM16-23) at 17.</w:t>
      </w:r>
    </w:p>
  </w:footnote>
  <w:footnote w:id="733">
    <w:p w:rsidR="00FB7F86" w:rsidRDefault="00FB7F86" w14:paraId="1F34275A" w14:textId="6765ED1F">
      <w:pPr>
        <w:pStyle w:val="FootnoteText"/>
      </w:pPr>
      <w:r>
        <w:rPr>
          <w:rStyle w:val="FootnoteReference"/>
        </w:rPr>
        <w:footnoteRef/>
      </w:r>
      <w:r>
        <w:t xml:space="preserve"> TeMix Comments (RM16-23) at 4.</w:t>
      </w:r>
    </w:p>
  </w:footnote>
  <w:footnote w:id="734">
    <w:p w:rsidR="00FB7F86" w:rsidRDefault="00FB7F86" w14:paraId="0CA7FE9B" w14:textId="199E6E6D">
      <w:pPr>
        <w:pStyle w:val="FootnoteText"/>
      </w:pPr>
      <w:r>
        <w:rPr>
          <w:rStyle w:val="FootnoteReference"/>
        </w:rPr>
        <w:footnoteRef/>
      </w:r>
      <w:r>
        <w:t xml:space="preserve"> ISO-NE Comments (RM16-23) at 55.</w:t>
      </w:r>
    </w:p>
  </w:footnote>
  <w:footnote w:id="735">
    <w:p w:rsidR="00FB7F86" w:rsidRDefault="00FB7F86" w14:paraId="10111248" w14:textId="2F45286E">
      <w:pPr>
        <w:pStyle w:val="FootnoteText"/>
      </w:pPr>
      <w:r>
        <w:rPr>
          <w:rStyle w:val="FootnoteReference"/>
        </w:rPr>
        <w:footnoteRef/>
      </w:r>
      <w:r>
        <w:t xml:space="preserve"> Pacific Gas &amp; Electric Comments (RM16-23) at 22.</w:t>
      </w:r>
    </w:p>
  </w:footnote>
  <w:footnote w:id="736">
    <w:p w:rsidR="00FB7F86" w:rsidRDefault="00FB7F86" w14:paraId="505328CB" w14:textId="39088225">
      <w:pPr>
        <w:pStyle w:val="FootnoteText"/>
      </w:pPr>
      <w:r>
        <w:rPr>
          <w:rStyle w:val="FootnoteReference"/>
        </w:rPr>
        <w:footnoteRef/>
      </w:r>
      <w:r>
        <w:t xml:space="preserve"> Advanced Energy Economy Comments (RM16-23) at 38; Union of Concerned Scientists Comments (RM16-23) at 9.</w:t>
      </w:r>
    </w:p>
  </w:footnote>
  <w:footnote w:id="737">
    <w:p w:rsidR="00FB7F86" w:rsidP="00A109F7" w:rsidRDefault="00FB7F86" w14:paraId="6EBAD257" w14:textId="053D0DBE">
      <w:pPr>
        <w:pStyle w:val="FootnoteText"/>
      </w:pPr>
      <w:r>
        <w:rPr>
          <w:rStyle w:val="FootnoteReference"/>
        </w:rPr>
        <w:footnoteRef/>
      </w:r>
      <w:r>
        <w:t xml:space="preserve"> </w:t>
      </w:r>
      <w:r>
        <w:rPr>
          <w:i/>
          <w:iCs/>
        </w:rPr>
        <w:t>See, e.g.</w:t>
      </w:r>
      <w:r w:rsidRPr="00C84049">
        <w:t>,</w:t>
      </w:r>
      <w:r>
        <w:rPr>
          <w:i/>
          <w:iCs/>
        </w:rPr>
        <w:t xml:space="preserve"> </w:t>
      </w:r>
      <w:r>
        <w:t>California Commission Comments (2018 RM18-9</w:t>
      </w:r>
      <w:r w:rsidRPr="00C23294">
        <w:t>)</w:t>
      </w:r>
      <w:r>
        <w:t xml:space="preserve"> at 18; Duquesne Comments (2018 RM18-9</w:t>
      </w:r>
      <w:r w:rsidRPr="00C23294">
        <w:t>)</w:t>
      </w:r>
      <w:r>
        <w:t xml:space="preserve"> at 7; NYISO Indicated Transmission Owners Comments (2018 RM18-9</w:t>
      </w:r>
      <w:r w:rsidRPr="00C23294">
        <w:t>)</w:t>
      </w:r>
      <w:r>
        <w:t xml:space="preserve"> at 23; Pacific Gas &amp; Electric Comments (2018 RM18-9</w:t>
      </w:r>
      <w:r w:rsidRPr="00C23294">
        <w:t>)</w:t>
      </w:r>
      <w:r>
        <w:t xml:space="preserve"> at 24; SunRun Comments (2018 RM18-9</w:t>
      </w:r>
      <w:r w:rsidRPr="00C23294">
        <w:t>)</w:t>
      </w:r>
      <w:r>
        <w:t xml:space="preserve"> at 5-6; TAPS Comments (2018 RM18-9</w:t>
      </w:r>
      <w:r w:rsidRPr="00C23294">
        <w:t>)</w:t>
      </w:r>
      <w:r>
        <w:t xml:space="preserve"> at 29.</w:t>
      </w:r>
    </w:p>
  </w:footnote>
  <w:footnote w:id="738">
    <w:p w:rsidR="00FB7F86" w:rsidP="00A109F7" w:rsidRDefault="00FB7F86" w14:paraId="10244D71" w14:textId="77777777">
      <w:pPr>
        <w:pStyle w:val="FootnoteText"/>
      </w:pPr>
      <w:r>
        <w:rPr>
          <w:rStyle w:val="FootnoteReference"/>
        </w:rPr>
        <w:footnoteRef/>
      </w:r>
      <w:r>
        <w:t xml:space="preserve"> Lorenzo Kristov Comments (2018 RM18-9</w:t>
      </w:r>
      <w:r w:rsidRPr="00C23294">
        <w:t>)</w:t>
      </w:r>
      <w:r>
        <w:t xml:space="preserve"> at 17.</w:t>
      </w:r>
    </w:p>
  </w:footnote>
  <w:footnote w:id="739">
    <w:p w:rsidR="00FB7F86" w:rsidP="00A109F7" w:rsidRDefault="00FB7F86" w14:paraId="5BBBA903" w14:textId="5303BCFA">
      <w:pPr>
        <w:pStyle w:val="FootnoteText"/>
      </w:pPr>
      <w:r>
        <w:rPr>
          <w:rStyle w:val="FootnoteReference"/>
        </w:rPr>
        <w:footnoteRef/>
      </w:r>
      <w:r>
        <w:t xml:space="preserve"> NYISO Indicated Transmission Owners Comments (2018 RM18-9</w:t>
      </w:r>
      <w:r w:rsidRPr="00C23294">
        <w:t>)</w:t>
      </w:r>
      <w:r>
        <w:t xml:space="preserve"> at 23.</w:t>
      </w:r>
    </w:p>
  </w:footnote>
  <w:footnote w:id="740">
    <w:p w:rsidR="00FB7F86" w:rsidP="00A109F7" w:rsidRDefault="00FB7F86" w14:paraId="494FC470" w14:textId="51759C0F">
      <w:pPr>
        <w:pStyle w:val="FootnoteText"/>
      </w:pPr>
      <w:r>
        <w:rPr>
          <w:rStyle w:val="FootnoteReference"/>
        </w:rPr>
        <w:footnoteRef/>
      </w:r>
      <w:r>
        <w:t xml:space="preserve"> Stem Comments (2018 RM18-9</w:t>
      </w:r>
      <w:r w:rsidRPr="00C23294">
        <w:t>)</w:t>
      </w:r>
      <w:r>
        <w:t xml:space="preserve"> at 17.</w:t>
      </w:r>
    </w:p>
  </w:footnote>
  <w:footnote w:id="741">
    <w:p w:rsidR="00FB7F86" w:rsidRDefault="00FB7F86" w14:paraId="70878DF8" w14:textId="30F27229">
      <w:pPr>
        <w:pStyle w:val="FootnoteText"/>
      </w:pPr>
      <w:r>
        <w:rPr>
          <w:rStyle w:val="FootnoteReference"/>
        </w:rPr>
        <w:footnoteRef/>
      </w:r>
      <w:r>
        <w:t xml:space="preserve"> Monitoring Analytics Comments (2018 RM18-9) at 13; NYISO Indicated Transmission Owners Comments (2018 RM18-9) at 23; PJM Comments (2018 RM18-9) at 27-28.</w:t>
      </w:r>
    </w:p>
  </w:footnote>
  <w:footnote w:id="742">
    <w:p w:rsidR="00FB7F86" w:rsidRDefault="00FB7F86" w14:paraId="1786BDC0" w14:textId="790B26D3">
      <w:pPr>
        <w:pStyle w:val="FootnoteText"/>
      </w:pPr>
      <w:r>
        <w:rPr>
          <w:rStyle w:val="FootnoteReference"/>
        </w:rPr>
        <w:footnoteRef/>
      </w:r>
      <w:r>
        <w:t xml:space="preserve"> Pacific Gas &amp; Electric Comments (2018 RM18-9) at 24; PJM Comments (2018 RM18-9) at 27-28.</w:t>
      </w:r>
    </w:p>
  </w:footnote>
  <w:footnote w:id="743">
    <w:p w:rsidR="00FB7F86" w:rsidRDefault="00FB7F86" w14:paraId="6D6FF389" w14:textId="509F2649">
      <w:pPr>
        <w:pStyle w:val="FootnoteText"/>
      </w:pPr>
      <w:r>
        <w:rPr>
          <w:rStyle w:val="FootnoteReference"/>
        </w:rPr>
        <w:footnoteRef/>
      </w:r>
      <w:r>
        <w:t xml:space="preserve"> </w:t>
      </w:r>
      <w:r w:rsidRPr="000B2C7A">
        <w:t xml:space="preserve">Microgrid Resources Coalition Comments (2018 RM18-9) at </w:t>
      </w:r>
      <w:r>
        <w:t>15; Stem Comments (2018 RM18-9</w:t>
      </w:r>
      <w:r w:rsidRPr="00C23294">
        <w:t>)</w:t>
      </w:r>
      <w:r>
        <w:t xml:space="preserve"> at 17;</w:t>
      </w:r>
      <w:r w:rsidRPr="008F2AB4">
        <w:t xml:space="preserve"> </w:t>
      </w:r>
      <w:r>
        <w:t>SunRun Comments (2018 RM18-9</w:t>
      </w:r>
      <w:r w:rsidRPr="00C23294">
        <w:t>)</w:t>
      </w:r>
      <w:r>
        <w:t xml:space="preserve"> at 6.</w:t>
      </w:r>
    </w:p>
  </w:footnote>
  <w:footnote w:id="744">
    <w:p w:rsidR="00FB7F86" w:rsidP="00CA3F98" w:rsidRDefault="00FB7F86" w14:paraId="39A7FC5C" w14:textId="77777777">
      <w:pPr>
        <w:pStyle w:val="FootnoteText"/>
      </w:pPr>
      <w:r>
        <w:rPr>
          <w:rStyle w:val="FootnoteReference"/>
        </w:rPr>
        <w:footnoteRef/>
      </w:r>
      <w:r>
        <w:t xml:space="preserve"> </w:t>
      </w:r>
      <w:r w:rsidRPr="00D377EB">
        <w:t xml:space="preserve">Eversource </w:t>
      </w:r>
      <w:r>
        <w:t>Comments (2018 RM18-9</w:t>
      </w:r>
      <w:r w:rsidRPr="00D377EB">
        <w:t xml:space="preserve">) at 11; SoCal Edison </w:t>
      </w:r>
      <w:r>
        <w:t>Comments (2018 RM18-9</w:t>
      </w:r>
      <w:r w:rsidRPr="00D377EB">
        <w:t xml:space="preserve">) at </w:t>
      </w:r>
      <w:r>
        <w:t>10</w:t>
      </w:r>
      <w:r w:rsidRPr="00D377EB">
        <w:t xml:space="preserve">; TAPS </w:t>
      </w:r>
      <w:r>
        <w:t>Comments (2018 RM18-9</w:t>
      </w:r>
      <w:r w:rsidRPr="00D377EB">
        <w:t>) at 29.</w:t>
      </w:r>
    </w:p>
  </w:footnote>
  <w:footnote w:id="745">
    <w:p w:rsidRPr="00D377EB" w:rsidR="00FB7F86" w:rsidP="003B61F1" w:rsidRDefault="00FB7F86" w14:paraId="5C006E20" w14:textId="77777777">
      <w:pPr>
        <w:pStyle w:val="FootnoteText"/>
      </w:pPr>
      <w:r w:rsidRPr="00D377EB">
        <w:rPr>
          <w:b/>
          <w:vertAlign w:val="superscript"/>
        </w:rPr>
        <w:footnoteRef/>
      </w:r>
      <w:r w:rsidRPr="00D377EB">
        <w:t xml:space="preserve"> </w:t>
      </w:r>
      <w:r>
        <w:rPr>
          <w:i/>
          <w:iCs/>
        </w:rPr>
        <w:t>See, e.g.</w:t>
      </w:r>
      <w:r w:rsidRPr="00C84049">
        <w:t>,</w:t>
      </w:r>
      <w:r>
        <w:rPr>
          <w:i/>
          <w:iCs/>
        </w:rPr>
        <w:t xml:space="preserve"> </w:t>
      </w:r>
      <w:r w:rsidRPr="00D377EB">
        <w:t xml:space="preserve">Eversource </w:t>
      </w:r>
      <w:r>
        <w:t>Comments (2018 RM18-9</w:t>
      </w:r>
      <w:r w:rsidRPr="00D377EB">
        <w:t xml:space="preserve">) at 11; SoCal Edison </w:t>
      </w:r>
      <w:r>
        <w:t>Comments (2018 RM18-9</w:t>
      </w:r>
      <w:r w:rsidRPr="00D377EB">
        <w:t xml:space="preserve">) at </w:t>
      </w:r>
      <w:r>
        <w:t>10</w:t>
      </w:r>
      <w:r w:rsidRPr="00D377EB">
        <w:t xml:space="preserve">; TAPS </w:t>
      </w:r>
      <w:r>
        <w:t>Comments (2018 RM18-9</w:t>
      </w:r>
      <w:r w:rsidRPr="00D377EB">
        <w:t>) at 29.</w:t>
      </w:r>
    </w:p>
  </w:footnote>
  <w:footnote w:id="746">
    <w:p w:rsidR="00FB7F86" w:rsidP="00F6109D" w:rsidRDefault="00FB7F86" w14:paraId="5F0299D7" w14:textId="3BDD55A1">
      <w:pPr>
        <w:pStyle w:val="FootnoteText"/>
      </w:pPr>
      <w:r>
        <w:rPr>
          <w:rStyle w:val="FootnoteReference"/>
        </w:rPr>
        <w:footnoteRef/>
      </w:r>
      <w:r>
        <w:t xml:space="preserve"> </w:t>
      </w:r>
      <w:r>
        <w:rPr>
          <w:i/>
          <w:iCs/>
        </w:rPr>
        <w:t>See, e.g.</w:t>
      </w:r>
      <w:r w:rsidRPr="00C84049">
        <w:t>,</w:t>
      </w:r>
      <w:r>
        <w:rPr>
          <w:i/>
          <w:iCs/>
        </w:rPr>
        <w:t xml:space="preserve"> </w:t>
      </w:r>
      <w:r>
        <w:t>Vice Chairman Place Comments (2018 RM18-9) at 8; Organization of MISO States Comments (2018 RM18-9) at 9-10.</w:t>
      </w:r>
    </w:p>
  </w:footnote>
  <w:footnote w:id="747">
    <w:p w:rsidR="00FB7F86" w:rsidP="00F6109D" w:rsidRDefault="00FB7F86" w14:paraId="5A42CA7A" w14:textId="352AC766">
      <w:pPr>
        <w:pStyle w:val="FootnoteText"/>
      </w:pPr>
      <w:r>
        <w:rPr>
          <w:rStyle w:val="FootnoteReference"/>
        </w:rPr>
        <w:footnoteRef/>
      </w:r>
      <w:r>
        <w:t xml:space="preserve"> Vice Chairman Place Comments (2018 RM18-9) at 8.</w:t>
      </w:r>
    </w:p>
  </w:footnote>
  <w:footnote w:id="748">
    <w:p w:rsidR="00FB7F86" w:rsidP="00F6109D" w:rsidRDefault="00FB7F86" w14:paraId="4F5EA282" w14:textId="77777777">
      <w:pPr>
        <w:pStyle w:val="FootnoteText"/>
      </w:pPr>
      <w:r>
        <w:rPr>
          <w:rStyle w:val="FootnoteReference"/>
        </w:rPr>
        <w:footnoteRef/>
      </w:r>
      <w:r>
        <w:t xml:space="preserve"> Organization of MISO States Comments (2018 RM18-9) at 9.</w:t>
      </w:r>
    </w:p>
  </w:footnote>
  <w:footnote w:id="749">
    <w:p w:rsidR="00FB7F86" w:rsidP="00F6109D" w:rsidRDefault="00FB7F86" w14:paraId="4F0B9415" w14:textId="45305997">
      <w:pPr>
        <w:pStyle w:val="FootnoteText"/>
      </w:pPr>
      <w:r>
        <w:rPr>
          <w:rStyle w:val="FootnoteReference"/>
        </w:rPr>
        <w:footnoteRef/>
      </w:r>
      <w:r>
        <w:t xml:space="preserve"> Vice Chairman Place Comments (2018 RM18-9) at 5.</w:t>
      </w:r>
    </w:p>
  </w:footnote>
  <w:footnote w:id="750">
    <w:p w:rsidR="00FB7F86" w:rsidP="00F6109D" w:rsidRDefault="00FB7F86" w14:paraId="0A3CB709" w14:textId="47E3795F">
      <w:pPr>
        <w:pStyle w:val="FootnoteText"/>
      </w:pPr>
      <w:r>
        <w:rPr>
          <w:rStyle w:val="FootnoteReference"/>
        </w:rPr>
        <w:footnoteRef/>
      </w:r>
      <w:r>
        <w:t xml:space="preserve"> </w:t>
      </w:r>
      <w:r>
        <w:rPr>
          <w:i/>
          <w:iCs/>
        </w:rPr>
        <w:t>See, e.g.</w:t>
      </w:r>
      <w:r w:rsidRPr="00C84049">
        <w:t>,</w:t>
      </w:r>
      <w:r>
        <w:rPr>
          <w:i/>
          <w:iCs/>
        </w:rPr>
        <w:t xml:space="preserve"> </w:t>
      </w:r>
      <w:r>
        <w:t>APPA Comments (2018 RM18-9) at 2; New York Indicated Transmission Owners Comments (2018 RM18-9) at 17; Pacific Gas &amp; Electric Comments (2018 RM18-9) at 16.</w:t>
      </w:r>
    </w:p>
  </w:footnote>
  <w:footnote w:id="751">
    <w:p w:rsidR="00FB7F86" w:rsidP="00F6109D" w:rsidRDefault="00FB7F86" w14:paraId="564679BC" w14:textId="0D381740">
      <w:pPr>
        <w:pStyle w:val="FootnoteText"/>
      </w:pPr>
      <w:r>
        <w:rPr>
          <w:rStyle w:val="FootnoteReference"/>
        </w:rPr>
        <w:footnoteRef/>
      </w:r>
      <w:r>
        <w:t xml:space="preserve"> </w:t>
      </w:r>
      <w:r>
        <w:rPr>
          <w:i/>
          <w:iCs/>
        </w:rPr>
        <w:t>See, e.g.</w:t>
      </w:r>
      <w:r w:rsidRPr="00C84049">
        <w:t>,</w:t>
      </w:r>
      <w:r>
        <w:rPr>
          <w:i/>
          <w:iCs/>
        </w:rPr>
        <w:t xml:space="preserve"> </w:t>
      </w:r>
      <w:r>
        <w:t>APPA Comments (2018 RM18-9) at 6; California Commission Comments (2018 RM18-9) at 1-3, 12; Organization of MISO States Comments (2018 RM18-9) at 9; Pacific Gas &amp; Electric Comments (2018 RM18-9) at 16.</w:t>
      </w:r>
    </w:p>
  </w:footnote>
  <w:footnote w:id="752">
    <w:p w:rsidR="00FB7F86" w:rsidP="00F6109D" w:rsidRDefault="00FB7F86" w14:paraId="68B8F43E" w14:textId="7FFA78B7">
      <w:pPr>
        <w:pStyle w:val="FootnoteText"/>
      </w:pPr>
      <w:r>
        <w:rPr>
          <w:rStyle w:val="FootnoteReference"/>
        </w:rPr>
        <w:footnoteRef/>
      </w:r>
      <w:r>
        <w:t xml:space="preserve"> APPA Comments (2018 RM18-9) at 4.</w:t>
      </w:r>
    </w:p>
  </w:footnote>
  <w:footnote w:id="753">
    <w:p w:rsidR="00FB7F86" w:rsidP="00F6109D" w:rsidRDefault="00FB7F86" w14:paraId="0D49846B" w14:textId="77777777">
      <w:pPr>
        <w:pStyle w:val="FootnoteText"/>
      </w:pPr>
      <w:r>
        <w:rPr>
          <w:rStyle w:val="FootnoteReference"/>
        </w:rPr>
        <w:footnoteRef/>
      </w:r>
      <w:r>
        <w:t xml:space="preserve"> CAISO Comments (2018 RM18-9) at 13-14.</w:t>
      </w:r>
    </w:p>
  </w:footnote>
  <w:footnote w:id="754">
    <w:p w:rsidR="00FB7F86" w:rsidP="00F6109D" w:rsidRDefault="00FB7F86" w14:paraId="5869A8A1" w14:textId="6AE9BEE9">
      <w:pPr>
        <w:pStyle w:val="FootnoteText"/>
      </w:pPr>
      <w:r>
        <w:rPr>
          <w:rStyle w:val="FootnoteReference"/>
        </w:rPr>
        <w:footnoteRef/>
      </w:r>
      <w:r>
        <w:t xml:space="preserve"> </w:t>
      </w:r>
      <w:r>
        <w:rPr>
          <w:i/>
          <w:iCs/>
        </w:rPr>
        <w:t>Id.</w:t>
      </w:r>
      <w:r>
        <w:t xml:space="preserve"> at 14.</w:t>
      </w:r>
    </w:p>
  </w:footnote>
  <w:footnote w:id="755">
    <w:p w:rsidR="00FB7F86" w:rsidP="00F6109D" w:rsidRDefault="00FB7F86" w14:paraId="68770553" w14:textId="77777777">
      <w:pPr>
        <w:pStyle w:val="FootnoteText"/>
      </w:pPr>
      <w:r>
        <w:rPr>
          <w:rStyle w:val="FootnoteReference"/>
        </w:rPr>
        <w:footnoteRef/>
      </w:r>
      <w:r>
        <w:t xml:space="preserve"> Advanced Energy Management Comments (2018 RM18-9) at 18.</w:t>
      </w:r>
    </w:p>
  </w:footnote>
  <w:footnote w:id="756">
    <w:p w:rsidR="00FB7F86" w:rsidP="00F6109D" w:rsidRDefault="00FB7F86" w14:paraId="39141D04" w14:textId="77777777">
      <w:pPr>
        <w:pStyle w:val="FootnoteText"/>
      </w:pPr>
      <w:r>
        <w:rPr>
          <w:rStyle w:val="FootnoteReference"/>
        </w:rPr>
        <w:footnoteRef/>
      </w:r>
      <w:r>
        <w:t xml:space="preserve"> Icetec Comments (2018 RM18-9) at 16.</w:t>
      </w:r>
    </w:p>
  </w:footnote>
  <w:footnote w:id="757">
    <w:p w:rsidR="00FB7F86" w:rsidP="00F6109D" w:rsidRDefault="00FB7F86" w14:paraId="53A9F074" w14:textId="244DCE4F">
      <w:pPr>
        <w:pStyle w:val="FootnoteText"/>
      </w:pPr>
      <w:r>
        <w:rPr>
          <w:rStyle w:val="FootnoteReference"/>
        </w:rPr>
        <w:footnoteRef/>
      </w:r>
      <w:r>
        <w:t xml:space="preserve"> </w:t>
      </w:r>
      <w:r>
        <w:rPr>
          <w:i/>
          <w:iCs/>
        </w:rPr>
        <w:t>Id.</w:t>
      </w:r>
      <w:r>
        <w:t xml:space="preserve"> at 18-19.</w:t>
      </w:r>
    </w:p>
  </w:footnote>
  <w:footnote w:id="758">
    <w:p w:rsidRPr="00F11D3D" w:rsidR="00FB7F86" w:rsidP="00F6109D" w:rsidRDefault="00FB7F86" w14:paraId="00895D8D" w14:textId="77777777">
      <w:pPr>
        <w:pStyle w:val="FootnoteText"/>
        <w:rPr>
          <w:szCs w:val="26"/>
        </w:rPr>
      </w:pPr>
      <w:r w:rsidRPr="00F11D3D">
        <w:rPr>
          <w:rStyle w:val="FootnoteReference"/>
          <w:szCs w:val="26"/>
        </w:rPr>
        <w:footnoteRef/>
      </w:r>
      <w:r w:rsidRPr="00F11D3D">
        <w:rPr>
          <w:szCs w:val="26"/>
        </w:rPr>
        <w:t xml:space="preserve"> APPA </w:t>
      </w:r>
      <w:r>
        <w:rPr>
          <w:szCs w:val="26"/>
        </w:rPr>
        <w:t>Comments (2018 RM18-9)</w:t>
      </w:r>
      <w:r w:rsidRPr="00F11D3D">
        <w:rPr>
          <w:szCs w:val="26"/>
        </w:rPr>
        <w:t xml:space="preserve"> at 2.</w:t>
      </w:r>
    </w:p>
  </w:footnote>
  <w:footnote w:id="759">
    <w:p w:rsidR="00FB7F86" w:rsidP="00DE4B99" w:rsidRDefault="00FB7F86" w14:paraId="35806DEB" w14:textId="77777777">
      <w:pPr>
        <w:pStyle w:val="FootnoteText"/>
      </w:pPr>
      <w:r w:rsidRPr="00F11D3D">
        <w:rPr>
          <w:rStyle w:val="FootnoteReference"/>
          <w:szCs w:val="26"/>
        </w:rPr>
        <w:footnoteRef/>
      </w:r>
      <w:r w:rsidRPr="00F11D3D">
        <w:rPr>
          <w:szCs w:val="26"/>
        </w:rPr>
        <w:t xml:space="preserve"> Indiana Commission </w:t>
      </w:r>
      <w:r>
        <w:rPr>
          <w:szCs w:val="26"/>
        </w:rPr>
        <w:t>Comments (2018 RM18-9)</w:t>
      </w:r>
      <w:r w:rsidRPr="00F11D3D">
        <w:rPr>
          <w:szCs w:val="26"/>
        </w:rPr>
        <w:t xml:space="preserve"> at 2.</w:t>
      </w:r>
    </w:p>
  </w:footnote>
  <w:footnote w:id="760">
    <w:p w:rsidR="00FB7F86" w:rsidRDefault="00FB7F86" w14:paraId="1B05A438" w14:textId="77777777">
      <w:pPr>
        <w:pStyle w:val="FootnoteText"/>
      </w:pPr>
      <w:r>
        <w:rPr>
          <w:rStyle w:val="FootnoteReference"/>
        </w:rPr>
        <w:footnoteRef/>
      </w:r>
      <w:r>
        <w:t xml:space="preserve"> </w:t>
      </w:r>
      <w:r w:rsidRPr="00D04208">
        <w:t>PJM Utilities Coalition Comments (2018 RM18-9) at 10.</w:t>
      </w:r>
    </w:p>
  </w:footnote>
  <w:footnote w:id="761">
    <w:p w:rsidR="00FB7F86" w:rsidP="00F6109D" w:rsidRDefault="00FB7F86" w14:paraId="7DDE4F38" w14:textId="77777777">
      <w:pPr>
        <w:pStyle w:val="FootnoteText"/>
      </w:pPr>
      <w:r>
        <w:rPr>
          <w:rStyle w:val="FootnoteReference"/>
        </w:rPr>
        <w:footnoteRef/>
      </w:r>
      <w:r>
        <w:t xml:space="preserve"> California Commission Comments (2018 RM18-9) at 10-11.</w:t>
      </w:r>
    </w:p>
  </w:footnote>
  <w:footnote w:id="762">
    <w:p w:rsidR="00FB7F86" w:rsidP="0035666D" w:rsidRDefault="00FB7F86" w14:paraId="6850B124" w14:textId="77777777">
      <w:pPr>
        <w:pStyle w:val="FootnoteText"/>
      </w:pPr>
      <w:r>
        <w:rPr>
          <w:rStyle w:val="FootnoteReference"/>
        </w:rPr>
        <w:footnoteRef/>
      </w:r>
      <w:r>
        <w:t xml:space="preserve"> CAISO Comments (2018 RM18-9) at 14.</w:t>
      </w:r>
    </w:p>
  </w:footnote>
  <w:footnote w:id="763">
    <w:p w:rsidRPr="00716CDF" w:rsidR="00FB7F86" w:rsidP="00B373D3" w:rsidRDefault="00FB7F86" w14:paraId="1A1C1874" w14:textId="50D753E6">
      <w:pPr>
        <w:pStyle w:val="FootnoteText"/>
        <w:rPr>
          <w:szCs w:val="26"/>
        </w:rPr>
      </w:pPr>
      <w:r w:rsidRPr="00716CDF">
        <w:rPr>
          <w:rStyle w:val="FootnoteReference"/>
          <w:szCs w:val="26"/>
        </w:rPr>
        <w:footnoteRef/>
      </w:r>
      <w:r>
        <w:rPr>
          <w:szCs w:val="26"/>
        </w:rPr>
        <w:t xml:space="preserve"> NOPR, 157 FERC ¶ 61,121 at P 155</w:t>
      </w:r>
      <w:r w:rsidRPr="00716CDF">
        <w:rPr>
          <w:szCs w:val="26"/>
        </w:rPr>
        <w:t>.</w:t>
      </w:r>
    </w:p>
  </w:footnote>
  <w:footnote w:id="764">
    <w:p w:rsidRPr="00285593" w:rsidR="00FB7F86" w:rsidP="00B373D3" w:rsidRDefault="00FB7F86" w14:paraId="30D69203" w14:textId="77777777">
      <w:pPr>
        <w:pStyle w:val="FootnoteText"/>
      </w:pPr>
      <w:r w:rsidRPr="00D377EB">
        <w:rPr>
          <w:b/>
          <w:vertAlign w:val="superscript"/>
        </w:rPr>
        <w:footnoteRef/>
      </w:r>
      <w:r w:rsidRPr="00D377EB">
        <w:t xml:space="preserve"> </w:t>
      </w:r>
      <w:r>
        <w:t>Technical Conference Transcript at 388.</w:t>
      </w:r>
    </w:p>
  </w:footnote>
  <w:footnote w:id="765">
    <w:p w:rsidR="00FB7F86" w:rsidP="00B373D3" w:rsidRDefault="00FB7F86" w14:paraId="3ACAED6F" w14:textId="77777777">
      <w:pPr>
        <w:pStyle w:val="FootnoteText"/>
      </w:pPr>
      <w:r>
        <w:rPr>
          <w:rStyle w:val="FootnoteReference"/>
        </w:rPr>
        <w:footnoteRef/>
      </w:r>
      <w:r>
        <w:t xml:space="preserve"> R Street Comments (RM16-23) at 10-11.</w:t>
      </w:r>
    </w:p>
  </w:footnote>
  <w:footnote w:id="766">
    <w:p w:rsidRPr="00D377EB" w:rsidR="00FB7F86" w:rsidP="00B373D3" w:rsidRDefault="00FB7F86" w14:paraId="16038D26" w14:textId="77777777">
      <w:pPr>
        <w:pStyle w:val="FootnoteText"/>
      </w:pPr>
      <w:r w:rsidRPr="00D377EB">
        <w:rPr>
          <w:b/>
          <w:vertAlign w:val="superscript"/>
        </w:rPr>
        <w:footnoteRef/>
      </w:r>
      <w:r w:rsidRPr="00D377EB">
        <w:t xml:space="preserve"> </w:t>
      </w:r>
      <w:r>
        <w:t>Stem Comments (2018 RM18-9) at 7-8.</w:t>
      </w:r>
    </w:p>
  </w:footnote>
  <w:footnote w:id="767">
    <w:p w:rsidRPr="00D377EB" w:rsidR="00FB7F86" w:rsidP="00B373D3" w:rsidRDefault="00FB7F86" w14:paraId="214AABC5" w14:textId="77777777">
      <w:pPr>
        <w:pStyle w:val="FootnoteText"/>
      </w:pPr>
      <w:r w:rsidRPr="00D377EB">
        <w:rPr>
          <w:b/>
          <w:vertAlign w:val="superscript"/>
        </w:rPr>
        <w:footnoteRef/>
      </w:r>
      <w:r w:rsidRPr="00D377EB">
        <w:t xml:space="preserve"> </w:t>
      </w:r>
      <w:r w:rsidRPr="00663C7E">
        <w:t xml:space="preserve">PJM </w:t>
      </w:r>
      <w:r>
        <w:t>Comments (2018 RM18-9) at 19-21, 24</w:t>
      </w:r>
      <w:r w:rsidRPr="00D377EB">
        <w:t>.</w:t>
      </w:r>
    </w:p>
  </w:footnote>
  <w:footnote w:id="768">
    <w:p w:rsidR="00FB7F86" w:rsidP="00B373D3" w:rsidRDefault="00FB7F86" w14:paraId="19806FBA" w14:textId="60F686A0">
      <w:pPr>
        <w:pStyle w:val="FootnoteText"/>
      </w:pPr>
      <w:r>
        <w:rPr>
          <w:rStyle w:val="FootnoteReference"/>
        </w:rPr>
        <w:footnoteRef/>
      </w:r>
      <w:r>
        <w:t xml:space="preserve"> CAISO Comments (RM16-23) at 39-51.</w:t>
      </w:r>
    </w:p>
  </w:footnote>
  <w:footnote w:id="769">
    <w:p w:rsidRPr="00716CDF" w:rsidR="00FB7F86" w:rsidP="00B373D3" w:rsidRDefault="00FB7F86" w14:paraId="6F4AF780" w14:textId="2FFC7CC5">
      <w:pPr>
        <w:pStyle w:val="FootnoteText"/>
        <w:rPr>
          <w:szCs w:val="26"/>
        </w:rPr>
      </w:pPr>
      <w:r w:rsidRPr="00716CDF">
        <w:rPr>
          <w:rStyle w:val="FootnoteReference"/>
          <w:szCs w:val="26"/>
        </w:rPr>
        <w:footnoteRef/>
      </w:r>
      <w:r w:rsidRPr="00716CDF">
        <w:rPr>
          <w:szCs w:val="26"/>
        </w:rPr>
        <w:t xml:space="preserve"> </w:t>
      </w:r>
      <w:r w:rsidRPr="00583142">
        <w:rPr>
          <w:i/>
          <w:szCs w:val="26"/>
        </w:rPr>
        <w:t>See, e.g.</w:t>
      </w:r>
      <w:r w:rsidRPr="00716CDF">
        <w:rPr>
          <w:szCs w:val="26"/>
        </w:rPr>
        <w:t xml:space="preserve">, </w:t>
      </w:r>
      <w:r>
        <w:rPr>
          <w:i/>
          <w:iCs/>
        </w:rPr>
        <w:t>id.</w:t>
      </w:r>
      <w:r>
        <w:t xml:space="preserve"> </w:t>
      </w:r>
      <w:r w:rsidRPr="00716CDF">
        <w:rPr>
          <w:szCs w:val="26"/>
        </w:rPr>
        <w:t xml:space="preserve">at 39; Institute for Policy Integrity Comments </w:t>
      </w:r>
      <w:r>
        <w:t xml:space="preserve">(RM16-23) </w:t>
      </w:r>
      <w:r w:rsidRPr="00716CDF">
        <w:rPr>
          <w:szCs w:val="26"/>
        </w:rPr>
        <w:t>at 9</w:t>
      </w:r>
      <w:r>
        <w:rPr>
          <w:szCs w:val="26"/>
        </w:rPr>
        <w:t xml:space="preserve">; </w:t>
      </w:r>
      <w:r w:rsidRPr="00716CDF">
        <w:rPr>
          <w:szCs w:val="26"/>
        </w:rPr>
        <w:t xml:space="preserve">NYISO </w:t>
      </w:r>
      <w:r>
        <w:rPr>
          <w:szCs w:val="26"/>
        </w:rPr>
        <w:t xml:space="preserve">Comments </w:t>
      </w:r>
      <w:r>
        <w:t xml:space="preserve">(RM16-23) </w:t>
      </w:r>
      <w:r w:rsidRPr="00716CDF">
        <w:rPr>
          <w:szCs w:val="26"/>
        </w:rPr>
        <w:t xml:space="preserve">at 19. </w:t>
      </w:r>
    </w:p>
  </w:footnote>
  <w:footnote w:id="770">
    <w:p w:rsidRPr="00716CDF" w:rsidR="00FB7F86" w:rsidP="00B373D3" w:rsidRDefault="00FB7F86" w14:paraId="2A05EDE6" w14:textId="6DE28C6E">
      <w:pPr>
        <w:pStyle w:val="FootnoteText"/>
        <w:rPr>
          <w:szCs w:val="26"/>
        </w:rPr>
      </w:pPr>
      <w:r w:rsidRPr="00716CDF">
        <w:rPr>
          <w:rStyle w:val="FootnoteReference"/>
          <w:szCs w:val="26"/>
        </w:rPr>
        <w:footnoteRef/>
      </w:r>
      <w:r w:rsidRPr="00716CDF">
        <w:rPr>
          <w:szCs w:val="26"/>
        </w:rPr>
        <w:t xml:space="preserve"> Pacific Gas &amp; Electric</w:t>
      </w:r>
      <w:r>
        <w:rPr>
          <w:szCs w:val="26"/>
        </w:rPr>
        <w:t xml:space="preserve"> Comments</w:t>
      </w:r>
      <w:r w:rsidRPr="00716CDF">
        <w:rPr>
          <w:szCs w:val="26"/>
        </w:rPr>
        <w:t xml:space="preserve"> </w:t>
      </w:r>
      <w:r>
        <w:t xml:space="preserve">(RM16-23) </w:t>
      </w:r>
      <w:r w:rsidRPr="00716CDF">
        <w:rPr>
          <w:szCs w:val="26"/>
        </w:rPr>
        <w:t>at 21.</w:t>
      </w:r>
    </w:p>
  </w:footnote>
  <w:footnote w:id="771">
    <w:p w:rsidRPr="00716CDF" w:rsidR="00FB7F86" w:rsidP="00B373D3" w:rsidRDefault="00FB7F86" w14:paraId="408468E5" w14:textId="48D38419">
      <w:pPr>
        <w:pStyle w:val="FootnoteText"/>
        <w:rPr>
          <w:szCs w:val="26"/>
        </w:rPr>
      </w:pPr>
      <w:r w:rsidRPr="00716CDF">
        <w:rPr>
          <w:rStyle w:val="FootnoteReference"/>
          <w:szCs w:val="26"/>
        </w:rPr>
        <w:footnoteRef/>
      </w:r>
      <w:r w:rsidRPr="00716CDF">
        <w:rPr>
          <w:szCs w:val="26"/>
        </w:rPr>
        <w:t xml:space="preserve"> R Street Institute </w:t>
      </w:r>
      <w:r>
        <w:rPr>
          <w:szCs w:val="26"/>
        </w:rPr>
        <w:t xml:space="preserve">Comments </w:t>
      </w:r>
      <w:r>
        <w:t>(RM16-23)</w:t>
      </w:r>
      <w:r w:rsidDel="00060455">
        <w:t xml:space="preserve"> </w:t>
      </w:r>
      <w:r w:rsidRPr="00716CDF">
        <w:rPr>
          <w:szCs w:val="26"/>
        </w:rPr>
        <w:t>at 10.</w:t>
      </w:r>
    </w:p>
  </w:footnote>
  <w:footnote w:id="772">
    <w:p w:rsidRPr="00716CDF" w:rsidR="00FB7F86" w:rsidP="00B373D3" w:rsidRDefault="00FB7F86" w14:paraId="32B8F8F3" w14:textId="757F9622">
      <w:pPr>
        <w:pStyle w:val="FootnoteText"/>
        <w:rPr>
          <w:szCs w:val="26"/>
        </w:rPr>
      </w:pPr>
      <w:r w:rsidRPr="00716CDF">
        <w:rPr>
          <w:rStyle w:val="FootnoteReference"/>
          <w:szCs w:val="26"/>
        </w:rPr>
        <w:footnoteRef/>
      </w:r>
      <w:r w:rsidRPr="00716CDF">
        <w:rPr>
          <w:szCs w:val="26"/>
        </w:rPr>
        <w:t xml:space="preserve"> </w:t>
      </w:r>
      <w:r w:rsidRPr="00716CDF">
        <w:rPr>
          <w:color w:val="000000"/>
          <w:szCs w:val="26"/>
        </w:rPr>
        <w:t>E4TheFuture</w:t>
      </w:r>
      <w:r>
        <w:rPr>
          <w:color w:val="000000"/>
          <w:szCs w:val="26"/>
        </w:rPr>
        <w:t xml:space="preserve"> Comments</w:t>
      </w:r>
      <w:r w:rsidRPr="00716CDF">
        <w:rPr>
          <w:color w:val="000000"/>
          <w:szCs w:val="26"/>
        </w:rPr>
        <w:t xml:space="preserve"> </w:t>
      </w:r>
      <w:r>
        <w:t xml:space="preserve">(RM16-23) </w:t>
      </w:r>
      <w:r w:rsidRPr="00716CDF">
        <w:rPr>
          <w:color w:val="000000"/>
          <w:szCs w:val="26"/>
        </w:rPr>
        <w:t xml:space="preserve">at 2.   </w:t>
      </w:r>
    </w:p>
  </w:footnote>
  <w:footnote w:id="773">
    <w:p w:rsidRPr="00D377EB" w:rsidR="00FB7F86" w:rsidP="00B373D3" w:rsidRDefault="00FB7F86" w14:paraId="372AF385" w14:textId="77777777">
      <w:pPr>
        <w:pStyle w:val="FootnoteText"/>
      </w:pPr>
      <w:r w:rsidRPr="00D377EB">
        <w:rPr>
          <w:b/>
          <w:vertAlign w:val="superscript"/>
        </w:rPr>
        <w:footnoteRef/>
      </w:r>
      <w:r w:rsidRPr="00D377EB">
        <w:t xml:space="preserve"> Public Interest Organizations </w:t>
      </w:r>
      <w:r>
        <w:t>Comments (2018 RM18-9</w:t>
      </w:r>
      <w:r w:rsidRPr="00D377EB">
        <w:t>) at 11-12.</w:t>
      </w:r>
    </w:p>
  </w:footnote>
  <w:footnote w:id="774">
    <w:p w:rsidRPr="00D377EB" w:rsidR="00FB7F86" w:rsidP="00B373D3" w:rsidRDefault="00FB7F86" w14:paraId="05CCFAC7" w14:textId="77777777">
      <w:pPr>
        <w:pStyle w:val="FootnoteText"/>
      </w:pPr>
      <w:r w:rsidRPr="00D377EB">
        <w:rPr>
          <w:b/>
          <w:vertAlign w:val="superscript"/>
        </w:rPr>
        <w:footnoteRef/>
      </w:r>
      <w:r w:rsidRPr="00D377EB">
        <w:t xml:space="preserve"> Lorenzo Kristov </w:t>
      </w:r>
      <w:r>
        <w:t>Comments (2018 RM18-9</w:t>
      </w:r>
      <w:r w:rsidRPr="00D377EB">
        <w:t>) at 16-17.</w:t>
      </w:r>
    </w:p>
  </w:footnote>
  <w:footnote w:id="775">
    <w:p w:rsidR="00FB7F86" w:rsidP="00B373D3" w:rsidRDefault="00FB7F86" w14:paraId="23BD6662" w14:textId="77777777">
      <w:pPr>
        <w:pStyle w:val="FootnoteText"/>
      </w:pPr>
      <w:r>
        <w:rPr>
          <w:rStyle w:val="FootnoteReference"/>
        </w:rPr>
        <w:footnoteRef/>
      </w:r>
      <w:r>
        <w:t xml:space="preserve"> California Commission Comments (2018 RM18-9) at 12.</w:t>
      </w:r>
    </w:p>
  </w:footnote>
  <w:footnote w:id="776">
    <w:p w:rsidR="00FB7F86" w:rsidP="0018598A" w:rsidRDefault="00FB7F86" w14:paraId="2FD5D20D" w14:textId="3E11F280">
      <w:pPr>
        <w:pStyle w:val="FootnoteText"/>
      </w:pPr>
      <w:r>
        <w:rPr>
          <w:rStyle w:val="FootnoteReference"/>
        </w:rPr>
        <w:footnoteRef/>
      </w:r>
      <w:r>
        <w:t xml:space="preserve"> </w:t>
      </w:r>
      <w:r>
        <w:rPr>
          <w:i/>
          <w:iCs/>
        </w:rPr>
        <w:t>Id.</w:t>
      </w:r>
      <w:r>
        <w:t xml:space="preserve"> P 149.</w:t>
      </w:r>
    </w:p>
  </w:footnote>
  <w:footnote w:id="777">
    <w:p w:rsidRPr="00B56E60" w:rsidR="00FB7F86" w:rsidP="0018598A" w:rsidRDefault="00FB7F86" w14:paraId="38E80195" w14:textId="7A41A6A1">
      <w:pPr>
        <w:pStyle w:val="FootnoteText"/>
      </w:pPr>
      <w:r>
        <w:rPr>
          <w:rStyle w:val="FootnoteReference"/>
        </w:rPr>
        <w:footnoteRef/>
      </w:r>
      <w:r>
        <w:t xml:space="preserve"> </w:t>
      </w:r>
      <w:r>
        <w:rPr>
          <w:i/>
        </w:rPr>
        <w:t>See supra</w:t>
      </w:r>
      <w:r>
        <w:t xml:space="preserve"> </w:t>
      </w:r>
      <w:bookmarkStart w:name="_Hlk37772717" w:id="131"/>
      <w:r>
        <w:t>Section IV.H.2</w:t>
      </w:r>
      <w:r w:rsidRPr="00934B4A">
        <w:t xml:space="preserve"> </w:t>
      </w:r>
      <w:r>
        <w:t>(</w:t>
      </w:r>
      <w:r w:rsidRPr="00934B4A">
        <w:t>Role of Distribution Utilities</w:t>
      </w:r>
      <w:bookmarkEnd w:id="131"/>
      <w:r>
        <w:t>)</w:t>
      </w:r>
      <w:r w:rsidRPr="00934B4A">
        <w:t>.</w:t>
      </w:r>
    </w:p>
  </w:footnote>
  <w:footnote w:id="778">
    <w:p w:rsidR="00FB7F86" w:rsidP="0018598A" w:rsidRDefault="00FB7F86" w14:paraId="37918832" w14:textId="77777777">
      <w:pPr>
        <w:pStyle w:val="FootnoteText"/>
      </w:pPr>
      <w:r>
        <w:rPr>
          <w:rStyle w:val="FootnoteReference"/>
        </w:rPr>
        <w:footnoteRef/>
      </w:r>
      <w:r>
        <w:t xml:space="preserve"> NOPR, 157 FERC ¶ 61,121 at P 154.</w:t>
      </w:r>
    </w:p>
  </w:footnote>
  <w:footnote w:id="779">
    <w:p w:rsidR="00FB7F86" w:rsidP="0018598A" w:rsidRDefault="00FB7F86" w14:paraId="6522C28C" w14:textId="2450A4FC">
      <w:pPr>
        <w:pStyle w:val="FootnoteText"/>
      </w:pPr>
      <w:r>
        <w:rPr>
          <w:rStyle w:val="FootnoteReference"/>
        </w:rPr>
        <w:footnoteRef/>
      </w:r>
      <w:r>
        <w:t xml:space="preserve"> </w:t>
      </w:r>
      <w:r>
        <w:rPr>
          <w:i/>
          <w:iCs/>
        </w:rPr>
        <w:t>See, e.g.</w:t>
      </w:r>
      <w:r w:rsidRPr="009D6184">
        <w:t>,</w:t>
      </w:r>
      <w:r>
        <w:rPr>
          <w:i/>
          <w:iCs/>
        </w:rPr>
        <w:t xml:space="preserve"> </w:t>
      </w:r>
      <w:r w:rsidRPr="00407052">
        <w:rPr>
          <w:szCs w:val="26"/>
        </w:rPr>
        <w:t>Advanced Microgrid Solutions</w:t>
      </w:r>
      <w:r>
        <w:t xml:space="preserve"> Comments (RM16-23) </w:t>
      </w:r>
      <w:r w:rsidRPr="00407052">
        <w:rPr>
          <w:szCs w:val="26"/>
        </w:rPr>
        <w:t>at 8; Avangrid</w:t>
      </w:r>
      <w:r>
        <w:t xml:space="preserve"> Comments (RM16-23)</w:t>
      </w:r>
      <w:r w:rsidRPr="00407052">
        <w:rPr>
          <w:szCs w:val="26"/>
        </w:rPr>
        <w:t xml:space="preserve"> at 13; C</w:t>
      </w:r>
      <w:r>
        <w:rPr>
          <w:szCs w:val="26"/>
        </w:rPr>
        <w:t>A</w:t>
      </w:r>
      <w:r w:rsidRPr="00407052">
        <w:rPr>
          <w:szCs w:val="26"/>
        </w:rPr>
        <w:t>ISO</w:t>
      </w:r>
      <w:r>
        <w:t xml:space="preserve"> Comments (RM16-23)</w:t>
      </w:r>
      <w:r w:rsidRPr="00407052">
        <w:rPr>
          <w:szCs w:val="26"/>
        </w:rPr>
        <w:t xml:space="preserve"> at 35-37; City of New York</w:t>
      </w:r>
      <w:r>
        <w:t xml:space="preserve"> Comments (RM16-23)</w:t>
      </w:r>
      <w:r w:rsidRPr="00407052">
        <w:rPr>
          <w:szCs w:val="26"/>
        </w:rPr>
        <w:t xml:space="preserve"> at 9-10; EEI</w:t>
      </w:r>
      <w:r>
        <w:rPr>
          <w:szCs w:val="26"/>
        </w:rPr>
        <w:t xml:space="preserve"> Comments</w:t>
      </w:r>
      <w:r>
        <w:t xml:space="preserve"> (RM16-23)</w:t>
      </w:r>
      <w:r w:rsidRPr="00407052">
        <w:rPr>
          <w:szCs w:val="26"/>
        </w:rPr>
        <w:t xml:space="preserve"> at 32-33.</w:t>
      </w:r>
    </w:p>
  </w:footnote>
  <w:footnote w:id="780">
    <w:p w:rsidR="00FB7F86" w:rsidP="0018598A" w:rsidRDefault="00FB7F86" w14:paraId="018E73A4" w14:textId="77777777">
      <w:pPr>
        <w:pStyle w:val="FootnoteText"/>
      </w:pPr>
      <w:r>
        <w:rPr>
          <w:rStyle w:val="FootnoteReference"/>
        </w:rPr>
        <w:footnoteRef/>
      </w:r>
      <w:r>
        <w:t xml:space="preserve"> </w:t>
      </w:r>
      <w:r w:rsidRPr="00FD3CEC">
        <w:rPr>
          <w:szCs w:val="26"/>
        </w:rPr>
        <w:t>University of Delaware</w:t>
      </w:r>
      <w:r>
        <w:rPr>
          <w:szCs w:val="26"/>
        </w:rPr>
        <w:t>’s</w:t>
      </w:r>
      <w:r w:rsidRPr="00FD3CEC">
        <w:rPr>
          <w:szCs w:val="26"/>
        </w:rPr>
        <w:t xml:space="preserve"> EV </w:t>
      </w:r>
      <w:r>
        <w:rPr>
          <w:szCs w:val="26"/>
        </w:rPr>
        <w:t xml:space="preserve">R&amp;D </w:t>
      </w:r>
      <w:r w:rsidRPr="00FD3CEC">
        <w:rPr>
          <w:szCs w:val="26"/>
        </w:rPr>
        <w:t xml:space="preserve">Group </w:t>
      </w:r>
      <w:r>
        <w:rPr>
          <w:szCs w:val="26"/>
        </w:rPr>
        <w:t>Comments (2018 RM18-9)</w:t>
      </w:r>
      <w:r w:rsidRPr="00FD3CEC">
        <w:rPr>
          <w:szCs w:val="26"/>
        </w:rPr>
        <w:t xml:space="preserve"> at 2.</w:t>
      </w:r>
    </w:p>
  </w:footnote>
  <w:footnote w:id="781">
    <w:p w:rsidR="00FB7F86" w:rsidP="0018598A" w:rsidRDefault="00FB7F86" w14:paraId="50F71AF1" w14:textId="77777777">
      <w:pPr>
        <w:pStyle w:val="FootnoteText"/>
      </w:pPr>
      <w:r>
        <w:rPr>
          <w:rStyle w:val="FootnoteReference"/>
        </w:rPr>
        <w:footnoteRef/>
      </w:r>
      <w:r>
        <w:t xml:space="preserve"> </w:t>
      </w:r>
      <w:r w:rsidRPr="00407052">
        <w:rPr>
          <w:szCs w:val="26"/>
        </w:rPr>
        <w:t>NYISO</w:t>
      </w:r>
      <w:r>
        <w:t xml:space="preserve"> </w:t>
      </w:r>
      <w:r w:rsidRPr="00407052">
        <w:rPr>
          <w:szCs w:val="26"/>
        </w:rPr>
        <w:t xml:space="preserve">Comments </w:t>
      </w:r>
      <w:r>
        <w:t>(RM16-23)</w:t>
      </w:r>
      <w:r w:rsidRPr="00407052">
        <w:rPr>
          <w:szCs w:val="26"/>
        </w:rPr>
        <w:t xml:space="preserve"> at 18.</w:t>
      </w:r>
    </w:p>
  </w:footnote>
  <w:footnote w:id="782">
    <w:p w:rsidR="00FB7F86" w:rsidP="0018598A" w:rsidRDefault="00FB7F86" w14:paraId="32D16A84" w14:textId="4F300097">
      <w:pPr>
        <w:pStyle w:val="FootnoteText"/>
      </w:pPr>
      <w:r>
        <w:rPr>
          <w:rStyle w:val="FootnoteReference"/>
        </w:rPr>
        <w:footnoteRef/>
      </w:r>
      <w:r>
        <w:t xml:space="preserve"> </w:t>
      </w:r>
      <w:r>
        <w:rPr>
          <w:i/>
          <w:iCs/>
        </w:rPr>
        <w:t>See, e.g.</w:t>
      </w:r>
      <w:r w:rsidRPr="009D6184">
        <w:t>,</w:t>
      </w:r>
      <w:r>
        <w:rPr>
          <w:i/>
          <w:iCs/>
        </w:rPr>
        <w:t xml:space="preserve"> </w:t>
      </w:r>
      <w:r w:rsidRPr="00407052">
        <w:rPr>
          <w:szCs w:val="26"/>
        </w:rPr>
        <w:t>APPA/NRECA</w:t>
      </w:r>
      <w:r>
        <w:t xml:space="preserve"> </w:t>
      </w:r>
      <w:r w:rsidRPr="00407052">
        <w:rPr>
          <w:szCs w:val="26"/>
        </w:rPr>
        <w:t xml:space="preserve">Comments </w:t>
      </w:r>
      <w:r>
        <w:t>(RM16-23)</w:t>
      </w:r>
      <w:r w:rsidRPr="00407052">
        <w:rPr>
          <w:szCs w:val="26"/>
        </w:rPr>
        <w:t xml:space="preserve"> at 45; EEI</w:t>
      </w:r>
      <w:r>
        <w:t xml:space="preserve"> </w:t>
      </w:r>
      <w:r w:rsidRPr="00407052">
        <w:rPr>
          <w:szCs w:val="26"/>
        </w:rPr>
        <w:t xml:space="preserve">Comments </w:t>
      </w:r>
      <w:r>
        <w:t>(RM16-23)</w:t>
      </w:r>
      <w:r w:rsidRPr="00407052">
        <w:rPr>
          <w:szCs w:val="26"/>
        </w:rPr>
        <w:t xml:space="preserve"> at 32-33; Mensah</w:t>
      </w:r>
      <w:r>
        <w:t xml:space="preserve"> </w:t>
      </w:r>
      <w:r w:rsidRPr="00407052">
        <w:rPr>
          <w:szCs w:val="26"/>
        </w:rPr>
        <w:t xml:space="preserve">Comments </w:t>
      </w:r>
      <w:r>
        <w:t>(RM16-23)</w:t>
      </w:r>
      <w:r w:rsidRPr="00407052">
        <w:rPr>
          <w:szCs w:val="26"/>
        </w:rPr>
        <w:t xml:space="preserve"> at 4; MISO Transmission Owners</w:t>
      </w:r>
      <w:r>
        <w:t xml:space="preserve"> </w:t>
      </w:r>
      <w:r w:rsidRPr="00407052">
        <w:rPr>
          <w:szCs w:val="26"/>
        </w:rPr>
        <w:t xml:space="preserve">Comments </w:t>
      </w:r>
      <w:r>
        <w:t>(RM16-23)</w:t>
      </w:r>
      <w:r w:rsidRPr="00407052">
        <w:rPr>
          <w:szCs w:val="26"/>
        </w:rPr>
        <w:t xml:space="preserve"> at 23; NYISO</w:t>
      </w:r>
      <w:r>
        <w:t xml:space="preserve"> Comments (RM16-23)</w:t>
      </w:r>
      <w:r w:rsidRPr="00407052">
        <w:rPr>
          <w:szCs w:val="26"/>
        </w:rPr>
        <w:t xml:space="preserve"> at 18.</w:t>
      </w:r>
    </w:p>
  </w:footnote>
  <w:footnote w:id="783">
    <w:p w:rsidR="00FB7F86" w:rsidP="0018598A" w:rsidRDefault="00FB7F86" w14:paraId="26F01C87" w14:textId="77777777">
      <w:pPr>
        <w:pStyle w:val="FootnoteText"/>
      </w:pPr>
      <w:r>
        <w:rPr>
          <w:rStyle w:val="FootnoteReference"/>
        </w:rPr>
        <w:footnoteRef/>
      </w:r>
      <w:r>
        <w:t xml:space="preserve"> Mensah Comments (RM16-23) at 4.</w:t>
      </w:r>
    </w:p>
  </w:footnote>
  <w:footnote w:id="784">
    <w:p w:rsidR="00FB7F86" w:rsidP="0018598A" w:rsidRDefault="00FB7F86" w14:paraId="648320F6" w14:textId="77777777">
      <w:pPr>
        <w:pStyle w:val="FootnoteText"/>
      </w:pPr>
      <w:r>
        <w:rPr>
          <w:rStyle w:val="FootnoteReference"/>
        </w:rPr>
        <w:footnoteRef/>
      </w:r>
      <w:r>
        <w:t xml:space="preserve"> Stem Comments (RM16-23) at 15.</w:t>
      </w:r>
    </w:p>
  </w:footnote>
  <w:footnote w:id="785">
    <w:p w:rsidR="00FB7F86" w:rsidP="0018598A" w:rsidRDefault="00FB7F86" w14:paraId="159466DE" w14:textId="77777777">
      <w:pPr>
        <w:pStyle w:val="FootnoteText"/>
      </w:pPr>
      <w:r>
        <w:rPr>
          <w:rStyle w:val="FootnoteReference"/>
        </w:rPr>
        <w:footnoteRef/>
      </w:r>
      <w:r>
        <w:t xml:space="preserve"> Avangrid Comments (RM16-23) at 12-13; CAISO Comments (RM16-23) at 34-35; Dominion Comments (RM16-23) at 11; Mensah Comments (RM16-23) at 4; Pacific Gas &amp; Electric Comments (RM16-23) at 20.</w:t>
      </w:r>
    </w:p>
  </w:footnote>
  <w:footnote w:id="786">
    <w:p w:rsidR="00FB7F86" w:rsidP="0018598A" w:rsidRDefault="00FB7F86" w14:paraId="793B22E5" w14:textId="77777777">
      <w:pPr>
        <w:pStyle w:val="FootnoteText"/>
      </w:pPr>
      <w:r>
        <w:rPr>
          <w:rStyle w:val="FootnoteReference"/>
        </w:rPr>
        <w:footnoteRef/>
      </w:r>
      <w:r>
        <w:t xml:space="preserve"> Dominion Comments (RM16-23) at 11.</w:t>
      </w:r>
    </w:p>
  </w:footnote>
  <w:footnote w:id="787">
    <w:p w:rsidRPr="00493105" w:rsidR="00FB7F86" w:rsidP="00FB6D4C" w:rsidRDefault="00FB7F86" w14:paraId="72E9571D" w14:textId="378705DF">
      <w:pPr>
        <w:pStyle w:val="FootnoteText"/>
      </w:pPr>
      <w:r>
        <w:rPr>
          <w:rStyle w:val="FootnoteReference"/>
        </w:rPr>
        <w:footnoteRef/>
      </w:r>
      <w:r>
        <w:t xml:space="preserve"> </w:t>
      </w:r>
      <w:r w:rsidRPr="001F710B">
        <w:rPr>
          <w:i/>
        </w:rPr>
        <w:t>See supra</w:t>
      </w:r>
      <w:r>
        <w:t xml:space="preserve"> </w:t>
      </w:r>
      <w:r w:rsidRPr="00493105">
        <w:t>Section IV.F</w:t>
      </w:r>
      <w:r>
        <w:t xml:space="preserve"> (</w:t>
      </w:r>
      <w:r w:rsidRPr="00493105">
        <w:t>Information and Data Requirement</w:t>
      </w:r>
      <w:r>
        <w:t>s).</w:t>
      </w:r>
    </w:p>
  </w:footnote>
  <w:footnote w:id="788">
    <w:p w:rsidR="00FB7F86" w:rsidP="00FB6D4C" w:rsidRDefault="00FB7F86" w14:paraId="7CBFE486" w14:textId="00982BE1">
      <w:pPr>
        <w:pStyle w:val="FootnoteText"/>
      </w:pPr>
      <w:r w:rsidRPr="00493105">
        <w:rPr>
          <w:rStyle w:val="FootnoteReference"/>
        </w:rPr>
        <w:footnoteRef/>
      </w:r>
      <w:r w:rsidRPr="00493105">
        <w:t xml:space="preserve"> </w:t>
      </w:r>
      <w:r w:rsidRPr="00493105">
        <w:rPr>
          <w:i/>
        </w:rPr>
        <w:t>See supra</w:t>
      </w:r>
      <w:r w:rsidRPr="00493105">
        <w:t xml:space="preserve"> Section IV.H.2</w:t>
      </w:r>
      <w:r>
        <w:t xml:space="preserve"> (</w:t>
      </w:r>
      <w:r w:rsidRPr="00493105">
        <w:t>Role of Distribution Utilities</w:t>
      </w:r>
      <w:r>
        <w:t>).</w:t>
      </w:r>
    </w:p>
  </w:footnote>
  <w:footnote w:id="789">
    <w:p w:rsidR="00FB7F86" w:rsidP="0018598A" w:rsidRDefault="00FB7F86" w14:paraId="6CB699A2" w14:textId="77777777">
      <w:pPr>
        <w:pStyle w:val="FootnoteText"/>
        <w:spacing w:after="120"/>
        <w:contextualSpacing/>
        <w:rPr>
          <w:szCs w:val="26"/>
        </w:rPr>
      </w:pPr>
      <w:r w:rsidRPr="00407052">
        <w:rPr>
          <w:rStyle w:val="FootnoteReference"/>
        </w:rPr>
        <w:footnoteRef/>
      </w:r>
      <w:r w:rsidRPr="00407052">
        <w:rPr>
          <w:szCs w:val="26"/>
        </w:rPr>
        <w:t xml:space="preserve"> NOPR</w:t>
      </w:r>
      <w:r>
        <w:rPr>
          <w:szCs w:val="26"/>
        </w:rPr>
        <w:t>, 157 FERC ¶ 61,121</w:t>
      </w:r>
      <w:r w:rsidRPr="00407052">
        <w:rPr>
          <w:szCs w:val="26"/>
        </w:rPr>
        <w:t xml:space="preserve"> at P</w:t>
      </w:r>
      <w:r>
        <w:rPr>
          <w:szCs w:val="26"/>
        </w:rPr>
        <w:t> </w:t>
      </w:r>
      <w:r w:rsidRPr="00407052">
        <w:rPr>
          <w:szCs w:val="26"/>
        </w:rPr>
        <w:t>148.</w:t>
      </w:r>
    </w:p>
    <w:p w:rsidRPr="00407052" w:rsidR="00FB7F86" w:rsidP="0018598A" w:rsidRDefault="00FB7F86" w14:paraId="3430D22A" w14:textId="77777777">
      <w:pPr>
        <w:pStyle w:val="FootnoteText"/>
        <w:spacing w:after="120"/>
        <w:contextualSpacing/>
        <w:rPr>
          <w:szCs w:val="26"/>
        </w:rPr>
      </w:pPr>
    </w:p>
  </w:footnote>
  <w:footnote w:id="790">
    <w:p w:rsidRPr="00AC2C0A" w:rsidR="00FB7F86" w:rsidP="00BF6E15" w:rsidRDefault="00FB7F86" w14:paraId="2FE148ED" w14:textId="0F5E09FA">
      <w:pPr>
        <w:pStyle w:val="FootnoteText"/>
      </w:pPr>
      <w:r>
        <w:rPr>
          <w:rStyle w:val="FootnoteReference"/>
        </w:rPr>
        <w:footnoteRef/>
      </w:r>
      <w:r>
        <w:t xml:space="preserve"> </w:t>
      </w:r>
      <w:r w:rsidRPr="00A2228F">
        <w:rPr>
          <w:i/>
          <w:iCs/>
        </w:rPr>
        <w:t>See supra</w:t>
      </w:r>
      <w:r w:rsidRPr="00A2228F">
        <w:t xml:space="preserve"> P 99</w:t>
      </w:r>
      <w:r>
        <w:t>.</w:t>
      </w:r>
    </w:p>
  </w:footnote>
  <w:footnote w:id="791">
    <w:p w:rsidR="00FB7F86" w:rsidP="00B373D3" w:rsidRDefault="00FB7F86" w14:paraId="34E2AE5F" w14:textId="3A101F93">
      <w:pPr>
        <w:pStyle w:val="FootnoteText"/>
        <w:spacing w:after="120"/>
        <w:contextualSpacing/>
        <w:rPr>
          <w:szCs w:val="26"/>
        </w:rPr>
      </w:pPr>
      <w:r w:rsidRPr="00407052">
        <w:rPr>
          <w:rStyle w:val="FootnoteReference"/>
        </w:rPr>
        <w:footnoteRef/>
      </w:r>
      <w:r w:rsidRPr="00407052">
        <w:rPr>
          <w:szCs w:val="26"/>
        </w:rPr>
        <w:t xml:space="preserve"> NOPR</w:t>
      </w:r>
      <w:r>
        <w:rPr>
          <w:szCs w:val="26"/>
        </w:rPr>
        <w:t>, 157 FERC ¶ 61,121</w:t>
      </w:r>
      <w:r w:rsidRPr="00407052">
        <w:rPr>
          <w:szCs w:val="26"/>
        </w:rPr>
        <w:t xml:space="preserve"> at P</w:t>
      </w:r>
      <w:r>
        <w:rPr>
          <w:szCs w:val="26"/>
        </w:rPr>
        <w:t> </w:t>
      </w:r>
      <w:r w:rsidRPr="00407052">
        <w:rPr>
          <w:szCs w:val="26"/>
        </w:rPr>
        <w:t>157.</w:t>
      </w:r>
    </w:p>
    <w:p w:rsidRPr="00407052" w:rsidR="00FB7F86" w:rsidP="00B373D3" w:rsidRDefault="00FB7F86" w14:paraId="774849E0" w14:textId="77777777">
      <w:pPr>
        <w:pStyle w:val="FootnoteText"/>
        <w:spacing w:after="120"/>
        <w:contextualSpacing/>
        <w:rPr>
          <w:szCs w:val="26"/>
        </w:rPr>
      </w:pPr>
    </w:p>
  </w:footnote>
  <w:footnote w:id="792">
    <w:p w:rsidR="00FB7F86" w:rsidP="00B373D3" w:rsidRDefault="00FB7F86" w14:paraId="2B470EA3" w14:textId="5AD93D44">
      <w:pPr>
        <w:pStyle w:val="FootnoteText"/>
        <w:spacing w:after="120"/>
        <w:contextualSpacing/>
        <w:rPr>
          <w:szCs w:val="26"/>
        </w:rPr>
      </w:pPr>
      <w:r w:rsidRPr="00407052">
        <w:rPr>
          <w:rStyle w:val="FootnoteReference"/>
        </w:rPr>
        <w:footnoteRef/>
      </w:r>
      <w:r w:rsidRPr="00407052">
        <w:rPr>
          <w:szCs w:val="26"/>
        </w:rPr>
        <w:t xml:space="preserve"> The Commission explained that this may include any laws or regulations of the relevant retail regulatory authority that do not permit demand response resources to participate in RTO/ISO markets as the Commission considered in Order No. 719.  </w:t>
      </w:r>
      <w:r>
        <w:rPr>
          <w:i/>
          <w:iCs/>
          <w:szCs w:val="26"/>
        </w:rPr>
        <w:t>Id.</w:t>
      </w:r>
      <w:r>
        <w:rPr>
          <w:szCs w:val="26"/>
        </w:rPr>
        <w:t xml:space="preserve"> </w:t>
      </w:r>
      <w:r w:rsidRPr="00407052">
        <w:rPr>
          <w:szCs w:val="26"/>
        </w:rPr>
        <w:t xml:space="preserve">n.238 (citing Order No. 719, </w:t>
      </w:r>
      <w:r w:rsidRPr="007E5E1F">
        <w:t>125 FERC ¶</w:t>
      </w:r>
      <w:r>
        <w:t> </w:t>
      </w:r>
      <w:r w:rsidRPr="007E5E1F">
        <w:t>61,071</w:t>
      </w:r>
      <w:r w:rsidRPr="00407052">
        <w:rPr>
          <w:szCs w:val="26"/>
        </w:rPr>
        <w:t xml:space="preserve"> at P</w:t>
      </w:r>
      <w:r>
        <w:rPr>
          <w:szCs w:val="26"/>
        </w:rPr>
        <w:t> </w:t>
      </w:r>
      <w:r w:rsidRPr="00407052">
        <w:rPr>
          <w:szCs w:val="26"/>
        </w:rPr>
        <w:t>154).</w:t>
      </w:r>
    </w:p>
    <w:p w:rsidRPr="00407052" w:rsidR="00FB7F86" w:rsidP="00B373D3" w:rsidRDefault="00FB7F86" w14:paraId="60094B38" w14:textId="77777777">
      <w:pPr>
        <w:pStyle w:val="FootnoteText"/>
        <w:spacing w:after="120"/>
        <w:contextualSpacing/>
        <w:rPr>
          <w:szCs w:val="26"/>
        </w:rPr>
      </w:pPr>
    </w:p>
  </w:footnote>
  <w:footnote w:id="793">
    <w:p w:rsidRPr="00407052" w:rsidR="00FB7F86" w:rsidP="00B373D3" w:rsidRDefault="00FB7F86" w14:paraId="5F979289" w14:textId="1DABDFBF">
      <w:pPr>
        <w:pStyle w:val="FootnoteText"/>
      </w:pPr>
      <w:r w:rsidRPr="00407052">
        <w:rPr>
          <w:rStyle w:val="FootnoteReference"/>
        </w:rPr>
        <w:footnoteRef/>
      </w:r>
      <w:r w:rsidRPr="00407052">
        <w:t xml:space="preserve"> </w:t>
      </w:r>
      <w:r>
        <w:rPr>
          <w:i/>
          <w:iCs/>
          <w:szCs w:val="26"/>
        </w:rPr>
        <w:t>Id.</w:t>
      </w:r>
      <w:r w:rsidRPr="00407052">
        <w:t xml:space="preserve"> P</w:t>
      </w:r>
      <w:r>
        <w:t> </w:t>
      </w:r>
      <w:r w:rsidRPr="00407052">
        <w:t>158.</w:t>
      </w:r>
    </w:p>
  </w:footnote>
  <w:footnote w:id="794">
    <w:p w:rsidR="00FB7F86" w:rsidRDefault="00FB7F86" w14:paraId="5159487B" w14:textId="77777777">
      <w:pPr>
        <w:pStyle w:val="FootnoteText"/>
      </w:pPr>
      <w:r>
        <w:rPr>
          <w:rStyle w:val="FootnoteReference"/>
        </w:rPr>
        <w:footnoteRef/>
      </w:r>
      <w:r>
        <w:t xml:space="preserve"> </w:t>
      </w:r>
      <w:r w:rsidRPr="00177CA8">
        <w:rPr>
          <w:i/>
          <w:szCs w:val="26"/>
        </w:rPr>
        <w:t>See</w:t>
      </w:r>
      <w:r w:rsidRPr="00DE70CD">
        <w:rPr>
          <w:szCs w:val="26"/>
        </w:rPr>
        <w:t xml:space="preserve"> </w:t>
      </w:r>
      <w:r w:rsidRPr="00177CA8">
        <w:rPr>
          <w:szCs w:val="26"/>
        </w:rPr>
        <w:t>Notice Inviting Post-Technical Conference Comments</w:t>
      </w:r>
      <w:r>
        <w:rPr>
          <w:szCs w:val="26"/>
        </w:rPr>
        <w:t xml:space="preserve"> at 6.</w:t>
      </w:r>
    </w:p>
  </w:footnote>
  <w:footnote w:id="795">
    <w:p w:rsidRPr="00BA4B76" w:rsidR="00FB7F86" w:rsidP="00B373D3" w:rsidRDefault="00FB7F86" w14:paraId="0BAFB566" w14:textId="5B7D6F0B">
      <w:pPr>
        <w:pStyle w:val="FootnoteText"/>
        <w:rPr>
          <w:szCs w:val="26"/>
        </w:rPr>
      </w:pPr>
      <w:r w:rsidRPr="00BA4B76">
        <w:rPr>
          <w:rStyle w:val="FootnoteReference"/>
        </w:rPr>
        <w:footnoteRef/>
      </w:r>
      <w:r w:rsidRPr="00BA4B76">
        <w:rPr>
          <w:szCs w:val="26"/>
        </w:rPr>
        <w:t xml:space="preserve"> </w:t>
      </w:r>
      <w:r>
        <w:rPr>
          <w:i/>
          <w:iCs/>
        </w:rPr>
        <w:t>See, e.g.</w:t>
      </w:r>
      <w:r w:rsidRPr="009D6184">
        <w:t>,</w:t>
      </w:r>
      <w:r>
        <w:rPr>
          <w:i/>
          <w:iCs/>
        </w:rPr>
        <w:t xml:space="preserve"> </w:t>
      </w:r>
      <w:r w:rsidRPr="00BA4B76">
        <w:rPr>
          <w:szCs w:val="26"/>
        </w:rPr>
        <w:t xml:space="preserve">APPA/NRECA </w:t>
      </w:r>
      <w:r>
        <w:rPr>
          <w:szCs w:val="26"/>
        </w:rPr>
        <w:t>Comments (RM16-23) at</w:t>
      </w:r>
      <w:r w:rsidRPr="00BA4B76">
        <w:rPr>
          <w:szCs w:val="26"/>
        </w:rPr>
        <w:t xml:space="preserve"> </w:t>
      </w:r>
      <w:r w:rsidRPr="002A1AFE">
        <w:rPr>
          <w:szCs w:val="26"/>
        </w:rPr>
        <w:t xml:space="preserve">46; </w:t>
      </w:r>
      <w:r w:rsidRPr="00FD3CEC">
        <w:rPr>
          <w:szCs w:val="26"/>
        </w:rPr>
        <w:t xml:space="preserve">California Commission </w:t>
      </w:r>
      <w:r>
        <w:rPr>
          <w:szCs w:val="26"/>
        </w:rPr>
        <w:t>Comments (2018 RM18-9) at</w:t>
      </w:r>
      <w:r w:rsidRPr="00FD3CEC">
        <w:rPr>
          <w:szCs w:val="26"/>
        </w:rPr>
        <w:t xml:space="preserve"> 7</w:t>
      </w:r>
      <w:r>
        <w:rPr>
          <w:szCs w:val="26"/>
        </w:rPr>
        <w:t xml:space="preserve">; Mensah Comments (RM16-23) at 4; </w:t>
      </w:r>
      <w:r w:rsidRPr="00BA4B76">
        <w:rPr>
          <w:szCs w:val="26"/>
        </w:rPr>
        <w:t xml:space="preserve">NYISO </w:t>
      </w:r>
      <w:r>
        <w:rPr>
          <w:szCs w:val="26"/>
        </w:rPr>
        <w:t>Comments (RM16-23) at</w:t>
      </w:r>
      <w:r w:rsidRPr="00BA4B76">
        <w:rPr>
          <w:szCs w:val="26"/>
        </w:rPr>
        <w:t xml:space="preserve"> 20; </w:t>
      </w:r>
      <w:r w:rsidRPr="00237791">
        <w:rPr>
          <w:szCs w:val="26"/>
        </w:rPr>
        <w:t xml:space="preserve">PJM </w:t>
      </w:r>
      <w:r>
        <w:rPr>
          <w:szCs w:val="26"/>
        </w:rPr>
        <w:t>Comments (RM16-23) at</w:t>
      </w:r>
      <w:r w:rsidRPr="00237791">
        <w:rPr>
          <w:szCs w:val="26"/>
        </w:rPr>
        <w:t xml:space="preserve"> 28-2</w:t>
      </w:r>
      <w:r>
        <w:rPr>
          <w:szCs w:val="26"/>
        </w:rPr>
        <w:t xml:space="preserve">9; </w:t>
      </w:r>
      <w:r w:rsidRPr="00187A09">
        <w:rPr>
          <w:szCs w:val="26"/>
        </w:rPr>
        <w:t xml:space="preserve">SoCal Edison </w:t>
      </w:r>
      <w:r>
        <w:rPr>
          <w:szCs w:val="26"/>
        </w:rPr>
        <w:t>Comments (2018 RM18-9) at</w:t>
      </w:r>
      <w:r w:rsidRPr="00187A09">
        <w:rPr>
          <w:szCs w:val="26"/>
        </w:rPr>
        <w:t xml:space="preserve"> 2</w:t>
      </w:r>
      <w:r>
        <w:rPr>
          <w:szCs w:val="26"/>
        </w:rPr>
        <w:t>, 10-11.</w:t>
      </w:r>
    </w:p>
  </w:footnote>
  <w:footnote w:id="796">
    <w:p w:rsidR="00FB7F86" w:rsidP="00B373D3" w:rsidRDefault="00FB7F86" w14:paraId="6ECEB5BC" w14:textId="778E7F0C">
      <w:pPr>
        <w:pStyle w:val="FootnoteText"/>
      </w:pPr>
      <w:r>
        <w:rPr>
          <w:rStyle w:val="FootnoteReference"/>
        </w:rPr>
        <w:footnoteRef/>
      </w:r>
      <w:r>
        <w:t xml:space="preserve"> </w:t>
      </w:r>
      <w:r w:rsidRPr="00237791">
        <w:rPr>
          <w:szCs w:val="26"/>
        </w:rPr>
        <w:t xml:space="preserve">ISO-NE </w:t>
      </w:r>
      <w:r>
        <w:rPr>
          <w:szCs w:val="26"/>
        </w:rPr>
        <w:t>Comments (RM16-23) at</w:t>
      </w:r>
      <w:r w:rsidRPr="00237791">
        <w:rPr>
          <w:szCs w:val="26"/>
        </w:rPr>
        <w:t xml:space="preserve"> </w:t>
      </w:r>
      <w:r>
        <w:rPr>
          <w:szCs w:val="26"/>
        </w:rPr>
        <w:t>56-</w:t>
      </w:r>
      <w:r w:rsidRPr="00237791">
        <w:rPr>
          <w:szCs w:val="26"/>
        </w:rPr>
        <w:t>57.</w:t>
      </w:r>
    </w:p>
  </w:footnote>
  <w:footnote w:id="797">
    <w:p w:rsidRPr="00FD3CEC" w:rsidR="00FB7F86" w:rsidP="00B373D3" w:rsidRDefault="00FB7F86" w14:paraId="3BF1C02D" w14:textId="77777777">
      <w:pPr>
        <w:pStyle w:val="FootnoteText"/>
        <w:rPr>
          <w:szCs w:val="26"/>
        </w:rPr>
      </w:pPr>
      <w:r w:rsidRPr="00FD3CEC">
        <w:rPr>
          <w:rStyle w:val="FootnoteReference"/>
        </w:rPr>
        <w:footnoteRef/>
      </w:r>
      <w:r w:rsidRPr="00FD3CEC">
        <w:rPr>
          <w:szCs w:val="26"/>
        </w:rPr>
        <w:t xml:space="preserve"> New York Commission </w:t>
      </w:r>
      <w:r>
        <w:rPr>
          <w:szCs w:val="26"/>
        </w:rPr>
        <w:t>Comments (2018 RM18-9) at</w:t>
      </w:r>
      <w:r w:rsidRPr="00FD3CEC">
        <w:rPr>
          <w:szCs w:val="26"/>
        </w:rPr>
        <w:t xml:space="preserve"> 13.</w:t>
      </w:r>
    </w:p>
  </w:footnote>
  <w:footnote w:id="798">
    <w:p w:rsidRPr="00C32FCB" w:rsidR="00FB7F86" w:rsidP="00B373D3" w:rsidRDefault="00FB7F86" w14:paraId="446659E9" w14:textId="77777777">
      <w:pPr>
        <w:pStyle w:val="FootnoteText"/>
        <w:rPr>
          <w:szCs w:val="26"/>
        </w:rPr>
      </w:pPr>
      <w:r w:rsidRPr="00C32FCB">
        <w:rPr>
          <w:rStyle w:val="FootnoteReference"/>
        </w:rPr>
        <w:footnoteRef/>
      </w:r>
      <w:r w:rsidRPr="00C32FCB">
        <w:rPr>
          <w:szCs w:val="26"/>
        </w:rPr>
        <w:t xml:space="preserve"> Organization of MISO States </w:t>
      </w:r>
      <w:r>
        <w:rPr>
          <w:szCs w:val="26"/>
        </w:rPr>
        <w:t>Comments (2018 RM18-9) at</w:t>
      </w:r>
      <w:r w:rsidRPr="00C32FCB">
        <w:rPr>
          <w:szCs w:val="26"/>
        </w:rPr>
        <w:t xml:space="preserve"> 4.</w:t>
      </w:r>
    </w:p>
  </w:footnote>
  <w:footnote w:id="799">
    <w:p w:rsidRPr="00187A09" w:rsidR="00FB7F86" w:rsidP="00B373D3" w:rsidRDefault="00FB7F86" w14:paraId="25941823" w14:textId="5A916CB1">
      <w:pPr>
        <w:pStyle w:val="FootnoteText"/>
        <w:rPr>
          <w:szCs w:val="26"/>
        </w:rPr>
      </w:pPr>
      <w:r w:rsidRPr="00187A09">
        <w:rPr>
          <w:rStyle w:val="FootnoteReference"/>
        </w:rPr>
        <w:footnoteRef/>
      </w:r>
      <w:r w:rsidRPr="00187A09">
        <w:rPr>
          <w:szCs w:val="26"/>
        </w:rPr>
        <w:t xml:space="preserve"> </w:t>
      </w:r>
      <w:r>
        <w:rPr>
          <w:i/>
          <w:iCs/>
          <w:szCs w:val="26"/>
        </w:rPr>
        <w:t>Id.</w:t>
      </w:r>
      <w:r>
        <w:rPr>
          <w:szCs w:val="26"/>
        </w:rPr>
        <w:t xml:space="preserve"> at</w:t>
      </w:r>
      <w:r w:rsidRPr="00187A09">
        <w:rPr>
          <w:szCs w:val="26"/>
        </w:rPr>
        <w:t xml:space="preserve"> </w:t>
      </w:r>
      <w:r>
        <w:rPr>
          <w:szCs w:val="26"/>
        </w:rPr>
        <w:t>4-</w:t>
      </w:r>
      <w:r w:rsidRPr="00187A09">
        <w:rPr>
          <w:szCs w:val="26"/>
        </w:rPr>
        <w:t>5.</w:t>
      </w:r>
    </w:p>
  </w:footnote>
  <w:footnote w:id="800">
    <w:p w:rsidRPr="00407052" w:rsidR="00FB7F86" w:rsidP="00B373D3" w:rsidRDefault="00FB7F86" w14:paraId="3D6EBE0C" w14:textId="77777777">
      <w:pPr>
        <w:pStyle w:val="FootnoteText"/>
      </w:pPr>
      <w:r w:rsidRPr="00407052">
        <w:rPr>
          <w:rStyle w:val="FootnoteReference"/>
        </w:rPr>
        <w:footnoteRef/>
      </w:r>
      <w:r w:rsidRPr="00407052">
        <w:t xml:space="preserve"> AES Companies Comments </w:t>
      </w:r>
      <w:r>
        <w:rPr>
          <w:szCs w:val="26"/>
        </w:rPr>
        <w:t xml:space="preserve">(RM16-23) </w:t>
      </w:r>
      <w:r w:rsidRPr="00407052">
        <w:t>at 12-13, 49.</w:t>
      </w:r>
    </w:p>
  </w:footnote>
  <w:footnote w:id="801">
    <w:p w:rsidRPr="00407052" w:rsidR="00FB7F86" w:rsidP="00B373D3" w:rsidRDefault="00FB7F86" w14:paraId="5C7DA933" w14:textId="77777777">
      <w:pPr>
        <w:pStyle w:val="FootnoteText"/>
      </w:pPr>
      <w:r w:rsidRPr="00407052">
        <w:rPr>
          <w:rStyle w:val="FootnoteReference"/>
        </w:rPr>
        <w:footnoteRef/>
      </w:r>
      <w:r w:rsidRPr="00407052">
        <w:t xml:space="preserve"> Pacific Gas &amp; Electric Comments </w:t>
      </w:r>
      <w:r>
        <w:rPr>
          <w:szCs w:val="26"/>
        </w:rPr>
        <w:t xml:space="preserve">(RM16-23) </w:t>
      </w:r>
      <w:r w:rsidRPr="00407052">
        <w:t>at 24-26.</w:t>
      </w:r>
    </w:p>
  </w:footnote>
  <w:footnote w:id="802">
    <w:p w:rsidRPr="00407052" w:rsidR="00FB7F86" w:rsidP="00A2228F" w:rsidRDefault="00FB7F86" w14:paraId="5BD0F75F" w14:textId="67CF94C1">
      <w:pPr>
        <w:pStyle w:val="FootnoteText"/>
        <w:widowControl/>
      </w:pPr>
      <w:r w:rsidRPr="00407052">
        <w:rPr>
          <w:rStyle w:val="FootnoteReference"/>
        </w:rPr>
        <w:footnoteRef/>
      </w:r>
      <w:r w:rsidRPr="00407052">
        <w:t xml:space="preserve"> APPA/NRECA Comments </w:t>
      </w:r>
      <w:r>
        <w:rPr>
          <w:szCs w:val="26"/>
        </w:rPr>
        <w:t xml:space="preserve">(RM16-23) </w:t>
      </w:r>
      <w:r w:rsidRPr="00407052">
        <w:t xml:space="preserve">at 46-47; MISO Transmission Owner Comments </w:t>
      </w:r>
      <w:r>
        <w:rPr>
          <w:szCs w:val="26"/>
        </w:rPr>
        <w:t xml:space="preserve">(RM16-23) </w:t>
      </w:r>
      <w:r w:rsidRPr="00407052">
        <w:t>at 26-27.</w:t>
      </w:r>
    </w:p>
  </w:footnote>
  <w:footnote w:id="803">
    <w:p w:rsidRPr="00407052" w:rsidR="00FB7F86" w:rsidP="00B373D3" w:rsidRDefault="00FB7F86" w14:paraId="7AAEDC49" w14:textId="77777777">
      <w:pPr>
        <w:pStyle w:val="FootnoteText"/>
      </w:pPr>
      <w:r w:rsidRPr="00407052">
        <w:rPr>
          <w:rStyle w:val="FootnoteReference"/>
        </w:rPr>
        <w:footnoteRef/>
      </w:r>
      <w:r w:rsidRPr="00407052">
        <w:t xml:space="preserve"> CAISO Comments </w:t>
      </w:r>
      <w:r>
        <w:rPr>
          <w:szCs w:val="26"/>
        </w:rPr>
        <w:t xml:space="preserve">(RM16-23) </w:t>
      </w:r>
      <w:r w:rsidRPr="00407052">
        <w:t>at 51-52.</w:t>
      </w:r>
    </w:p>
  </w:footnote>
  <w:footnote w:id="804">
    <w:p w:rsidRPr="00407052" w:rsidR="00FB7F86" w:rsidP="001C642E" w:rsidRDefault="00FB7F86" w14:paraId="37F2255F" w14:textId="77777777">
      <w:pPr>
        <w:pStyle w:val="FootnoteText"/>
      </w:pPr>
      <w:r w:rsidRPr="00407052">
        <w:rPr>
          <w:rStyle w:val="FootnoteReference"/>
        </w:rPr>
        <w:footnoteRef/>
      </w:r>
      <w:r w:rsidRPr="00407052">
        <w:t xml:space="preserve"> </w:t>
      </w:r>
      <w:r>
        <w:rPr>
          <w:i/>
          <w:iCs/>
        </w:rPr>
        <w:t>Id.</w:t>
      </w:r>
      <w:r w:rsidRPr="00407052">
        <w:t xml:space="preserve">; ISO-NE Comments </w:t>
      </w:r>
      <w:r>
        <w:rPr>
          <w:szCs w:val="26"/>
        </w:rPr>
        <w:t xml:space="preserve">(RM16-23) </w:t>
      </w:r>
      <w:r w:rsidRPr="00407052">
        <w:t xml:space="preserve">at 56-57; MISO Comments </w:t>
      </w:r>
      <w:r>
        <w:rPr>
          <w:szCs w:val="26"/>
        </w:rPr>
        <w:t xml:space="preserve">(RM16-23) </w:t>
      </w:r>
      <w:r w:rsidRPr="00407052">
        <w:t xml:space="preserve">at 26-27; NYISO Comments </w:t>
      </w:r>
      <w:r>
        <w:rPr>
          <w:szCs w:val="26"/>
        </w:rPr>
        <w:t xml:space="preserve">(RM16-23) </w:t>
      </w:r>
      <w:r w:rsidRPr="00407052">
        <w:t xml:space="preserve">at 20; PJM Comments </w:t>
      </w:r>
      <w:r>
        <w:rPr>
          <w:szCs w:val="26"/>
        </w:rPr>
        <w:t xml:space="preserve">(RM16-23) </w:t>
      </w:r>
      <w:r w:rsidRPr="00407052">
        <w:t>at 28-29.</w:t>
      </w:r>
    </w:p>
  </w:footnote>
  <w:footnote w:id="805">
    <w:p w:rsidR="00FB7F86" w:rsidP="00B373D3" w:rsidRDefault="00FB7F86" w14:paraId="11F4C294" w14:textId="2CE7D86F">
      <w:pPr>
        <w:pStyle w:val="FootnoteText"/>
      </w:pPr>
      <w:r w:rsidRPr="00237791">
        <w:rPr>
          <w:rStyle w:val="FootnoteReference"/>
        </w:rPr>
        <w:footnoteRef/>
      </w:r>
      <w:r>
        <w:t xml:space="preserve"> </w:t>
      </w:r>
      <w:r>
        <w:rPr>
          <w:i/>
          <w:iCs/>
        </w:rPr>
        <w:t xml:space="preserve">See </w:t>
      </w:r>
      <w:r w:rsidRPr="00716CDF">
        <w:rPr>
          <w:szCs w:val="26"/>
        </w:rPr>
        <w:t xml:space="preserve">Pacific Gas &amp; Electric </w:t>
      </w:r>
      <w:r>
        <w:rPr>
          <w:szCs w:val="26"/>
        </w:rPr>
        <w:t xml:space="preserve">Comments (RM16-23) </w:t>
      </w:r>
      <w:r w:rsidRPr="00716CDF">
        <w:rPr>
          <w:szCs w:val="26"/>
        </w:rPr>
        <w:t>at 24.</w:t>
      </w:r>
    </w:p>
  </w:footnote>
  <w:footnote w:id="806">
    <w:p w:rsidR="00FB7F86" w:rsidP="00B373D3" w:rsidRDefault="00FB7F86" w14:paraId="75D95FF5" w14:textId="77777777">
      <w:pPr>
        <w:pStyle w:val="FootnoteText"/>
      </w:pPr>
      <w:r w:rsidRPr="00716CDF">
        <w:rPr>
          <w:rStyle w:val="FootnoteReference"/>
        </w:rPr>
        <w:footnoteRef/>
      </w:r>
      <w:r>
        <w:t xml:space="preserve"> </w:t>
      </w:r>
      <w:r w:rsidRPr="00716CDF">
        <w:rPr>
          <w:szCs w:val="26"/>
        </w:rPr>
        <w:t xml:space="preserve">NARUC </w:t>
      </w:r>
      <w:r>
        <w:rPr>
          <w:szCs w:val="26"/>
        </w:rPr>
        <w:t>Comments (RM16-23) at</w:t>
      </w:r>
      <w:r w:rsidRPr="00716CDF">
        <w:rPr>
          <w:szCs w:val="26"/>
        </w:rPr>
        <w:t xml:space="preserve"> 5.</w:t>
      </w:r>
    </w:p>
  </w:footnote>
  <w:footnote w:id="807">
    <w:p w:rsidR="00FB7F86" w:rsidP="00312293" w:rsidRDefault="00FB7F86" w14:paraId="398E3195" w14:textId="77777777">
      <w:pPr>
        <w:pStyle w:val="FootnoteText"/>
      </w:pPr>
      <w:r w:rsidRPr="00237791">
        <w:rPr>
          <w:rStyle w:val="FootnoteReference"/>
        </w:rPr>
        <w:footnoteRef/>
      </w:r>
      <w:r>
        <w:t xml:space="preserve"> </w:t>
      </w:r>
      <w:r w:rsidRPr="00237791">
        <w:rPr>
          <w:szCs w:val="26"/>
        </w:rPr>
        <w:t xml:space="preserve">EEI </w:t>
      </w:r>
      <w:r>
        <w:rPr>
          <w:szCs w:val="26"/>
        </w:rPr>
        <w:t>Comments (RM16-23) at</w:t>
      </w:r>
      <w:r w:rsidRPr="00237791">
        <w:rPr>
          <w:szCs w:val="26"/>
        </w:rPr>
        <w:t xml:space="preserve"> 39.</w:t>
      </w:r>
    </w:p>
  </w:footnote>
  <w:footnote w:id="808">
    <w:p w:rsidR="00FB7F86" w:rsidP="00B373D3" w:rsidRDefault="00FB7F86" w14:paraId="2F43430D" w14:textId="77777777">
      <w:pPr>
        <w:pStyle w:val="FootnoteText"/>
      </w:pPr>
      <w:r w:rsidRPr="00716CDF">
        <w:rPr>
          <w:rStyle w:val="FootnoteReference"/>
        </w:rPr>
        <w:footnoteRef/>
      </w:r>
      <w:r>
        <w:t xml:space="preserve"> </w:t>
      </w:r>
      <w:r w:rsidRPr="00716CDF">
        <w:rPr>
          <w:szCs w:val="26"/>
        </w:rPr>
        <w:t xml:space="preserve">Xcel Energy Services </w:t>
      </w:r>
      <w:r>
        <w:rPr>
          <w:szCs w:val="26"/>
        </w:rPr>
        <w:t>Comments (RM16-23) at</w:t>
      </w:r>
      <w:r w:rsidRPr="00716CDF">
        <w:rPr>
          <w:szCs w:val="26"/>
        </w:rPr>
        <w:t xml:space="preserve"> 29.</w:t>
      </w:r>
    </w:p>
  </w:footnote>
  <w:footnote w:id="809">
    <w:p w:rsidR="00FB7F86" w:rsidP="00B373D3" w:rsidRDefault="00FB7F86" w14:paraId="5E991074" w14:textId="77777777">
      <w:pPr>
        <w:pStyle w:val="FootnoteText"/>
      </w:pPr>
      <w:r w:rsidRPr="00237791">
        <w:rPr>
          <w:rStyle w:val="FootnoteReference"/>
        </w:rPr>
        <w:footnoteRef/>
      </w:r>
      <w:r>
        <w:t xml:space="preserve"> </w:t>
      </w:r>
      <w:r>
        <w:rPr>
          <w:szCs w:val="26"/>
        </w:rPr>
        <w:t xml:space="preserve">PJM Comments (RM16-23) at </w:t>
      </w:r>
      <w:r w:rsidRPr="00237791">
        <w:rPr>
          <w:szCs w:val="26"/>
        </w:rPr>
        <w:t>29.</w:t>
      </w:r>
    </w:p>
  </w:footnote>
  <w:footnote w:id="810">
    <w:p w:rsidR="00FB7F86" w:rsidP="00B373D3" w:rsidRDefault="00FB7F86" w14:paraId="31192874" w14:textId="77777777">
      <w:pPr>
        <w:pStyle w:val="FootnoteText"/>
      </w:pPr>
      <w:r w:rsidRPr="00716CDF">
        <w:rPr>
          <w:rStyle w:val="FootnoteReference"/>
        </w:rPr>
        <w:footnoteRef/>
      </w:r>
      <w:r>
        <w:t xml:space="preserve"> </w:t>
      </w:r>
      <w:r w:rsidRPr="00716CDF">
        <w:rPr>
          <w:szCs w:val="26"/>
        </w:rPr>
        <w:t xml:space="preserve">Massachusetts Municipal Electric </w:t>
      </w:r>
      <w:r>
        <w:rPr>
          <w:szCs w:val="26"/>
        </w:rPr>
        <w:t>Comments (RM16-23) at</w:t>
      </w:r>
      <w:r w:rsidRPr="00716CDF">
        <w:rPr>
          <w:szCs w:val="26"/>
        </w:rPr>
        <w:t xml:space="preserve"> 5.</w:t>
      </w:r>
    </w:p>
  </w:footnote>
  <w:footnote w:id="811">
    <w:p w:rsidR="00FB7F86" w:rsidP="00B373D3" w:rsidRDefault="00FB7F86" w14:paraId="2D31BCB7" w14:textId="77777777">
      <w:pPr>
        <w:pStyle w:val="FootnoteText"/>
      </w:pPr>
      <w:r w:rsidRPr="00716CDF">
        <w:rPr>
          <w:rStyle w:val="FootnoteReference"/>
        </w:rPr>
        <w:footnoteRef/>
      </w:r>
      <w:r>
        <w:t xml:space="preserve"> </w:t>
      </w:r>
      <w:r w:rsidRPr="00716CDF">
        <w:rPr>
          <w:szCs w:val="26"/>
        </w:rPr>
        <w:t xml:space="preserve">Mensah </w:t>
      </w:r>
      <w:r>
        <w:rPr>
          <w:szCs w:val="26"/>
        </w:rPr>
        <w:t>Comments (RM16-23) at</w:t>
      </w:r>
      <w:r w:rsidRPr="00716CDF">
        <w:rPr>
          <w:szCs w:val="26"/>
        </w:rPr>
        <w:t xml:space="preserve"> 4.</w:t>
      </w:r>
    </w:p>
  </w:footnote>
  <w:footnote w:id="812">
    <w:p w:rsidR="00FB7F86" w:rsidP="00B373D3" w:rsidRDefault="00FB7F86" w14:paraId="68217266" w14:textId="77777777">
      <w:pPr>
        <w:pStyle w:val="FootnoteText"/>
      </w:pPr>
      <w:r w:rsidRPr="00237791">
        <w:rPr>
          <w:rStyle w:val="FootnoteReference"/>
        </w:rPr>
        <w:footnoteRef/>
      </w:r>
      <w:r>
        <w:t xml:space="preserve"> </w:t>
      </w:r>
      <w:r w:rsidRPr="00237791">
        <w:rPr>
          <w:szCs w:val="26"/>
        </w:rPr>
        <w:t xml:space="preserve">EEI </w:t>
      </w:r>
      <w:r>
        <w:rPr>
          <w:szCs w:val="26"/>
        </w:rPr>
        <w:t>Comments (RM16-23) at</w:t>
      </w:r>
      <w:r w:rsidRPr="00237791">
        <w:rPr>
          <w:szCs w:val="26"/>
        </w:rPr>
        <w:t xml:space="preserve"> 39.</w:t>
      </w:r>
    </w:p>
  </w:footnote>
  <w:footnote w:id="813">
    <w:p w:rsidR="00FB7F86" w:rsidP="00B373D3" w:rsidRDefault="00FB7F86" w14:paraId="662E9C8D" w14:textId="77777777">
      <w:pPr>
        <w:pStyle w:val="FootnoteText"/>
      </w:pPr>
      <w:r w:rsidRPr="006830F5">
        <w:rPr>
          <w:rStyle w:val="FootnoteReference"/>
        </w:rPr>
        <w:footnoteRef/>
      </w:r>
      <w:r>
        <w:t xml:space="preserve"> </w:t>
      </w:r>
      <w:r w:rsidRPr="006830F5">
        <w:rPr>
          <w:szCs w:val="26"/>
        </w:rPr>
        <w:t xml:space="preserve">AES Companies </w:t>
      </w:r>
      <w:r>
        <w:rPr>
          <w:szCs w:val="26"/>
        </w:rPr>
        <w:t>Comments (RM16-23) at</w:t>
      </w:r>
      <w:r w:rsidRPr="006830F5">
        <w:rPr>
          <w:szCs w:val="26"/>
        </w:rPr>
        <w:t xml:space="preserve"> 12-13.</w:t>
      </w:r>
    </w:p>
  </w:footnote>
  <w:footnote w:id="814">
    <w:p w:rsidR="00FB7F86" w:rsidP="00B373D3" w:rsidRDefault="00FB7F86" w14:paraId="2538C3D6" w14:textId="77777777">
      <w:pPr>
        <w:pStyle w:val="FootnoteText"/>
      </w:pPr>
      <w:r w:rsidRPr="00BA4B76">
        <w:rPr>
          <w:rStyle w:val="FootnoteReference"/>
        </w:rPr>
        <w:footnoteRef/>
      </w:r>
      <w:r>
        <w:t xml:space="preserve"> </w:t>
      </w:r>
      <w:r w:rsidRPr="00BA4B76">
        <w:rPr>
          <w:szCs w:val="26"/>
        </w:rPr>
        <w:t xml:space="preserve">Pacific Gas &amp; Electric </w:t>
      </w:r>
      <w:r>
        <w:rPr>
          <w:szCs w:val="26"/>
        </w:rPr>
        <w:t>Comments (RM16-23) at 24-25.</w:t>
      </w:r>
    </w:p>
  </w:footnote>
  <w:footnote w:id="815">
    <w:p w:rsidR="00FB7F86" w:rsidP="00B373D3" w:rsidRDefault="00FB7F86" w14:paraId="0DBDB0D4" w14:textId="77777777">
      <w:pPr>
        <w:pStyle w:val="FootnoteText"/>
      </w:pPr>
      <w:r w:rsidRPr="00716CDF">
        <w:rPr>
          <w:rStyle w:val="FootnoteReference"/>
        </w:rPr>
        <w:footnoteRef/>
      </w:r>
      <w:r>
        <w:t xml:space="preserve"> </w:t>
      </w:r>
      <w:r w:rsidRPr="00716CDF">
        <w:rPr>
          <w:szCs w:val="26"/>
        </w:rPr>
        <w:t xml:space="preserve">Avangrid </w:t>
      </w:r>
      <w:r>
        <w:rPr>
          <w:szCs w:val="26"/>
        </w:rPr>
        <w:t>Comments (RM16-23) at</w:t>
      </w:r>
      <w:r w:rsidRPr="00716CDF">
        <w:rPr>
          <w:szCs w:val="26"/>
        </w:rPr>
        <w:t xml:space="preserve"> 18.</w:t>
      </w:r>
    </w:p>
  </w:footnote>
  <w:footnote w:id="816">
    <w:p w:rsidR="00FB7F86" w:rsidP="00B373D3" w:rsidRDefault="00FB7F86" w14:paraId="41355E74" w14:textId="4F4876A0">
      <w:pPr>
        <w:pStyle w:val="FootnoteText"/>
      </w:pPr>
      <w:r w:rsidRPr="00716CDF">
        <w:rPr>
          <w:rStyle w:val="FootnoteReference"/>
        </w:rPr>
        <w:footnoteRef/>
      </w:r>
      <w:r>
        <w:t xml:space="preserve"> </w:t>
      </w:r>
      <w:r w:rsidRPr="00716CDF">
        <w:rPr>
          <w:szCs w:val="26"/>
        </w:rPr>
        <w:t xml:space="preserve">MISO Transmission Owners Comments </w:t>
      </w:r>
      <w:r>
        <w:rPr>
          <w:szCs w:val="26"/>
        </w:rPr>
        <w:t xml:space="preserve">(RM16-23) </w:t>
      </w:r>
      <w:r w:rsidRPr="00716CDF">
        <w:rPr>
          <w:szCs w:val="26"/>
        </w:rPr>
        <w:t>at 19 (citing NOPR</w:t>
      </w:r>
      <w:r>
        <w:t xml:space="preserve">, </w:t>
      </w:r>
      <w:r w:rsidRPr="00370A91">
        <w:t xml:space="preserve">157 FERC </w:t>
      </w:r>
      <w:r>
        <w:t>¶ </w:t>
      </w:r>
      <w:r w:rsidRPr="00370A91">
        <w:t>61,121</w:t>
      </w:r>
      <w:r w:rsidRPr="00716CDF">
        <w:rPr>
          <w:szCs w:val="26"/>
        </w:rPr>
        <w:t xml:space="preserve"> at P</w:t>
      </w:r>
      <w:r>
        <w:rPr>
          <w:szCs w:val="26"/>
        </w:rPr>
        <w:t> </w:t>
      </w:r>
      <w:r w:rsidRPr="00716CDF">
        <w:rPr>
          <w:szCs w:val="26"/>
        </w:rPr>
        <w:t xml:space="preserve">157); TAPS Comments </w:t>
      </w:r>
      <w:r>
        <w:rPr>
          <w:szCs w:val="26"/>
        </w:rPr>
        <w:t xml:space="preserve">(RM16-23) </w:t>
      </w:r>
      <w:r w:rsidRPr="00716CDF">
        <w:rPr>
          <w:szCs w:val="26"/>
        </w:rPr>
        <w:t xml:space="preserve">at </w:t>
      </w:r>
      <w:r>
        <w:rPr>
          <w:szCs w:val="26"/>
        </w:rPr>
        <w:t>13-</w:t>
      </w:r>
      <w:r w:rsidRPr="00716CDF">
        <w:rPr>
          <w:szCs w:val="26"/>
        </w:rPr>
        <w:t>14.</w:t>
      </w:r>
    </w:p>
  </w:footnote>
  <w:footnote w:id="817">
    <w:p w:rsidR="00FB7F86" w:rsidP="00B373D3" w:rsidRDefault="00FB7F86" w14:paraId="37754CC7" w14:textId="77777777">
      <w:pPr>
        <w:pStyle w:val="FootnoteText"/>
      </w:pPr>
      <w:r w:rsidRPr="00716CDF">
        <w:rPr>
          <w:rStyle w:val="FootnoteReference"/>
        </w:rPr>
        <w:footnoteRef/>
      </w:r>
      <w:r>
        <w:t xml:space="preserve"> </w:t>
      </w:r>
      <w:r w:rsidRPr="00716CDF">
        <w:rPr>
          <w:szCs w:val="26"/>
        </w:rPr>
        <w:t xml:space="preserve">APPA/NRECA </w:t>
      </w:r>
      <w:r>
        <w:rPr>
          <w:szCs w:val="26"/>
        </w:rPr>
        <w:t>Comments (RM16-23) at</w:t>
      </w:r>
      <w:r w:rsidRPr="00716CDF">
        <w:rPr>
          <w:szCs w:val="26"/>
        </w:rPr>
        <w:t xml:space="preserve"> 47.</w:t>
      </w:r>
    </w:p>
  </w:footnote>
  <w:footnote w:id="818">
    <w:p w:rsidR="00FB7F86" w:rsidP="00B373D3" w:rsidRDefault="00FB7F86" w14:paraId="2A0F3075" w14:textId="6E696F6B">
      <w:pPr>
        <w:pStyle w:val="FootnoteText"/>
      </w:pPr>
      <w:r w:rsidRPr="00716CDF">
        <w:rPr>
          <w:rStyle w:val="FootnoteReference"/>
        </w:rPr>
        <w:footnoteRef/>
      </w:r>
      <w:r>
        <w:t xml:space="preserve"> </w:t>
      </w:r>
      <w:r w:rsidRPr="00716CDF">
        <w:rPr>
          <w:szCs w:val="26"/>
        </w:rPr>
        <w:t xml:space="preserve">MISO Transmission Owners </w:t>
      </w:r>
      <w:r>
        <w:rPr>
          <w:szCs w:val="26"/>
        </w:rPr>
        <w:t>Comments (RM16-23) at</w:t>
      </w:r>
      <w:r w:rsidRPr="00716CDF">
        <w:rPr>
          <w:szCs w:val="26"/>
        </w:rPr>
        <w:t xml:space="preserve"> </w:t>
      </w:r>
      <w:r>
        <w:rPr>
          <w:szCs w:val="26"/>
        </w:rPr>
        <w:t xml:space="preserve">19, </w:t>
      </w:r>
      <w:r w:rsidRPr="00716CDF">
        <w:rPr>
          <w:szCs w:val="26"/>
        </w:rPr>
        <w:t>26-27.</w:t>
      </w:r>
    </w:p>
  </w:footnote>
  <w:footnote w:id="819">
    <w:p w:rsidR="00FB7F86" w:rsidP="00B373D3" w:rsidRDefault="00FB7F86" w14:paraId="23C2BAE4" w14:textId="77777777">
      <w:pPr>
        <w:pStyle w:val="FootnoteText"/>
      </w:pPr>
      <w:r w:rsidRPr="00716CDF">
        <w:rPr>
          <w:rStyle w:val="FootnoteReference"/>
        </w:rPr>
        <w:footnoteRef/>
      </w:r>
      <w:r>
        <w:t xml:space="preserve"> </w:t>
      </w:r>
      <w:r w:rsidRPr="00716CDF">
        <w:rPr>
          <w:szCs w:val="26"/>
        </w:rPr>
        <w:t xml:space="preserve">Tesla/SolarCity </w:t>
      </w:r>
      <w:r>
        <w:rPr>
          <w:szCs w:val="26"/>
        </w:rPr>
        <w:t>Comments (RM16-23) at</w:t>
      </w:r>
      <w:r w:rsidRPr="00716CDF">
        <w:rPr>
          <w:szCs w:val="26"/>
        </w:rPr>
        <w:t xml:space="preserve"> 31.</w:t>
      </w:r>
    </w:p>
  </w:footnote>
  <w:footnote w:id="820">
    <w:p w:rsidR="00FB7F86" w:rsidP="00B373D3" w:rsidRDefault="00FB7F86" w14:paraId="12A73431" w14:textId="64B57A59">
      <w:pPr>
        <w:pStyle w:val="FootnoteText"/>
      </w:pPr>
      <w:r w:rsidRPr="00716CDF">
        <w:rPr>
          <w:rStyle w:val="FootnoteReference"/>
        </w:rPr>
        <w:footnoteRef/>
      </w:r>
      <w:r>
        <w:t xml:space="preserve"> </w:t>
      </w:r>
      <w:r w:rsidRPr="00716CDF">
        <w:rPr>
          <w:szCs w:val="26"/>
        </w:rPr>
        <w:t xml:space="preserve">APPA/NRECA </w:t>
      </w:r>
      <w:r>
        <w:rPr>
          <w:szCs w:val="26"/>
        </w:rPr>
        <w:t>Comments (RM16-23) at</w:t>
      </w:r>
      <w:r w:rsidRPr="00716CDF">
        <w:rPr>
          <w:szCs w:val="26"/>
        </w:rPr>
        <w:t xml:space="preserve"> 4</w:t>
      </w:r>
      <w:r>
        <w:rPr>
          <w:szCs w:val="26"/>
        </w:rPr>
        <w:t xml:space="preserve">7-48; </w:t>
      </w:r>
      <w:r w:rsidRPr="00716CDF">
        <w:rPr>
          <w:szCs w:val="26"/>
        </w:rPr>
        <w:t xml:space="preserve">MISO Transmission Owners </w:t>
      </w:r>
      <w:r>
        <w:rPr>
          <w:szCs w:val="26"/>
        </w:rPr>
        <w:t>Comments (RM16-23) at</w:t>
      </w:r>
      <w:r w:rsidRPr="00716CDF">
        <w:rPr>
          <w:szCs w:val="26"/>
        </w:rPr>
        <w:t xml:space="preserve"> 26 (citing NOPR</w:t>
      </w:r>
      <w:r>
        <w:t xml:space="preserve">, </w:t>
      </w:r>
      <w:r w:rsidRPr="00370A91">
        <w:t xml:space="preserve">157 FERC </w:t>
      </w:r>
      <w:r>
        <w:t>¶ </w:t>
      </w:r>
      <w:r w:rsidRPr="00370A91">
        <w:t>61,121</w:t>
      </w:r>
      <w:r w:rsidRPr="00716CDF">
        <w:rPr>
          <w:szCs w:val="26"/>
        </w:rPr>
        <w:t xml:space="preserve"> at P</w:t>
      </w:r>
      <w:r>
        <w:rPr>
          <w:szCs w:val="26"/>
        </w:rPr>
        <w:t> </w:t>
      </w:r>
      <w:r w:rsidRPr="00716CDF">
        <w:rPr>
          <w:szCs w:val="26"/>
        </w:rPr>
        <w:t>158)</w:t>
      </w:r>
      <w:r>
        <w:rPr>
          <w:szCs w:val="26"/>
        </w:rPr>
        <w:t xml:space="preserve">; </w:t>
      </w:r>
      <w:r w:rsidRPr="00716CDF">
        <w:rPr>
          <w:szCs w:val="26"/>
        </w:rPr>
        <w:t xml:space="preserve">NARUC </w:t>
      </w:r>
      <w:r>
        <w:rPr>
          <w:szCs w:val="26"/>
        </w:rPr>
        <w:t>Comments (RM16-23) at</w:t>
      </w:r>
      <w:r w:rsidRPr="00716CDF">
        <w:rPr>
          <w:szCs w:val="26"/>
        </w:rPr>
        <w:t xml:space="preserve"> 5 (citing NOPR</w:t>
      </w:r>
      <w:r>
        <w:t xml:space="preserve">, </w:t>
      </w:r>
      <w:r w:rsidRPr="00370A91">
        <w:t xml:space="preserve">157 FERC </w:t>
      </w:r>
      <w:r>
        <w:t>¶ </w:t>
      </w:r>
      <w:r w:rsidRPr="00370A91">
        <w:t>61,121</w:t>
      </w:r>
      <w:r w:rsidRPr="00716CDF">
        <w:rPr>
          <w:szCs w:val="26"/>
        </w:rPr>
        <w:t xml:space="preserve"> at P</w:t>
      </w:r>
      <w:r>
        <w:rPr>
          <w:szCs w:val="26"/>
        </w:rPr>
        <w:t> </w:t>
      </w:r>
      <w:r w:rsidRPr="00716CDF">
        <w:rPr>
          <w:szCs w:val="26"/>
        </w:rPr>
        <w:t>158)</w:t>
      </w:r>
      <w:r>
        <w:rPr>
          <w:szCs w:val="26"/>
        </w:rPr>
        <w:t>;</w:t>
      </w:r>
      <w:r w:rsidRPr="00921DD1">
        <w:rPr>
          <w:szCs w:val="26"/>
        </w:rPr>
        <w:t xml:space="preserve"> </w:t>
      </w:r>
      <w:r>
        <w:rPr>
          <w:szCs w:val="26"/>
        </w:rPr>
        <w:t>Open Access Technology Comments (RM16-23) at 4.</w:t>
      </w:r>
    </w:p>
  </w:footnote>
  <w:footnote w:id="821">
    <w:p w:rsidR="00FB7F86" w:rsidP="00B373D3" w:rsidRDefault="00FB7F86" w14:paraId="338A07DB" w14:textId="21239C66">
      <w:pPr>
        <w:pStyle w:val="FootnoteText"/>
      </w:pPr>
      <w:r w:rsidRPr="00716CDF">
        <w:rPr>
          <w:rStyle w:val="FootnoteReference"/>
        </w:rPr>
        <w:footnoteRef/>
      </w:r>
      <w:r>
        <w:t xml:space="preserve"> </w:t>
      </w:r>
      <w:r w:rsidRPr="00716CDF">
        <w:rPr>
          <w:szCs w:val="26"/>
        </w:rPr>
        <w:t xml:space="preserve">NARUC </w:t>
      </w:r>
      <w:r>
        <w:rPr>
          <w:szCs w:val="26"/>
        </w:rPr>
        <w:t>Comments (RM16-23) at</w:t>
      </w:r>
      <w:r w:rsidRPr="00716CDF">
        <w:rPr>
          <w:szCs w:val="26"/>
        </w:rPr>
        <w:t xml:space="preserve"> 5</w:t>
      </w:r>
      <w:r>
        <w:rPr>
          <w:szCs w:val="26"/>
        </w:rPr>
        <w:t xml:space="preserve"> (citing NOPR at P158)</w:t>
      </w:r>
    </w:p>
  </w:footnote>
  <w:footnote w:id="822">
    <w:p w:rsidR="00FB7F86" w:rsidP="00B373D3" w:rsidRDefault="00FB7F86" w14:paraId="515C298C" w14:textId="77777777">
      <w:pPr>
        <w:pStyle w:val="FootnoteText"/>
      </w:pPr>
      <w:r w:rsidRPr="00716CDF">
        <w:rPr>
          <w:rStyle w:val="FootnoteReference"/>
        </w:rPr>
        <w:footnoteRef/>
      </w:r>
      <w:r>
        <w:t xml:space="preserve"> </w:t>
      </w:r>
      <w:r w:rsidRPr="00716CDF">
        <w:rPr>
          <w:szCs w:val="26"/>
        </w:rPr>
        <w:t xml:space="preserve">Xcel Energy Services </w:t>
      </w:r>
      <w:r>
        <w:rPr>
          <w:szCs w:val="26"/>
        </w:rPr>
        <w:t>Comments (RM16-23) at</w:t>
      </w:r>
      <w:r w:rsidRPr="00716CDF">
        <w:rPr>
          <w:szCs w:val="26"/>
        </w:rPr>
        <w:t xml:space="preserve"> 29.</w:t>
      </w:r>
    </w:p>
  </w:footnote>
  <w:footnote w:id="823">
    <w:p w:rsidRPr="00407052" w:rsidR="00FB7F86" w:rsidP="00F22D97" w:rsidRDefault="00FB7F86" w14:paraId="34222A56" w14:textId="26D00A2F">
      <w:pPr>
        <w:pStyle w:val="FootnoteText"/>
      </w:pPr>
      <w:r w:rsidRPr="00407052">
        <w:rPr>
          <w:rStyle w:val="FootnoteReference"/>
        </w:rPr>
        <w:footnoteRef/>
      </w:r>
      <w:r w:rsidRPr="00407052">
        <w:t xml:space="preserve"> </w:t>
      </w:r>
      <w:r w:rsidRPr="00407052">
        <w:rPr>
          <w:i/>
        </w:rPr>
        <w:t>See</w:t>
      </w:r>
      <w:r w:rsidRPr="00407052">
        <w:t xml:space="preserve"> NOPR</w:t>
      </w:r>
      <w:r>
        <w:t>, 157 FERC ¶ 61,121</w:t>
      </w:r>
      <w:r w:rsidRPr="00407052">
        <w:t xml:space="preserve"> at P</w:t>
      </w:r>
      <w:r>
        <w:t> </w:t>
      </w:r>
      <w:r w:rsidRPr="00407052">
        <w:t>157.</w:t>
      </w:r>
    </w:p>
  </w:footnote>
  <w:footnote w:id="824">
    <w:p w:rsidR="00FB7F86" w:rsidRDefault="00FB7F86" w14:paraId="007D6290" w14:textId="0B7B9B04">
      <w:pPr>
        <w:pStyle w:val="FootnoteText"/>
      </w:pPr>
      <w:r>
        <w:rPr>
          <w:rStyle w:val="FootnoteReference"/>
        </w:rPr>
        <w:footnoteRef/>
      </w:r>
      <w:r>
        <w:t xml:space="preserve"> </w:t>
      </w:r>
      <w:r w:rsidRPr="0069434D">
        <w:rPr>
          <w:i/>
          <w:szCs w:val="26"/>
        </w:rPr>
        <w:t xml:space="preserve">See </w:t>
      </w:r>
      <w:r>
        <w:rPr>
          <w:i/>
          <w:szCs w:val="26"/>
        </w:rPr>
        <w:t>s</w:t>
      </w:r>
      <w:r w:rsidRPr="0069434D">
        <w:rPr>
          <w:i/>
          <w:szCs w:val="26"/>
        </w:rPr>
        <w:t>upra</w:t>
      </w:r>
      <w:r w:rsidRPr="00DE70CD">
        <w:rPr>
          <w:szCs w:val="26"/>
        </w:rPr>
        <w:t xml:space="preserve"> </w:t>
      </w:r>
      <w:r>
        <w:rPr>
          <w:szCs w:val="26"/>
        </w:rPr>
        <w:t>Section IV.H.1</w:t>
      </w:r>
      <w:r w:rsidRPr="0069434D">
        <w:rPr>
          <w:szCs w:val="26"/>
        </w:rPr>
        <w:t xml:space="preserve"> </w:t>
      </w:r>
      <w:r>
        <w:rPr>
          <w:szCs w:val="26"/>
        </w:rPr>
        <w:t>(</w:t>
      </w:r>
      <w:r w:rsidRPr="000C4BD2">
        <w:rPr>
          <w:szCs w:val="26"/>
        </w:rPr>
        <w:t>Market Rules on Coordination).</w:t>
      </w:r>
      <w:r>
        <w:t xml:space="preserve"> </w:t>
      </w:r>
    </w:p>
  </w:footnote>
  <w:footnote w:id="825">
    <w:p w:rsidR="00FB7F86" w:rsidP="00F22D97" w:rsidRDefault="00FB7F86" w14:paraId="1DBEF14C" w14:textId="6BD1ACB8">
      <w:pPr>
        <w:pStyle w:val="FootnoteText"/>
      </w:pPr>
      <w:r>
        <w:rPr>
          <w:rStyle w:val="FootnoteReference"/>
        </w:rPr>
        <w:footnoteRef/>
      </w:r>
      <w:r>
        <w:t xml:space="preserve"> </w:t>
      </w:r>
      <w:r w:rsidRPr="0069434D">
        <w:rPr>
          <w:i/>
          <w:szCs w:val="26"/>
        </w:rPr>
        <w:t xml:space="preserve">See </w:t>
      </w:r>
      <w:r>
        <w:rPr>
          <w:i/>
          <w:szCs w:val="26"/>
        </w:rPr>
        <w:t>s</w:t>
      </w:r>
      <w:r w:rsidRPr="0069434D">
        <w:rPr>
          <w:i/>
          <w:szCs w:val="26"/>
        </w:rPr>
        <w:t>upra</w:t>
      </w:r>
      <w:r w:rsidRPr="00DE70CD">
        <w:rPr>
          <w:szCs w:val="26"/>
        </w:rPr>
        <w:t xml:space="preserve"> </w:t>
      </w:r>
      <w:r>
        <w:rPr>
          <w:szCs w:val="26"/>
        </w:rPr>
        <w:t xml:space="preserve">Section IV.C.3 </w:t>
      </w:r>
      <w:r w:rsidRPr="00CB07AA">
        <w:rPr>
          <w:szCs w:val="26"/>
        </w:rPr>
        <w:t>(Double Counting of Services).</w:t>
      </w:r>
      <w:r w:rsidRPr="00CB07AA">
        <w:t xml:space="preserve"> </w:t>
      </w:r>
    </w:p>
  </w:footnote>
  <w:footnote w:id="826">
    <w:p w:rsidRPr="00A50DBE" w:rsidR="00FB7F86" w:rsidP="00ED37E7" w:rsidRDefault="00FB7F86" w14:paraId="109C38AA" w14:textId="210946BD">
      <w:pPr>
        <w:pStyle w:val="FootnoteText"/>
        <w:rPr>
          <w:szCs w:val="26"/>
        </w:rPr>
      </w:pPr>
      <w:r w:rsidRPr="00A50DBE">
        <w:rPr>
          <w:rStyle w:val="FootnoteReference"/>
          <w:szCs w:val="26"/>
        </w:rPr>
        <w:footnoteRef/>
      </w:r>
      <w:r w:rsidRPr="00A50DBE">
        <w:rPr>
          <w:szCs w:val="26"/>
        </w:rPr>
        <w:t xml:space="preserve"> </w:t>
      </w:r>
      <w:r w:rsidRPr="00A50DBE">
        <w:rPr>
          <w:i/>
          <w:szCs w:val="26"/>
        </w:rPr>
        <w:t>See</w:t>
      </w:r>
      <w:r w:rsidRPr="00A50DBE">
        <w:rPr>
          <w:szCs w:val="26"/>
        </w:rPr>
        <w:t xml:space="preserve"> CAISO </w:t>
      </w:r>
      <w:r>
        <w:rPr>
          <w:szCs w:val="26"/>
        </w:rPr>
        <w:t>Comments (2018 RM18-9)</w:t>
      </w:r>
      <w:r w:rsidRPr="00A50DBE">
        <w:rPr>
          <w:szCs w:val="26"/>
        </w:rPr>
        <w:t xml:space="preserve"> at </w:t>
      </w:r>
      <w:r>
        <w:rPr>
          <w:szCs w:val="26"/>
        </w:rPr>
        <w:t xml:space="preserve">4; </w:t>
      </w:r>
      <w:r w:rsidRPr="00A50DBE">
        <w:rPr>
          <w:szCs w:val="26"/>
        </w:rPr>
        <w:t xml:space="preserve">PJM </w:t>
      </w:r>
      <w:r>
        <w:rPr>
          <w:szCs w:val="26"/>
        </w:rPr>
        <w:t>Comments (2018 RM18-9)</w:t>
      </w:r>
      <w:r w:rsidRPr="00A50DBE">
        <w:rPr>
          <w:szCs w:val="26"/>
        </w:rPr>
        <w:t xml:space="preserve"> at 8-9.</w:t>
      </w:r>
    </w:p>
  </w:footnote>
  <w:footnote w:id="827">
    <w:p w:rsidRPr="00A50DBE" w:rsidR="00FB7F86" w:rsidP="00ED37E7" w:rsidRDefault="00FB7F86" w14:paraId="54369890" w14:textId="77777777">
      <w:pPr>
        <w:pStyle w:val="FootnoteText"/>
        <w:rPr>
          <w:szCs w:val="26"/>
        </w:rPr>
      </w:pPr>
      <w:r w:rsidRPr="00A50DBE">
        <w:rPr>
          <w:rStyle w:val="FootnoteReference"/>
          <w:szCs w:val="26"/>
        </w:rPr>
        <w:footnoteRef/>
      </w:r>
      <w:r w:rsidRPr="00A50DBE">
        <w:rPr>
          <w:szCs w:val="26"/>
        </w:rPr>
        <w:t xml:space="preserve"> PJM </w:t>
      </w:r>
      <w:r>
        <w:rPr>
          <w:szCs w:val="26"/>
        </w:rPr>
        <w:t>Comments (2018 RM18-9)</w:t>
      </w:r>
      <w:r w:rsidRPr="00A50DBE">
        <w:rPr>
          <w:szCs w:val="26"/>
        </w:rPr>
        <w:t xml:space="preserve"> at 8-9.</w:t>
      </w:r>
    </w:p>
  </w:footnote>
  <w:footnote w:id="828">
    <w:p w:rsidRPr="00A50DBE" w:rsidR="00FB7F86" w:rsidP="00B9488C" w:rsidRDefault="00FB7F86" w14:paraId="576B7572" w14:textId="77777777">
      <w:pPr>
        <w:pStyle w:val="FootnoteText"/>
        <w:rPr>
          <w:szCs w:val="26"/>
        </w:rPr>
      </w:pPr>
      <w:r w:rsidRPr="00A50DBE">
        <w:rPr>
          <w:rStyle w:val="FootnoteReference"/>
          <w:szCs w:val="26"/>
        </w:rPr>
        <w:footnoteRef/>
      </w:r>
      <w:r w:rsidRPr="00A50DBE">
        <w:rPr>
          <w:szCs w:val="26"/>
        </w:rPr>
        <w:t xml:space="preserve"> Eversource </w:t>
      </w:r>
      <w:r>
        <w:rPr>
          <w:szCs w:val="26"/>
        </w:rPr>
        <w:t>Comments (2018 RM18-9)</w:t>
      </w:r>
      <w:r w:rsidRPr="00A50DBE">
        <w:rPr>
          <w:szCs w:val="26"/>
        </w:rPr>
        <w:t xml:space="preserve"> at 11.</w:t>
      </w:r>
    </w:p>
  </w:footnote>
  <w:footnote w:id="829">
    <w:p w:rsidR="00FB7F86" w:rsidP="00B9488C" w:rsidRDefault="00FB7F86" w14:paraId="5085890E" w14:textId="77777777">
      <w:pPr>
        <w:pStyle w:val="FootnoteText"/>
      </w:pPr>
      <w:r>
        <w:rPr>
          <w:rStyle w:val="FootnoteReference"/>
        </w:rPr>
        <w:footnoteRef/>
      </w:r>
      <w:r>
        <w:t xml:space="preserve"> </w:t>
      </w:r>
      <w:r w:rsidRPr="00A50DBE">
        <w:rPr>
          <w:szCs w:val="26"/>
        </w:rPr>
        <w:t xml:space="preserve">Dominion </w:t>
      </w:r>
      <w:r>
        <w:rPr>
          <w:szCs w:val="26"/>
        </w:rPr>
        <w:t>Comments (RM16-23) at</w:t>
      </w:r>
      <w:r w:rsidRPr="00A50DBE">
        <w:rPr>
          <w:szCs w:val="26"/>
        </w:rPr>
        <w:t xml:space="preserve"> 9.</w:t>
      </w:r>
    </w:p>
  </w:footnote>
  <w:footnote w:id="830">
    <w:p w:rsidR="00FB7F86" w:rsidP="00B9488C" w:rsidRDefault="00FB7F86" w14:paraId="2DE7B47B" w14:textId="77777777">
      <w:pPr>
        <w:pStyle w:val="FootnoteText"/>
      </w:pPr>
      <w:r>
        <w:rPr>
          <w:rStyle w:val="FootnoteReference"/>
        </w:rPr>
        <w:footnoteRef/>
      </w:r>
      <w:r>
        <w:t xml:space="preserve"> </w:t>
      </w:r>
      <w:r w:rsidRPr="008636DC">
        <w:t>Duquesne Light Company Comments (2018 RM18-9) at 3-4.</w:t>
      </w:r>
    </w:p>
  </w:footnote>
  <w:footnote w:id="831">
    <w:p w:rsidRPr="00A50DBE" w:rsidR="00FB7F86" w:rsidP="00B9488C" w:rsidRDefault="00FB7F86" w14:paraId="2D0396B8" w14:textId="2E3FFDDA">
      <w:pPr>
        <w:pStyle w:val="FootnoteText"/>
      </w:pPr>
      <w:r>
        <w:rPr>
          <w:rStyle w:val="FootnoteReference"/>
        </w:rPr>
        <w:footnoteRef/>
      </w:r>
      <w:r>
        <w:t xml:space="preserve"> </w:t>
      </w:r>
      <w:r w:rsidRPr="006905A3">
        <w:rPr>
          <w:i/>
          <w:iCs/>
        </w:rPr>
        <w:t>See, e.g.</w:t>
      </w:r>
      <w:r w:rsidRPr="008636DC">
        <w:t>, AWEA Comments (RM16-23) at 4; Delaware Commission Comments (RM16-23) at 4; Fresh Energy/Sierra Club/Union of Concerned Scientists Comments (RM16-23) at 1.</w:t>
      </w:r>
    </w:p>
  </w:footnote>
  <w:footnote w:id="832">
    <w:p w:rsidRPr="00A50DBE" w:rsidR="00FB7F86" w:rsidP="008E71F4" w:rsidRDefault="00FB7F86" w14:paraId="6873578A" w14:textId="0892C73A">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w:t>
      </w:r>
      <w:r w:rsidRPr="00A50DBE">
        <w:rPr>
          <w:rFonts w:eastAsia="Cambria"/>
          <w:color w:val="000000"/>
          <w:szCs w:val="26"/>
        </w:rPr>
        <w:t xml:space="preserve">NRG </w:t>
      </w:r>
      <w:r>
        <w:rPr>
          <w:rFonts w:eastAsia="Cambria"/>
          <w:color w:val="000000"/>
          <w:szCs w:val="26"/>
        </w:rPr>
        <w:t>Comments (RM16-23) at</w:t>
      </w:r>
      <w:r w:rsidRPr="00A50DBE">
        <w:rPr>
          <w:rFonts w:eastAsia="Cambria"/>
          <w:color w:val="000000"/>
          <w:szCs w:val="26"/>
        </w:rPr>
        <w:t xml:space="preserve"> 6.</w:t>
      </w:r>
    </w:p>
  </w:footnote>
  <w:footnote w:id="833">
    <w:p w:rsidR="00FB7F86" w:rsidP="008E71F4" w:rsidRDefault="00FB7F86" w14:paraId="2BF22A2B" w14:textId="0B2CC4E5">
      <w:pPr>
        <w:pStyle w:val="FootnoteText"/>
      </w:pPr>
      <w:r>
        <w:rPr>
          <w:rStyle w:val="FootnoteReference"/>
        </w:rPr>
        <w:footnoteRef/>
      </w:r>
      <w:r>
        <w:t xml:space="preserve"> </w:t>
      </w:r>
      <w:r>
        <w:rPr>
          <w:i/>
          <w:iCs/>
        </w:rPr>
        <w:t>See, e.g.</w:t>
      </w:r>
      <w:r>
        <w:t xml:space="preserve">, </w:t>
      </w:r>
      <w:r w:rsidRPr="00A50DBE">
        <w:rPr>
          <w:szCs w:val="26"/>
        </w:rPr>
        <w:t xml:space="preserve">PJM Market Monitor </w:t>
      </w:r>
      <w:r>
        <w:rPr>
          <w:szCs w:val="26"/>
        </w:rPr>
        <w:t>Comments (RM16-23) at</w:t>
      </w:r>
      <w:r w:rsidRPr="00A50DBE">
        <w:rPr>
          <w:szCs w:val="26"/>
        </w:rPr>
        <w:t xml:space="preserve"> 10</w:t>
      </w:r>
      <w:r>
        <w:rPr>
          <w:szCs w:val="26"/>
        </w:rPr>
        <w:t>.</w:t>
      </w:r>
    </w:p>
  </w:footnote>
  <w:footnote w:id="834">
    <w:p w:rsidRPr="00A50DBE" w:rsidR="00FB7F86" w:rsidP="008E71F4" w:rsidRDefault="00FB7F86" w14:paraId="04486FB8" w14:textId="0700B163">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w:t>
      </w:r>
      <w:r w:rsidRPr="00A50DBE">
        <w:rPr>
          <w:rFonts w:eastAsia="Cambria"/>
          <w:color w:val="000000"/>
          <w:szCs w:val="26"/>
        </w:rPr>
        <w:t xml:space="preserve">NRG </w:t>
      </w:r>
      <w:r>
        <w:rPr>
          <w:rFonts w:eastAsia="Cambria"/>
          <w:color w:val="000000"/>
          <w:szCs w:val="26"/>
        </w:rPr>
        <w:t>Comments (RM16-23) at</w:t>
      </w:r>
      <w:r w:rsidRPr="00A50DBE">
        <w:rPr>
          <w:rFonts w:eastAsia="Cambria"/>
          <w:color w:val="000000"/>
          <w:szCs w:val="26"/>
        </w:rPr>
        <w:t xml:space="preserve"> 6.</w:t>
      </w:r>
    </w:p>
  </w:footnote>
  <w:footnote w:id="835">
    <w:p w:rsidRPr="00A50DBE" w:rsidR="00FB7F86" w:rsidP="00A2228F" w:rsidRDefault="00FB7F86" w14:paraId="69F28CE1" w14:textId="4F489020">
      <w:pPr>
        <w:pStyle w:val="FootnoteText"/>
        <w:widowControl/>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Advanced Energy Economy </w:t>
      </w:r>
      <w:r>
        <w:rPr>
          <w:szCs w:val="26"/>
        </w:rPr>
        <w:t>Comments (2018 RM18-9)</w:t>
      </w:r>
      <w:r w:rsidRPr="00A50DBE">
        <w:rPr>
          <w:szCs w:val="26"/>
        </w:rPr>
        <w:t xml:space="preserve"> at 24; NYISO Indicated Transmission Owners </w:t>
      </w:r>
      <w:r>
        <w:rPr>
          <w:szCs w:val="26"/>
        </w:rPr>
        <w:t>Comments (2018 RM18-9)</w:t>
      </w:r>
      <w:r w:rsidRPr="00A50DBE">
        <w:rPr>
          <w:szCs w:val="26"/>
        </w:rPr>
        <w:t xml:space="preserve"> at 20; Organization of MISO States </w:t>
      </w:r>
      <w:r>
        <w:rPr>
          <w:szCs w:val="26"/>
        </w:rPr>
        <w:t>Comments (2018 RM18-9)</w:t>
      </w:r>
      <w:r w:rsidRPr="00A50DBE">
        <w:rPr>
          <w:szCs w:val="26"/>
        </w:rPr>
        <w:t xml:space="preserve"> at 10.</w:t>
      </w:r>
    </w:p>
  </w:footnote>
  <w:footnote w:id="836">
    <w:p w:rsidRPr="00A50DBE" w:rsidR="00FB7F86" w:rsidP="008E71F4" w:rsidRDefault="00FB7F86" w14:paraId="191385EF" w14:textId="3FD3CA76">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Advanced Energy Management </w:t>
      </w:r>
      <w:r>
        <w:rPr>
          <w:szCs w:val="26"/>
        </w:rPr>
        <w:t>Comments (2018 RM18-9)</w:t>
      </w:r>
      <w:r w:rsidRPr="00A50DBE">
        <w:rPr>
          <w:szCs w:val="26"/>
        </w:rPr>
        <w:t xml:space="preserve"> at 24; </w:t>
      </w:r>
      <w:r>
        <w:rPr>
          <w:szCs w:val="26"/>
        </w:rPr>
        <w:t>Vice Chairman</w:t>
      </w:r>
      <w:r w:rsidRPr="00A50DBE">
        <w:rPr>
          <w:szCs w:val="26"/>
        </w:rPr>
        <w:t xml:space="preserve"> Place </w:t>
      </w:r>
      <w:r>
        <w:rPr>
          <w:szCs w:val="26"/>
        </w:rPr>
        <w:t xml:space="preserve">Comments (2018 RM18-9) </w:t>
      </w:r>
      <w:r w:rsidRPr="00A50DBE">
        <w:rPr>
          <w:szCs w:val="26"/>
        </w:rPr>
        <w:t>at 2</w:t>
      </w:r>
      <w:r>
        <w:rPr>
          <w:szCs w:val="26"/>
        </w:rPr>
        <w:t>-3</w:t>
      </w:r>
      <w:r w:rsidRPr="00A50DBE">
        <w:rPr>
          <w:szCs w:val="26"/>
        </w:rPr>
        <w:t xml:space="preserve">; EEI </w:t>
      </w:r>
      <w:r>
        <w:rPr>
          <w:szCs w:val="26"/>
        </w:rPr>
        <w:t>Comments (2018 RM18-9)</w:t>
      </w:r>
      <w:r w:rsidRPr="00A50DBE">
        <w:rPr>
          <w:szCs w:val="26"/>
        </w:rPr>
        <w:t xml:space="preserve"> at 8-9</w:t>
      </w:r>
      <w:r>
        <w:rPr>
          <w:szCs w:val="26"/>
        </w:rPr>
        <w:t xml:space="preserve">, </w:t>
      </w:r>
      <w:r w:rsidRPr="00A50DBE">
        <w:rPr>
          <w:szCs w:val="26"/>
        </w:rPr>
        <w:t>19-21</w:t>
      </w:r>
      <w:r>
        <w:rPr>
          <w:szCs w:val="26"/>
        </w:rPr>
        <w:t xml:space="preserve">; </w:t>
      </w:r>
      <w:r w:rsidRPr="00A50DBE">
        <w:rPr>
          <w:szCs w:val="26"/>
        </w:rPr>
        <w:t xml:space="preserve">Pacific Gas &amp; Electric </w:t>
      </w:r>
      <w:r>
        <w:rPr>
          <w:szCs w:val="26"/>
        </w:rPr>
        <w:t>Comments (2018 RM18-9)</w:t>
      </w:r>
      <w:r w:rsidRPr="00A50DBE">
        <w:rPr>
          <w:szCs w:val="26"/>
        </w:rPr>
        <w:t xml:space="preserve"> at </w:t>
      </w:r>
      <w:r>
        <w:rPr>
          <w:szCs w:val="26"/>
        </w:rPr>
        <w:t xml:space="preserve">20-21, </w:t>
      </w:r>
      <w:r w:rsidRPr="00A50DBE">
        <w:rPr>
          <w:szCs w:val="26"/>
        </w:rPr>
        <w:t xml:space="preserve">24-25; PJM </w:t>
      </w:r>
      <w:r>
        <w:rPr>
          <w:szCs w:val="26"/>
        </w:rPr>
        <w:t>Comments (2018 RM18-9)</w:t>
      </w:r>
      <w:r w:rsidRPr="00A50DBE">
        <w:rPr>
          <w:szCs w:val="26"/>
        </w:rPr>
        <w:t xml:space="preserve"> at 28; TAPS </w:t>
      </w:r>
      <w:r>
        <w:rPr>
          <w:szCs w:val="26"/>
        </w:rPr>
        <w:t xml:space="preserve">Comments (2018 RM18-9) </w:t>
      </w:r>
      <w:r w:rsidRPr="00A50DBE">
        <w:rPr>
          <w:szCs w:val="26"/>
        </w:rPr>
        <w:t xml:space="preserve">at </w:t>
      </w:r>
      <w:r>
        <w:rPr>
          <w:szCs w:val="26"/>
        </w:rPr>
        <w:t>7-11</w:t>
      </w:r>
      <w:r w:rsidRPr="00A50DBE">
        <w:rPr>
          <w:szCs w:val="26"/>
        </w:rPr>
        <w:t>.</w:t>
      </w:r>
    </w:p>
  </w:footnote>
  <w:footnote w:id="837">
    <w:p w:rsidRPr="00A50DBE" w:rsidR="00FB7F86" w:rsidP="008E71F4" w:rsidRDefault="00FB7F86" w14:paraId="1D05CE69" w14:textId="618DB5D1">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Stem </w:t>
      </w:r>
      <w:r>
        <w:rPr>
          <w:szCs w:val="26"/>
        </w:rPr>
        <w:t xml:space="preserve">Comments (2018 RM18-9) </w:t>
      </w:r>
      <w:r w:rsidRPr="00A50DBE">
        <w:rPr>
          <w:szCs w:val="26"/>
        </w:rPr>
        <w:t>at 11.</w:t>
      </w:r>
    </w:p>
  </w:footnote>
  <w:footnote w:id="838">
    <w:p w:rsidRPr="00A50DBE" w:rsidR="00FB7F86" w:rsidP="008E71F4" w:rsidRDefault="00FB7F86" w14:paraId="02CC488C" w14:textId="55DFC137">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NRECA </w:t>
      </w:r>
      <w:r>
        <w:rPr>
          <w:szCs w:val="26"/>
        </w:rPr>
        <w:t xml:space="preserve">Comments (2018 RM18-9) </w:t>
      </w:r>
      <w:r w:rsidRPr="00A50DBE">
        <w:rPr>
          <w:szCs w:val="26"/>
        </w:rPr>
        <w:t>at 8.</w:t>
      </w:r>
    </w:p>
  </w:footnote>
  <w:footnote w:id="839">
    <w:p w:rsidRPr="00A50DBE" w:rsidR="00FB7F86" w:rsidP="008E71F4" w:rsidRDefault="00FB7F86" w14:paraId="7207D163" w14:textId="70CA55FC">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CAISO </w:t>
      </w:r>
      <w:r>
        <w:rPr>
          <w:szCs w:val="26"/>
        </w:rPr>
        <w:t>Comments (2018 RM18-9)</w:t>
      </w:r>
      <w:r w:rsidRPr="00A50DBE">
        <w:rPr>
          <w:szCs w:val="26"/>
        </w:rPr>
        <w:t xml:space="preserve"> at 7; EPSA </w:t>
      </w:r>
      <w:r>
        <w:rPr>
          <w:szCs w:val="26"/>
        </w:rPr>
        <w:t>Comments (2018 RM18-9)</w:t>
      </w:r>
      <w:r w:rsidRPr="00A50DBE">
        <w:rPr>
          <w:szCs w:val="26"/>
        </w:rPr>
        <w:t xml:space="preserve"> at 9-1</w:t>
      </w:r>
      <w:r>
        <w:rPr>
          <w:szCs w:val="26"/>
        </w:rPr>
        <w:t xml:space="preserve">3; </w:t>
      </w:r>
      <w:r w:rsidRPr="00A50DBE">
        <w:rPr>
          <w:szCs w:val="26"/>
        </w:rPr>
        <w:t xml:space="preserve">Eversource </w:t>
      </w:r>
      <w:r>
        <w:rPr>
          <w:szCs w:val="26"/>
        </w:rPr>
        <w:t>Comments (2018 RM18-9)</w:t>
      </w:r>
      <w:r w:rsidRPr="00A50DBE">
        <w:rPr>
          <w:szCs w:val="26"/>
        </w:rPr>
        <w:t xml:space="preserve"> at 10</w:t>
      </w:r>
      <w:r>
        <w:rPr>
          <w:szCs w:val="26"/>
        </w:rPr>
        <w:t>-11</w:t>
      </w:r>
      <w:r w:rsidRPr="00A50DBE">
        <w:rPr>
          <w:szCs w:val="26"/>
        </w:rPr>
        <w:t>.</w:t>
      </w:r>
      <w:r>
        <w:rPr>
          <w:szCs w:val="26"/>
        </w:rPr>
        <w:t xml:space="preserve"> </w:t>
      </w:r>
    </w:p>
  </w:footnote>
  <w:footnote w:id="840">
    <w:p w:rsidRPr="00A50DBE" w:rsidR="00FB7F86" w:rsidP="008E71F4" w:rsidRDefault="00FB7F86" w14:paraId="30F8BB74" w14:textId="7AC9FC94">
      <w:pPr>
        <w:pStyle w:val="FootnoteText"/>
        <w:rPr>
          <w:szCs w:val="26"/>
        </w:rPr>
      </w:pPr>
      <w:r w:rsidRPr="00A50DBE">
        <w:rPr>
          <w:rStyle w:val="FootnoteReference"/>
          <w:szCs w:val="26"/>
        </w:rPr>
        <w:footnoteRef/>
      </w:r>
      <w:r w:rsidRPr="00A50DBE">
        <w:rPr>
          <w:szCs w:val="26"/>
        </w:rPr>
        <w:t xml:space="preserve"> </w:t>
      </w:r>
      <w:r>
        <w:rPr>
          <w:i/>
          <w:iCs/>
          <w:szCs w:val="26"/>
        </w:rPr>
        <w:t>See, e.g.</w:t>
      </w:r>
      <w:r>
        <w:rPr>
          <w:szCs w:val="26"/>
        </w:rPr>
        <w:t>,</w:t>
      </w:r>
      <w:r w:rsidRPr="00A50DBE">
        <w:rPr>
          <w:szCs w:val="26"/>
        </w:rPr>
        <w:t xml:space="preserve"> California Commission </w:t>
      </w:r>
      <w:r>
        <w:rPr>
          <w:szCs w:val="26"/>
        </w:rPr>
        <w:t>Comments (2018 RM18-9)</w:t>
      </w:r>
      <w:r w:rsidRPr="00A50DBE">
        <w:rPr>
          <w:szCs w:val="26"/>
        </w:rPr>
        <w:t xml:space="preserve"> at 18</w:t>
      </w:r>
      <w:r>
        <w:rPr>
          <w:szCs w:val="26"/>
        </w:rPr>
        <w:t>;</w:t>
      </w:r>
      <w:r w:rsidRPr="00A50DBE">
        <w:rPr>
          <w:szCs w:val="26"/>
        </w:rPr>
        <w:t xml:space="preserve"> NRECA </w:t>
      </w:r>
      <w:r>
        <w:rPr>
          <w:szCs w:val="26"/>
        </w:rPr>
        <w:t xml:space="preserve">Comments (2018 RM18-9) </w:t>
      </w:r>
      <w:r w:rsidRPr="00A50DBE">
        <w:rPr>
          <w:szCs w:val="26"/>
        </w:rPr>
        <w:t>at 11.</w:t>
      </w:r>
    </w:p>
  </w:footnote>
  <w:footnote w:id="841">
    <w:p w:rsidRPr="004805D1" w:rsidR="00FB7F86" w:rsidP="000E2A70" w:rsidRDefault="00FB7F86" w14:paraId="6E9BB011" w14:textId="79319E30">
      <w:pPr>
        <w:pStyle w:val="FootnoteText"/>
        <w:rPr>
          <w:szCs w:val="26"/>
        </w:rPr>
      </w:pPr>
      <w:r w:rsidRPr="004805D1">
        <w:rPr>
          <w:rStyle w:val="FootnoteReference"/>
          <w:szCs w:val="26"/>
        </w:rPr>
        <w:footnoteRef/>
      </w:r>
      <w:r w:rsidRPr="004805D1">
        <w:rPr>
          <w:szCs w:val="26"/>
        </w:rPr>
        <w:t xml:space="preserve"> </w:t>
      </w:r>
      <w:r>
        <w:rPr>
          <w:i/>
          <w:iCs/>
          <w:szCs w:val="26"/>
        </w:rPr>
        <w:t>See, e.g.</w:t>
      </w:r>
      <w:r>
        <w:rPr>
          <w:szCs w:val="26"/>
        </w:rPr>
        <w:t>,</w:t>
      </w:r>
      <w:r w:rsidRPr="004805D1">
        <w:rPr>
          <w:szCs w:val="26"/>
        </w:rPr>
        <w:t xml:space="preserve"> </w:t>
      </w:r>
      <w:r w:rsidRPr="004805D1">
        <w:rPr>
          <w:color w:val="000000"/>
          <w:szCs w:val="26"/>
        </w:rPr>
        <w:t xml:space="preserve">Union of Concerned Scientists </w:t>
      </w:r>
      <w:r>
        <w:rPr>
          <w:color w:val="000000"/>
          <w:szCs w:val="26"/>
        </w:rPr>
        <w:t>Comments (RM16-23) at</w:t>
      </w:r>
      <w:r w:rsidRPr="004805D1">
        <w:rPr>
          <w:color w:val="000000"/>
          <w:szCs w:val="26"/>
        </w:rPr>
        <w:t xml:space="preserve"> </w:t>
      </w:r>
      <w:r>
        <w:rPr>
          <w:color w:val="000000"/>
          <w:szCs w:val="26"/>
        </w:rPr>
        <w:t>10-</w:t>
      </w:r>
      <w:r w:rsidRPr="004805D1">
        <w:rPr>
          <w:color w:val="000000"/>
          <w:szCs w:val="26"/>
        </w:rPr>
        <w:t>11</w:t>
      </w:r>
      <w:r>
        <w:rPr>
          <w:color w:val="000000"/>
          <w:szCs w:val="26"/>
        </w:rPr>
        <w:t xml:space="preserve"> </w:t>
      </w:r>
      <w:r w:rsidRPr="004805D1">
        <w:rPr>
          <w:color w:val="000000"/>
          <w:szCs w:val="26"/>
        </w:rPr>
        <w:t>(citing J. Nelson, Ph.D. and L. M. Wisland</w:t>
      </w:r>
      <w:r>
        <w:rPr>
          <w:color w:val="000000"/>
          <w:szCs w:val="26"/>
        </w:rPr>
        <w:t>,</w:t>
      </w:r>
      <w:r w:rsidRPr="004805D1">
        <w:rPr>
          <w:color w:val="000000"/>
          <w:szCs w:val="26"/>
        </w:rPr>
        <w:t xml:space="preserve"> </w:t>
      </w:r>
      <w:r w:rsidRPr="004805D1">
        <w:rPr>
          <w:i/>
          <w:iCs/>
          <w:color w:val="000000"/>
          <w:szCs w:val="26"/>
        </w:rPr>
        <w:t>Achieving 50 Percent Renewable Electricity in California -The Role of Non-Fossil Flexibility in a Cleaner Electricity Grid</w:t>
      </w:r>
      <w:r w:rsidRPr="00DE70CD">
        <w:rPr>
          <w:color w:val="000000"/>
          <w:szCs w:val="26"/>
        </w:rPr>
        <w:t xml:space="preserve"> </w:t>
      </w:r>
      <w:r>
        <w:rPr>
          <w:color w:val="000000"/>
          <w:szCs w:val="26"/>
        </w:rPr>
        <w:t>(</w:t>
      </w:r>
      <w:r w:rsidRPr="004805D1">
        <w:rPr>
          <w:color w:val="000000"/>
          <w:szCs w:val="26"/>
        </w:rPr>
        <w:t>2015</w:t>
      </w:r>
      <w:r>
        <w:rPr>
          <w:color w:val="000000"/>
          <w:szCs w:val="26"/>
        </w:rPr>
        <w:t>),</w:t>
      </w:r>
      <w:r w:rsidRPr="004805D1">
        <w:rPr>
          <w:color w:val="000000"/>
          <w:szCs w:val="26"/>
        </w:rPr>
        <w:t xml:space="preserve"> http://www.ucsusa.org/sites/default/files/attach/2015/08/Achieving-50-Percent-Renewable-Electricity-In-California.pdf).  </w:t>
      </w:r>
    </w:p>
  </w:footnote>
  <w:footnote w:id="842">
    <w:p w:rsidR="00FB7F86" w:rsidRDefault="00FB7F86" w14:paraId="6CE30109" w14:textId="748B376B">
      <w:pPr>
        <w:pStyle w:val="FootnoteText"/>
      </w:pPr>
      <w:r>
        <w:rPr>
          <w:rStyle w:val="FootnoteReference"/>
        </w:rPr>
        <w:footnoteRef/>
      </w:r>
      <w:r>
        <w:t xml:space="preserve"> </w:t>
      </w:r>
      <w:r>
        <w:rPr>
          <w:i/>
          <w:iCs/>
        </w:rPr>
        <w:t>See, e.g.</w:t>
      </w:r>
      <w:r>
        <w:t xml:space="preserve">, </w:t>
      </w:r>
      <w:r w:rsidRPr="003559BA">
        <w:t xml:space="preserve">Advanced Energy Economy Comments (RM16-23) at </w:t>
      </w:r>
      <w:r>
        <w:t>42-</w:t>
      </w:r>
      <w:r w:rsidRPr="003559BA">
        <w:t>43.</w:t>
      </w:r>
    </w:p>
  </w:footnote>
  <w:footnote w:id="843">
    <w:p w:rsidR="00FB7F86" w:rsidRDefault="00FB7F86" w14:paraId="17FA3FFE" w14:textId="4E155C62">
      <w:pPr>
        <w:pStyle w:val="FootnoteText"/>
      </w:pPr>
      <w:r>
        <w:rPr>
          <w:rStyle w:val="FootnoteReference"/>
        </w:rPr>
        <w:footnoteRef/>
      </w:r>
      <w:r>
        <w:t xml:space="preserve"> </w:t>
      </w:r>
      <w:r>
        <w:rPr>
          <w:i/>
          <w:iCs/>
        </w:rPr>
        <w:t>See, e.g.</w:t>
      </w:r>
      <w:r>
        <w:t xml:space="preserve">, </w:t>
      </w:r>
      <w:r w:rsidRPr="00FA32D9">
        <w:t>University of Delaware’s EV R&amp;D Group</w:t>
      </w:r>
      <w:r>
        <w:t xml:space="preserve"> Comments (2018 RM18-9) at 1.</w:t>
      </w:r>
    </w:p>
  </w:footnote>
  <w:footnote w:id="844">
    <w:p w:rsidR="00FB7F86" w:rsidP="002A4C61" w:rsidRDefault="00FB7F86" w14:paraId="3548046D" w14:textId="2E317312">
      <w:pPr>
        <w:pStyle w:val="FootnoteText"/>
      </w:pPr>
      <w:r>
        <w:rPr>
          <w:rStyle w:val="FootnoteReference"/>
        </w:rPr>
        <w:footnoteRef/>
      </w:r>
      <w:r>
        <w:t xml:space="preserve"> </w:t>
      </w:r>
      <w:r w:rsidRPr="000B2A4F">
        <w:rPr>
          <w:i/>
        </w:rPr>
        <w:t>See</w:t>
      </w:r>
      <w:r w:rsidRPr="000B2A4F">
        <w:t xml:space="preserve"> 44 U.S.C. 3507(d)</w:t>
      </w:r>
      <w:r>
        <w:t>.</w:t>
      </w:r>
    </w:p>
  </w:footnote>
  <w:footnote w:id="845">
    <w:p w:rsidR="00FB7F86" w:rsidP="002A4C61" w:rsidRDefault="00FB7F86" w14:paraId="26DE9CD8" w14:textId="25B17CDC">
      <w:pPr>
        <w:pStyle w:val="FootnoteText"/>
        <w:spacing w:before="240"/>
      </w:pPr>
      <w:r>
        <w:rPr>
          <w:rStyle w:val="FootnoteReference"/>
        </w:rPr>
        <w:footnoteRef/>
      </w:r>
      <w:r>
        <w:t xml:space="preserve"> </w:t>
      </w:r>
      <w:r w:rsidRPr="00891F0E">
        <w:t>5 CFR pt. 1320</w:t>
      </w:r>
      <w:r>
        <w:t xml:space="preserve"> (</w:t>
      </w:r>
      <w:r w:rsidRPr="004A6E8D">
        <w:t>20</w:t>
      </w:r>
      <w:r>
        <w:t>20).</w:t>
      </w:r>
    </w:p>
  </w:footnote>
  <w:footnote w:id="846">
    <w:p w:rsidRPr="008E145A" w:rsidR="00FB7F86" w:rsidP="00C654BD" w:rsidRDefault="00FB7F86" w14:paraId="073775CD" w14:textId="77777777">
      <w:pPr>
        <w:pStyle w:val="FootnoteText"/>
        <w:rPr>
          <w:szCs w:val="26"/>
        </w:rPr>
      </w:pPr>
      <w:r w:rsidRPr="006536D8">
        <w:rPr>
          <w:rStyle w:val="FootnoteReference"/>
        </w:rPr>
        <w:footnoteRef/>
      </w:r>
      <w:r w:rsidRPr="006536D8">
        <w:rPr>
          <w:szCs w:val="26"/>
        </w:rPr>
        <w:t xml:space="preserve"> </w:t>
      </w:r>
      <w:r>
        <w:rPr>
          <w:szCs w:val="26"/>
        </w:rPr>
        <w:t>“B</w:t>
      </w:r>
      <w:r w:rsidRPr="006536D8">
        <w:rPr>
          <w:szCs w:val="26"/>
        </w:rPr>
        <w:t>urden</w:t>
      </w:r>
      <w:r>
        <w:rPr>
          <w:szCs w:val="26"/>
        </w:rPr>
        <w:t>” is</w:t>
      </w:r>
      <w:r w:rsidRPr="006536D8">
        <w:rPr>
          <w:szCs w:val="26"/>
        </w:rPr>
        <w:t xml:space="preserve"> the total time, effort, or financial resources expended by persons to generate, maintain, retain, or disclose or provide information to or for a Federal agency. For further explanation of what is included in the information collection burden, refer to Title 5 Code of Feder</w:t>
      </w:r>
      <w:r w:rsidRPr="008E145A">
        <w:rPr>
          <w:szCs w:val="26"/>
        </w:rPr>
        <w:t>al Regulations 1320.3.</w:t>
      </w:r>
    </w:p>
  </w:footnote>
  <w:footnote w:id="847">
    <w:p w:rsidRPr="00D81F71" w:rsidR="00FB7F86" w:rsidP="00C654BD" w:rsidRDefault="00FB7F86" w14:paraId="75AEF39E" w14:textId="3A1C0BAC">
      <w:pPr>
        <w:pStyle w:val="FootnoteText"/>
        <w:rPr>
          <w:szCs w:val="26"/>
        </w:rPr>
      </w:pPr>
      <w:r w:rsidRPr="008E145A">
        <w:rPr>
          <w:rStyle w:val="FootnoteReference"/>
        </w:rPr>
        <w:footnoteRef/>
      </w:r>
      <w:r w:rsidRPr="008E145A">
        <w:rPr>
          <w:szCs w:val="26"/>
        </w:rPr>
        <w:t xml:space="preserve"> </w:t>
      </w:r>
      <w:r w:rsidRPr="00D81F71">
        <w:rPr>
          <w:szCs w:val="26"/>
        </w:rPr>
        <w:t>Commission staff believes that industry is similarly situated in terms of cost for wages and benefits.  Therefore, we are using the FERC 2020 average cost (for wages plus benefits) for one FERC full-time equivalent (FTE) of $172,329 ($83.00 per hour).</w:t>
      </w:r>
    </w:p>
    <w:p w:rsidR="00FB7F86" w:rsidP="00C654BD" w:rsidRDefault="00FB7F86" w14:paraId="53C4D7F1" w14:textId="77777777">
      <w:pPr>
        <w:pStyle w:val="FootnoteText"/>
      </w:pPr>
    </w:p>
  </w:footnote>
  <w:footnote w:id="848">
    <w:p w:rsidRPr="00D71655" w:rsidR="00FB7F86" w:rsidP="002A4C61" w:rsidRDefault="00FB7F86" w14:paraId="7C7883EC" w14:textId="140EAC48">
      <w:pPr>
        <w:pStyle w:val="FootnoteText"/>
        <w:rPr>
          <w:szCs w:val="26"/>
        </w:rPr>
      </w:pPr>
      <w:r w:rsidRPr="00F877F2">
        <w:rPr>
          <w:rStyle w:val="FootnoteReference"/>
        </w:rPr>
        <w:footnoteRef/>
      </w:r>
      <w:r w:rsidRPr="0078051D">
        <w:rPr>
          <w:szCs w:val="26"/>
        </w:rPr>
        <w:t xml:space="preserve"> </w:t>
      </w:r>
      <w:r w:rsidRPr="002763BE">
        <w:rPr>
          <w:i/>
          <w:szCs w:val="26"/>
        </w:rPr>
        <w:t>Regulations Implementing the Nat’l Envt’l Policy Act of 1969</w:t>
      </w:r>
      <w:r w:rsidRPr="002763BE">
        <w:rPr>
          <w:szCs w:val="26"/>
        </w:rPr>
        <w:t>, Order No. 486,</w:t>
      </w:r>
      <w:r w:rsidRPr="00907C2C">
        <w:rPr>
          <w:szCs w:val="26"/>
        </w:rPr>
        <w:t xml:space="preserve"> 52 FR 47,897 (Dec. 17, 1987), </w:t>
      </w:r>
      <w:r w:rsidRPr="00BB2380">
        <w:rPr>
          <w:szCs w:val="26"/>
        </w:rPr>
        <w:t>FERC Stats. &amp; Regs.</w:t>
      </w:r>
      <w:r w:rsidRPr="00907C2C">
        <w:rPr>
          <w:szCs w:val="26"/>
        </w:rPr>
        <w:t xml:space="preserve">, </w:t>
      </w:r>
      <w:r w:rsidRPr="004E009D">
        <w:rPr>
          <w:szCs w:val="26"/>
        </w:rPr>
        <w:t>¶ 30,783 (1987)</w:t>
      </w:r>
      <w:r>
        <w:rPr>
          <w:szCs w:val="26"/>
        </w:rPr>
        <w:t xml:space="preserve"> (cross-referenced at 41 FERC ¶ 61,284)</w:t>
      </w:r>
      <w:r w:rsidRPr="004E009D">
        <w:rPr>
          <w:szCs w:val="26"/>
        </w:rPr>
        <w:t>.</w:t>
      </w:r>
    </w:p>
  </w:footnote>
  <w:footnote w:id="849">
    <w:p w:rsidRPr="00D71655" w:rsidR="00FB7F86" w:rsidP="002A4C61" w:rsidRDefault="00FB7F86" w14:paraId="3669F097" w14:textId="250FD0E0">
      <w:pPr>
        <w:pStyle w:val="FootnoteText"/>
        <w:rPr>
          <w:szCs w:val="26"/>
        </w:rPr>
      </w:pPr>
      <w:r w:rsidRPr="00F877F2">
        <w:rPr>
          <w:rStyle w:val="FootnoteReference"/>
        </w:rPr>
        <w:footnoteRef/>
      </w:r>
      <w:r w:rsidRPr="0078051D">
        <w:rPr>
          <w:szCs w:val="26"/>
        </w:rPr>
        <w:t xml:space="preserve"> </w:t>
      </w:r>
      <w:r w:rsidRPr="009F1613">
        <w:rPr>
          <w:szCs w:val="26"/>
        </w:rPr>
        <w:t xml:space="preserve">18 </w:t>
      </w:r>
      <w:r w:rsidRPr="00CF1349">
        <w:rPr>
          <w:szCs w:val="26"/>
        </w:rPr>
        <w:t xml:space="preserve">CFR </w:t>
      </w:r>
      <w:r w:rsidRPr="009F1613">
        <w:rPr>
          <w:szCs w:val="26"/>
        </w:rPr>
        <w:t>380.4(a)(15)</w:t>
      </w:r>
      <w:r>
        <w:rPr>
          <w:szCs w:val="26"/>
        </w:rPr>
        <w:t xml:space="preserve"> (2020)</w:t>
      </w:r>
      <w:r w:rsidRPr="0078051D">
        <w:rPr>
          <w:szCs w:val="26"/>
        </w:rPr>
        <w:t xml:space="preserve">.  </w:t>
      </w:r>
    </w:p>
  </w:footnote>
  <w:footnote w:id="850">
    <w:p w:rsidR="00FB7F86" w:rsidP="002A4C61" w:rsidRDefault="00FB7F86" w14:paraId="193FB470" w14:textId="26A4435A">
      <w:pPr>
        <w:pStyle w:val="FootnoteText"/>
      </w:pPr>
      <w:r>
        <w:rPr>
          <w:rStyle w:val="FootnoteReference"/>
        </w:rPr>
        <w:footnoteRef/>
      </w:r>
      <w:r>
        <w:t xml:space="preserve"> </w:t>
      </w:r>
      <w:r w:rsidRPr="00AC757F">
        <w:t>5 U.S.C. 601-12</w:t>
      </w:r>
      <w:r>
        <w:t>.</w:t>
      </w:r>
    </w:p>
  </w:footnote>
  <w:footnote w:id="851">
    <w:p w:rsidR="00FB7F86" w:rsidP="002A4C61" w:rsidRDefault="00FB7F86" w14:paraId="3BF9EF86" w14:textId="52307CC9">
      <w:pPr>
        <w:pStyle w:val="FootnoteText"/>
      </w:pPr>
      <w:r>
        <w:rPr>
          <w:rStyle w:val="FootnoteReference"/>
        </w:rPr>
        <w:footnoteRef/>
      </w:r>
      <w:r>
        <w:t xml:space="preserve"> </w:t>
      </w:r>
      <w:r w:rsidRPr="00447495">
        <w:t>13 CFR 121.101</w:t>
      </w:r>
      <w:r>
        <w:t xml:space="preserve"> </w:t>
      </w:r>
      <w:r w:rsidRPr="00231726">
        <w:t>(20</w:t>
      </w:r>
      <w:r>
        <w:t>20</w:t>
      </w:r>
      <w:r w:rsidRPr="00231726">
        <w:t>)</w:t>
      </w:r>
      <w:r w:rsidRPr="009502DB">
        <w:t>.</w:t>
      </w:r>
    </w:p>
  </w:footnote>
  <w:footnote w:id="852">
    <w:p w:rsidR="00FB7F86" w:rsidP="002A4C61" w:rsidRDefault="00FB7F86" w14:paraId="7E66C26A" w14:textId="41D88E79">
      <w:pPr>
        <w:pStyle w:val="FootnoteText"/>
      </w:pPr>
      <w:r>
        <w:rPr>
          <w:rStyle w:val="FootnoteReference"/>
        </w:rPr>
        <w:footnoteRef/>
      </w:r>
      <w:r>
        <w:t xml:space="preserve"> </w:t>
      </w:r>
      <w:r w:rsidRPr="00231726">
        <w:t>13 CFR 121.201</w:t>
      </w:r>
      <w:r>
        <w:t xml:space="preserve"> </w:t>
      </w:r>
      <w:r w:rsidRPr="00231726">
        <w:t>(Sector 22, Utilities).</w:t>
      </w:r>
    </w:p>
  </w:footnote>
  <w:footnote w:id="853">
    <w:p w:rsidR="00FB7F86" w:rsidP="002A4C61" w:rsidRDefault="00FB7F86" w14:paraId="473D5B70" w14:textId="2C8D7856">
      <w:pPr>
        <w:pStyle w:val="FootnoteText"/>
      </w:pPr>
      <w:r>
        <w:rPr>
          <w:rStyle w:val="FootnoteReference"/>
        </w:rPr>
        <w:footnoteRef/>
      </w:r>
      <w:r>
        <w:t xml:space="preserve"> </w:t>
      </w:r>
      <w:r w:rsidRPr="00834505">
        <w:t>The RFA definition of “small entity” refers to the definition provided in the Small Business Act, which defines a “small business concern” as a business that is independently owned and operated and that is not dominant in its field of operation.  The S</w:t>
      </w:r>
      <w:r>
        <w:t>BA</w:t>
      </w:r>
      <w:r w:rsidRPr="00834505">
        <w:t xml:space="preserve">’s regulations at 13 CFR 121.201 define the threshold for a small Electric Bulk Power Transmission and Control entity (NAICS code 221121) </w:t>
      </w:r>
      <w:r w:rsidRPr="00A862CF">
        <w:t>to be 500 employees</w:t>
      </w:r>
      <w:r w:rsidRPr="00834505">
        <w:t xml:space="preserve">.  </w:t>
      </w:r>
      <w:r w:rsidRPr="006372D3">
        <w:rPr>
          <w:i/>
        </w:rPr>
        <w:t>See</w:t>
      </w:r>
      <w:r w:rsidRPr="00834505">
        <w:t xml:space="preserve"> 5 U.S.C. 601(3) (citing to section 3 of the Small Business Act, 15 U.S.C. 632).</w:t>
      </w:r>
    </w:p>
  </w:footnote>
  <w:footnote w:id="854">
    <w:p w:rsidR="004511E0" w:rsidP="002D2AB9" w:rsidRDefault="004511E0" w14:paraId="40DCAFB3" w14:textId="77777777">
      <w:pPr>
        <w:pStyle w:val="FootnoteText"/>
      </w:pPr>
      <w:r>
        <w:rPr>
          <w:rStyle w:val="FootnoteReference"/>
        </w:rPr>
        <w:footnoteRef/>
      </w:r>
      <w:r>
        <w:t xml:space="preserve"> </w:t>
      </w:r>
      <w:r w:rsidRPr="00A91C08">
        <w:rPr>
          <w:i/>
          <w:iCs/>
        </w:rPr>
        <w:t>See</w:t>
      </w:r>
      <w:r>
        <w:t xml:space="preserve"> </w:t>
      </w:r>
      <w:r w:rsidRPr="00A91C08">
        <w:t>16 U.S.C. § 824 (</w:t>
      </w:r>
      <w:r>
        <w:t>2018</w:t>
      </w:r>
      <w:r w:rsidRPr="00A91C08">
        <w:t>)</w:t>
      </w:r>
      <w:r>
        <w:t>.</w:t>
      </w:r>
    </w:p>
  </w:footnote>
  <w:footnote w:id="855">
    <w:p w:rsidR="004511E0" w:rsidP="002D2AB9" w:rsidRDefault="004511E0" w14:paraId="6D4D4DBA" w14:textId="77777777">
      <w:pPr>
        <w:pStyle w:val="FootnoteText"/>
      </w:pPr>
      <w:r>
        <w:rPr>
          <w:rStyle w:val="FootnoteReference"/>
        </w:rPr>
        <w:footnoteRef/>
      </w:r>
      <w:r>
        <w:t xml:space="preserve"> </w:t>
      </w:r>
      <w:r w:rsidRPr="00BC7C83">
        <w:rPr>
          <w:i/>
          <w:iCs/>
        </w:rPr>
        <w:t>Final Rule</w:t>
      </w:r>
      <w:r w:rsidRPr="00F41095">
        <w:t>, Order No. 2222, 172 FERC ¶ 61,247, at P 58</w:t>
      </w:r>
      <w:r w:rsidRPr="00BC7C83">
        <w:t xml:space="preserve"> (</w:t>
      </w:r>
      <w:r>
        <w:t>2020</w:t>
      </w:r>
      <w:r w:rsidRPr="00BC7C83">
        <w:t>).</w:t>
      </w:r>
    </w:p>
  </w:footnote>
  <w:footnote w:id="856">
    <w:p w:rsidRPr="00DC7F1B" w:rsidR="004511E0" w:rsidP="002D2AB9" w:rsidRDefault="004511E0" w14:paraId="49ABC165" w14:textId="77777777">
      <w:pPr>
        <w:pStyle w:val="FootnoteText"/>
      </w:pPr>
      <w:r>
        <w:rPr>
          <w:rStyle w:val="FootnoteReference"/>
        </w:rPr>
        <w:footnoteRef/>
      </w:r>
      <w:r>
        <w:t xml:space="preserve"> I acknowledge the legal authority upon which the majority bases its exercise of jurisdiction.  </w:t>
      </w:r>
      <w:r>
        <w:rPr>
          <w:i/>
          <w:iCs/>
        </w:rPr>
        <w:t xml:space="preserve">Compare </w:t>
      </w:r>
      <w:r w:rsidRPr="00600AA8">
        <w:rPr>
          <w:i/>
          <w:iCs/>
        </w:rPr>
        <w:t>FERC v. Elec. Power Supply Ass</w:t>
      </w:r>
      <w:r>
        <w:rPr>
          <w:i/>
          <w:iCs/>
        </w:rPr>
        <w:t>’</w:t>
      </w:r>
      <w:r w:rsidRPr="00600AA8">
        <w:rPr>
          <w:i/>
          <w:iCs/>
        </w:rPr>
        <w:t>n</w:t>
      </w:r>
      <w:r w:rsidRPr="00600AA8">
        <w:t>, 136 S. Ct. 760</w:t>
      </w:r>
      <w:r>
        <w:t xml:space="preserve"> </w:t>
      </w:r>
      <w:r w:rsidRPr="00600AA8">
        <w:t>(2016)</w:t>
      </w:r>
      <w:r>
        <w:t xml:space="preserve">, </w:t>
      </w:r>
      <w:r>
        <w:rPr>
          <w:i/>
          <w:iCs/>
        </w:rPr>
        <w:t xml:space="preserve">with </w:t>
      </w:r>
      <w:r w:rsidRPr="00600AA8">
        <w:rPr>
          <w:i/>
          <w:iCs/>
        </w:rPr>
        <w:t>Nat</w:t>
      </w:r>
      <w:r>
        <w:rPr>
          <w:i/>
          <w:iCs/>
        </w:rPr>
        <w:t>’</w:t>
      </w:r>
      <w:r w:rsidRPr="00600AA8">
        <w:rPr>
          <w:i/>
          <w:iCs/>
        </w:rPr>
        <w:t>l Ass</w:t>
      </w:r>
      <w:r>
        <w:rPr>
          <w:i/>
          <w:iCs/>
        </w:rPr>
        <w:t>’</w:t>
      </w:r>
      <w:r w:rsidRPr="00600AA8">
        <w:rPr>
          <w:i/>
          <w:iCs/>
        </w:rPr>
        <w:t>n of Regulatory Util. Comm</w:t>
      </w:r>
      <w:r>
        <w:rPr>
          <w:i/>
          <w:iCs/>
        </w:rPr>
        <w:t>’</w:t>
      </w:r>
      <w:r w:rsidRPr="00600AA8">
        <w:rPr>
          <w:i/>
          <w:iCs/>
        </w:rPr>
        <w:t xml:space="preserve">rs v. </w:t>
      </w:r>
      <w:r>
        <w:rPr>
          <w:i/>
          <w:iCs/>
        </w:rPr>
        <w:t>FERC</w:t>
      </w:r>
      <w:r w:rsidRPr="00600AA8">
        <w:t>, 964 F.3d 1177 (D.C. Cir. 2020)</w:t>
      </w:r>
      <w:r>
        <w:t>.  The concern I express is prudential, not legal.</w:t>
      </w:r>
    </w:p>
  </w:footnote>
  <w:footnote w:id="857">
    <w:p w:rsidRPr="004C5FB2" w:rsidR="004511E0" w:rsidP="002D2AB9" w:rsidRDefault="004511E0" w14:paraId="5D271E06" w14:textId="77777777">
      <w:pPr>
        <w:pStyle w:val="FootnoteText"/>
      </w:pPr>
      <w:r>
        <w:rPr>
          <w:rStyle w:val="FootnoteReference"/>
        </w:rPr>
        <w:footnoteRef/>
      </w:r>
      <w:r>
        <w:t xml:space="preserve"> </w:t>
      </w:r>
      <w:r w:rsidRPr="002C63A8">
        <w:rPr>
          <w:i/>
          <w:iCs/>
        </w:rPr>
        <w:t>Midwest ISO Transmission Owners v. F</w:t>
      </w:r>
      <w:r>
        <w:rPr>
          <w:i/>
          <w:iCs/>
        </w:rPr>
        <w:t>ERC</w:t>
      </w:r>
      <w:r w:rsidRPr="004C5FB2">
        <w:t>, 373 F.3d 1361, 1372 (D.C. Cir. 2004)</w:t>
      </w:r>
      <w:r>
        <w:t>.</w:t>
      </w:r>
      <w:r w:rsidRPr="004C5FB2">
        <w:br/>
      </w:r>
    </w:p>
    <w:p w:rsidR="004511E0" w:rsidP="002D2AB9" w:rsidRDefault="004511E0" w14:paraId="40B7C05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P="002468EF" w:rsidRDefault="00FB7F86" w14:paraId="52DC3FF1" w14:textId="2CC89EFA">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cclxxvi</w:t>
    </w:r>
    <w:r>
      <w:rPr>
        <w:rStyle w:val="PageNumber"/>
      </w:rPr>
      <w:fldChar w:fldCharType="end"/>
    </w:r>
  </w:p>
  <w:p w:rsidR="00FB7F86" w:rsidP="002468EF" w:rsidRDefault="00FB7F86" w14:paraId="668DF104"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P="00A054BC" w:rsidRDefault="00FB7F86" w14:paraId="111DC45F" w14:textId="77777777">
    <w:pPr>
      <w:pStyle w:val="Header"/>
      <w:tabs>
        <w:tab w:val="clear" w:pos="4680"/>
      </w:tabs>
      <w:spacing w:after="240"/>
    </w:pPr>
    <w:r>
      <w:t xml:space="preserve">Docket No. RM18-9-000 </w:t>
    </w:r>
    <w:r>
      <w:tab/>
    </w:r>
    <w:r>
      <w:fldChar w:fldCharType="begin"/>
    </w:r>
    <w:r>
      <w:instrText xml:space="preserve"> PAGE  \* MERGEFORMAT </w:instrText>
    </w:r>
    <w:r>
      <w:fldChar w:fldCharType="separate"/>
    </w:r>
    <w:r>
      <w:rPr>
        <w:noProof/>
      </w:rPr>
      <w:t>ii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RDefault="00FB7F86" w14:paraId="66AB5CF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P="00407EE0" w:rsidRDefault="00FB7F86" w14:paraId="32B14D0C"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FB7F86" w:rsidP="00407EE0" w:rsidRDefault="00FB7F86" w14:paraId="56E5A2A5" w14:textId="777777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P="00A054BC" w:rsidRDefault="00FB7F86" w14:paraId="2D5B39E4" w14:textId="77777777">
    <w:pPr>
      <w:pStyle w:val="Header"/>
      <w:tabs>
        <w:tab w:val="clear" w:pos="4680"/>
      </w:tabs>
      <w:spacing w:after="240"/>
    </w:pPr>
    <w:r>
      <w:t xml:space="preserve">Docket No. RM18-9-000 </w:t>
    </w:r>
    <w:r>
      <w:tab/>
    </w:r>
    <w:r>
      <w:fldChar w:fldCharType="begin"/>
    </w:r>
    <w:r>
      <w:instrText xml:space="preserve"> PAGE  \* MERGEFORMAT </w:instrText>
    </w:r>
    <w:r>
      <w:fldChar w:fldCharType="separate"/>
    </w:r>
    <w:r>
      <w:rPr>
        <w:noProof/>
      </w:rPr>
      <w:t>- 31 -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7F86" w:rsidP="00EC3F55" w:rsidRDefault="00FB7F86" w14:paraId="39333633" w14:textId="77777777">
    <w:pPr>
      <w:pStyle w:val="Header"/>
      <w:tabs>
        <w:tab w:val="clea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20B" w:rsidP="002D2AB9" w:rsidRDefault="0048020B" w14:paraId="05E80FCC"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CEB">
      <w:rPr>
        <w:rStyle w:val="PageNumber"/>
        <w:noProof/>
      </w:rPr>
      <w:t>- 1 -</w:t>
    </w:r>
    <w:r>
      <w:rPr>
        <w:rStyle w:val="PageNumber"/>
      </w:rPr>
      <w:fldChar w:fldCharType="end"/>
    </w:r>
  </w:p>
  <w:p w:rsidR="0048020B" w:rsidP="002D2AB9" w:rsidRDefault="0048020B" w14:paraId="32B2C4F3" w14:textId="77777777">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7304E" w:rsidP="002D2AB9" w:rsidRDefault="004511E0" w14:paraId="4FBA789B" w14:textId="77777777">
    <w:pPr>
      <w:pStyle w:val="Header"/>
      <w:tabs>
        <w:tab w:val="clear" w:pos="4680"/>
      </w:tabs>
      <w:spacing w:after="240"/>
    </w:pPr>
    <w:r>
      <w:rPr>
        <w:noProof/>
      </w:rPr>
      <mc:AlternateContent>
        <mc:Choice Requires="wps">
          <w:drawing>
            <wp:anchor distT="0" distB="0" distL="114300" distR="114300" simplePos="0" relativeHeight="251658240" behindDoc="0" locked="0" layoutInCell="0" allowOverlap="1" wp14:anchorId="5FE5E616" wp14:editId="11B8BB2D">
              <wp:simplePos x="0" y="0"/>
              <wp:positionH relativeFrom="page">
                <wp:posOffset>0</wp:posOffset>
              </wp:positionH>
              <wp:positionV relativeFrom="page">
                <wp:posOffset>190500</wp:posOffset>
              </wp:positionV>
              <wp:extent cx="7772400" cy="266700"/>
              <wp:effectExtent l="0" t="0" r="0" b="0"/>
              <wp:wrapNone/>
              <wp:docPr id="1" name="MSIPCMc41a42d5974bd9d780aca551"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653BB" w:rsidR="002D2AB9" w:rsidP="002D2AB9" w:rsidRDefault="002D2AB9" w14:paraId="6459D218" w14:textId="7777777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9C6E575">
            <v:shapetype id="_x0000_t202" coordsize="21600,21600" o:spt="202" path="m,l,21600r21600,l21600,xe" w14:anchorId="5FE5E616">
              <v:stroke joinstyle="miter"/>
              <v:path gradientshapeok="t" o:connecttype="rect"/>
            </v:shapetype>
            <v:shape id="MSIPCMc41a42d5974bd9d780aca551"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92912587,&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v:textbox inset=",0,,0">
                <w:txbxContent>
                  <w:p w:rsidRPr="00F653BB" w:rsidR="002D2AB9" w:rsidP="002D2AB9" w:rsidRDefault="002D2AB9" w14:paraId="672A6659" w14:textId="77777777">
                    <w:pPr>
                      <w:jc w:val="center"/>
                      <w:rPr>
                        <w:color w:val="A80000"/>
                      </w:rPr>
                    </w:pPr>
                  </w:p>
                </w:txbxContent>
              </v:textbox>
              <w10:wrap anchorx="page" anchory="page"/>
            </v:shape>
          </w:pict>
        </mc:Fallback>
      </mc:AlternateContent>
    </w:r>
    <w:r>
      <w:t xml:space="preserve"> Docket No. RM18-9-000 </w:t>
    </w:r>
    <w:r>
      <w:tab/>
    </w:r>
    <w:r>
      <w:fldChar w:fldCharType="begin"/>
    </w:r>
    <w:r>
      <w:instrText xml:space="preserve"> PAGE  \* MERGEFORMAT </w:instrText>
    </w:r>
    <w:r>
      <w:fldChar w:fldCharType="separate"/>
    </w:r>
    <w:r>
      <w:rPr>
        <w:noProof/>
      </w:rPr>
      <w:t>- 16 -</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8020B" w:rsidP="00EC3F55" w:rsidRDefault="004511E0" w14:paraId="26358767" w14:textId="77777777">
    <w:pPr>
      <w:pStyle w:val="Header"/>
      <w:tabs>
        <w:tab w:val="clear" w:pos="4680"/>
      </w:tabs>
    </w:pPr>
    <w:r>
      <w:rPr>
        <w:noProof/>
      </w:rPr>
      <mc:AlternateContent>
        <mc:Choice Requires="wps">
          <w:drawing>
            <wp:anchor distT="0" distB="0" distL="114300" distR="114300" simplePos="0" relativeHeight="251658241" behindDoc="0" locked="0" layoutInCell="0" allowOverlap="1" wp14:anchorId="76F17760" wp14:editId="287D8966">
              <wp:simplePos x="0" y="0"/>
              <wp:positionH relativeFrom="page">
                <wp:posOffset>0</wp:posOffset>
              </wp:positionH>
              <wp:positionV relativeFrom="page">
                <wp:posOffset>190500</wp:posOffset>
              </wp:positionV>
              <wp:extent cx="7772400" cy="266700"/>
              <wp:effectExtent l="0" t="0" r="0" b="0"/>
              <wp:wrapNone/>
              <wp:docPr id="2" name="MSIPCMb55e4ad4b3b706e5225cf67f"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653BB" w:rsidR="002D2AB9" w:rsidP="002D2AB9" w:rsidRDefault="002D2AB9" w14:paraId="2B3858DF" w14:textId="77777777">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7A3EF0B">
            <v:shapetype id="_x0000_t202" coordsize="21600,21600" o:spt="202" path="m,l,21600r21600,l21600,xe" w14:anchorId="76F17760">
              <v:stroke joinstyle="miter"/>
              <v:path gradientshapeok="t" o:connecttype="rect"/>
            </v:shapetype>
            <v:shape id="MSIPCMb55e4ad4b3b706e5225cf67f" style="position:absolute;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92912587,&quot;Height&quot;:792.0,&quot;Width&quot;:612.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w3FAIAACsEAAAOAAAAZHJzL2Uyb0RvYy54bWysU02P2jAQvVfqf7B8LwmUQhsRVnRXVJXQ&#10;7kpstWfj2CSS7XFtQ0J/fccOAbTtqerFGc9M5uO958VdpxU5CucbMCUdj3JKhOFQNWZf0h8v6w+f&#10;KfGBmYopMKKkJ+Hp3fL9u0VrCzGBGlQlHMEixhetLWkdgi2yzPNaaOZHYIXBoASnWcCr22eVYy1W&#10;1yqb5Pksa8FV1gEX3qP3oQ/SZaovpeDhSUovAlElxdlCOl06d/HMlgtW7B2zdcPPY7B/mEKzxmDT&#10;S6kHFhg5uOaPUrrhDjzIMOKgM5Cy4SLtgNuM8zfbbGtmRdoFwfH2ApP/f2X543Frnx0J3VfokMAI&#10;SGt94dEZ9+mk0/GLkxKMI4SnC2yiC4Sjcz6fT6Y5hjjGJrPZHG0sk13/ts6HbwI0iUZJHdKS0GLH&#10;jQ996pASmxlYN0olapQhbUlnHz/l6YdLBIsrgz2us0YrdLuONNXNHjuoTrieg555b/m6wRk2zIdn&#10;5pBqHBvlG57wkAqwF5wtSmpwv/7mj/nIAEYpaVE6JfU/D8wJStR3g9x8GU+nUWvpgoa79e4Grzno&#10;e0BVjvGBWJ7MmBvUYEoH+hXVvYrdMMQMx54lDYN5H3oh4+vgYrVKSagqy8LGbC2PpSOaEdmX7pU5&#10;e4Y/IHGPMIiLFW9Y6HN7HlaHALJJFEV8ezTPsKMiE8nn1xMlf3tPWdc3vvwNAAD//wMAUEsDBBQA&#10;BgAIAAAAIQBoO5V22wAAAAcBAAAPAAAAZHJzL2Rvd25yZXYueG1sTI/BTsMwDIbvSLxDZCRuLKEg&#10;yrqmEwLtgoRExy7cssa0FYlTNVlb3h7vBCfb+q3Pn8vt4p2YcIx9IA23KwUCqQm2p1bD4WN38wgi&#10;JkPWuECo4QcjbKvLi9IUNsxU47RPrWAIxcJo6FIaCilj06E3cRUGJM6+wuhN4nFspR3NzHDvZKbU&#10;g/SmJ77QmQGfO2y+9yfPlPXL65Le8vcQXb2bJ/95yOtB6+ur5WkDIuGS/pbhrM/qULHTMZzIRuE0&#10;8CNJw53iek6z7J67o4Y8UyCrUv73r34BAAD//wMAUEsBAi0AFAAGAAgAAAAhALaDOJL+AAAA4QEA&#10;ABMAAAAAAAAAAAAAAAAAAAAAAFtDb250ZW50X1R5cGVzXS54bWxQSwECLQAUAAYACAAAACEAOP0h&#10;/9YAAACUAQAACwAAAAAAAAAAAAAAAAAvAQAAX3JlbHMvLnJlbHNQSwECLQAUAAYACAAAACEAMaEc&#10;NxQCAAArBAAADgAAAAAAAAAAAAAAAAAuAgAAZHJzL2Uyb0RvYy54bWxQSwECLQAUAAYACAAAACEA&#10;aDuVdtsAAAAHAQAADwAAAAAAAAAAAAAAAABuBAAAZHJzL2Rvd25yZXYueG1sUEsFBgAAAAAEAAQA&#10;8wAAAHYFAAAAAA==&#10;">
              <v:textbox inset=",0,,0">
                <w:txbxContent>
                  <w:p w:rsidRPr="00F653BB" w:rsidR="002D2AB9" w:rsidP="002D2AB9" w:rsidRDefault="002D2AB9" w14:paraId="0A37501D" w14:textId="77777777">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hint="default" w:ascii="Times New Roman" w:hAnsi="Times New Roman" w:cs="Times New Roman" w:eastAsiaTheme="minorHAnsi"/>
      </w:rPr>
    </w:lvl>
    <w:lvl w:ilvl="1" w:tplc="04090003" w:tentative="1">
      <w:start w:val="1"/>
      <w:numFmt w:val="bullet"/>
      <w:lvlText w:val="o"/>
      <w:lvlJc w:val="left"/>
      <w:pPr>
        <w:ind w:left="10050" w:hanging="360"/>
      </w:pPr>
      <w:rPr>
        <w:rFonts w:hint="default" w:ascii="Courier New" w:hAnsi="Courier New" w:cs="Courier New"/>
      </w:rPr>
    </w:lvl>
    <w:lvl w:ilvl="2" w:tplc="04090005" w:tentative="1">
      <w:start w:val="1"/>
      <w:numFmt w:val="bullet"/>
      <w:lvlText w:val=""/>
      <w:lvlJc w:val="left"/>
      <w:pPr>
        <w:ind w:left="10770" w:hanging="360"/>
      </w:pPr>
      <w:rPr>
        <w:rFonts w:hint="default" w:ascii="Wingdings" w:hAnsi="Wingdings"/>
      </w:rPr>
    </w:lvl>
    <w:lvl w:ilvl="3" w:tplc="04090001" w:tentative="1">
      <w:start w:val="1"/>
      <w:numFmt w:val="bullet"/>
      <w:lvlText w:val=""/>
      <w:lvlJc w:val="left"/>
      <w:pPr>
        <w:ind w:left="11490" w:hanging="360"/>
      </w:pPr>
      <w:rPr>
        <w:rFonts w:hint="default" w:ascii="Symbol" w:hAnsi="Symbol"/>
      </w:rPr>
    </w:lvl>
    <w:lvl w:ilvl="4" w:tplc="04090003" w:tentative="1">
      <w:start w:val="1"/>
      <w:numFmt w:val="bullet"/>
      <w:lvlText w:val="o"/>
      <w:lvlJc w:val="left"/>
      <w:pPr>
        <w:ind w:left="12210" w:hanging="360"/>
      </w:pPr>
      <w:rPr>
        <w:rFonts w:hint="default" w:ascii="Courier New" w:hAnsi="Courier New" w:cs="Courier New"/>
      </w:rPr>
    </w:lvl>
    <w:lvl w:ilvl="5" w:tplc="04090005" w:tentative="1">
      <w:start w:val="1"/>
      <w:numFmt w:val="bullet"/>
      <w:lvlText w:val=""/>
      <w:lvlJc w:val="left"/>
      <w:pPr>
        <w:ind w:left="12930" w:hanging="360"/>
      </w:pPr>
      <w:rPr>
        <w:rFonts w:hint="default" w:ascii="Wingdings" w:hAnsi="Wingdings"/>
      </w:rPr>
    </w:lvl>
    <w:lvl w:ilvl="6" w:tplc="04090001" w:tentative="1">
      <w:start w:val="1"/>
      <w:numFmt w:val="bullet"/>
      <w:lvlText w:val=""/>
      <w:lvlJc w:val="left"/>
      <w:pPr>
        <w:ind w:left="13650" w:hanging="360"/>
      </w:pPr>
      <w:rPr>
        <w:rFonts w:hint="default" w:ascii="Symbol" w:hAnsi="Symbol"/>
      </w:rPr>
    </w:lvl>
    <w:lvl w:ilvl="7" w:tplc="04090003" w:tentative="1">
      <w:start w:val="1"/>
      <w:numFmt w:val="bullet"/>
      <w:lvlText w:val="o"/>
      <w:lvlJc w:val="left"/>
      <w:pPr>
        <w:ind w:left="14370" w:hanging="360"/>
      </w:pPr>
      <w:rPr>
        <w:rFonts w:hint="default" w:ascii="Courier New" w:hAnsi="Courier New" w:cs="Courier New"/>
      </w:rPr>
    </w:lvl>
    <w:lvl w:ilvl="8" w:tplc="04090005" w:tentative="1">
      <w:start w:val="1"/>
      <w:numFmt w:val="bullet"/>
      <w:lvlText w:val=""/>
      <w:lvlJc w:val="left"/>
      <w:pPr>
        <w:ind w:left="15090" w:hanging="360"/>
      </w:pPr>
      <w:rPr>
        <w:rFonts w:hint="default" w:ascii="Wingdings" w:hAnsi="Wingdings"/>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hint="default" w:ascii="Times New Roman" w:hAnsi="Times New Roman" w:cs="Times New Roman" w:eastAsiaTheme="minorHAnsi"/>
      </w:rPr>
    </w:lvl>
    <w:lvl w:ilvl="1" w:tplc="04090003" w:tentative="1">
      <w:start w:val="1"/>
      <w:numFmt w:val="bullet"/>
      <w:lvlText w:val="o"/>
      <w:lvlJc w:val="left"/>
      <w:pPr>
        <w:ind w:left="10200" w:hanging="360"/>
      </w:pPr>
      <w:rPr>
        <w:rFonts w:hint="default" w:ascii="Courier New" w:hAnsi="Courier New" w:cs="Courier New"/>
      </w:rPr>
    </w:lvl>
    <w:lvl w:ilvl="2" w:tplc="04090005" w:tentative="1">
      <w:start w:val="1"/>
      <w:numFmt w:val="bullet"/>
      <w:lvlText w:val=""/>
      <w:lvlJc w:val="left"/>
      <w:pPr>
        <w:ind w:left="10920" w:hanging="360"/>
      </w:pPr>
      <w:rPr>
        <w:rFonts w:hint="default" w:ascii="Wingdings" w:hAnsi="Wingdings"/>
      </w:rPr>
    </w:lvl>
    <w:lvl w:ilvl="3" w:tplc="04090001" w:tentative="1">
      <w:start w:val="1"/>
      <w:numFmt w:val="bullet"/>
      <w:lvlText w:val=""/>
      <w:lvlJc w:val="left"/>
      <w:pPr>
        <w:ind w:left="11640" w:hanging="360"/>
      </w:pPr>
      <w:rPr>
        <w:rFonts w:hint="default" w:ascii="Symbol" w:hAnsi="Symbol"/>
      </w:rPr>
    </w:lvl>
    <w:lvl w:ilvl="4" w:tplc="04090003" w:tentative="1">
      <w:start w:val="1"/>
      <w:numFmt w:val="bullet"/>
      <w:lvlText w:val="o"/>
      <w:lvlJc w:val="left"/>
      <w:pPr>
        <w:ind w:left="12360" w:hanging="360"/>
      </w:pPr>
      <w:rPr>
        <w:rFonts w:hint="default" w:ascii="Courier New" w:hAnsi="Courier New" w:cs="Courier New"/>
      </w:rPr>
    </w:lvl>
    <w:lvl w:ilvl="5" w:tplc="04090005" w:tentative="1">
      <w:start w:val="1"/>
      <w:numFmt w:val="bullet"/>
      <w:lvlText w:val=""/>
      <w:lvlJc w:val="left"/>
      <w:pPr>
        <w:ind w:left="13080" w:hanging="360"/>
      </w:pPr>
      <w:rPr>
        <w:rFonts w:hint="default" w:ascii="Wingdings" w:hAnsi="Wingdings"/>
      </w:rPr>
    </w:lvl>
    <w:lvl w:ilvl="6" w:tplc="04090001" w:tentative="1">
      <w:start w:val="1"/>
      <w:numFmt w:val="bullet"/>
      <w:lvlText w:val=""/>
      <w:lvlJc w:val="left"/>
      <w:pPr>
        <w:ind w:left="13800" w:hanging="360"/>
      </w:pPr>
      <w:rPr>
        <w:rFonts w:hint="default" w:ascii="Symbol" w:hAnsi="Symbol"/>
      </w:rPr>
    </w:lvl>
    <w:lvl w:ilvl="7" w:tplc="04090003" w:tentative="1">
      <w:start w:val="1"/>
      <w:numFmt w:val="bullet"/>
      <w:lvlText w:val="o"/>
      <w:lvlJc w:val="left"/>
      <w:pPr>
        <w:ind w:left="14520" w:hanging="360"/>
      </w:pPr>
      <w:rPr>
        <w:rFonts w:hint="default" w:ascii="Courier New" w:hAnsi="Courier New" w:cs="Courier New"/>
      </w:rPr>
    </w:lvl>
    <w:lvl w:ilvl="8" w:tplc="04090005" w:tentative="1">
      <w:start w:val="1"/>
      <w:numFmt w:val="bullet"/>
      <w:lvlText w:val=""/>
      <w:lvlJc w:val="left"/>
      <w:pPr>
        <w:ind w:left="15240" w:hanging="360"/>
      </w:pPr>
      <w:rPr>
        <w:rFonts w:hint="default" w:ascii="Wingdings" w:hAnsi="Wingdings"/>
      </w:rPr>
    </w:lvl>
  </w:abstractNum>
  <w:abstractNum w:abstractNumId="12" w15:restartNumberingAfterBreak="0">
    <w:nsid w:val="0CBE7D86"/>
    <w:multiLevelType w:val="hybridMultilevel"/>
    <w:tmpl w:val="A3707E7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6376CCE"/>
    <w:multiLevelType w:val="multilevel"/>
    <w:tmpl w:val="F580C10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764796D"/>
    <w:multiLevelType w:val="hybridMultilevel"/>
    <w:tmpl w:val="14EC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7" w15:restartNumberingAfterBreak="0">
    <w:nsid w:val="1E5A2883"/>
    <w:multiLevelType w:val="hybridMultilevel"/>
    <w:tmpl w:val="543635AE"/>
    <w:lvl w:ilvl="0" w:tplc="54246274">
      <w:start w:val="7"/>
      <w:numFmt w:val="bullet"/>
      <w:lvlText w:val="-"/>
      <w:lvlJc w:val="left"/>
      <w:pPr>
        <w:ind w:left="9330" w:hanging="360"/>
      </w:pPr>
      <w:rPr>
        <w:rFonts w:hint="default" w:ascii="Times New Roman" w:hAnsi="Times New Roman" w:cs="Times New Roman" w:eastAsiaTheme="minorHAnsi"/>
      </w:rPr>
    </w:lvl>
    <w:lvl w:ilvl="1" w:tplc="04090003" w:tentative="1">
      <w:start w:val="1"/>
      <w:numFmt w:val="bullet"/>
      <w:lvlText w:val="o"/>
      <w:lvlJc w:val="left"/>
      <w:pPr>
        <w:ind w:left="10050" w:hanging="360"/>
      </w:pPr>
      <w:rPr>
        <w:rFonts w:hint="default" w:ascii="Courier New" w:hAnsi="Courier New" w:cs="Courier New"/>
      </w:rPr>
    </w:lvl>
    <w:lvl w:ilvl="2" w:tplc="04090005" w:tentative="1">
      <w:start w:val="1"/>
      <w:numFmt w:val="bullet"/>
      <w:lvlText w:val=""/>
      <w:lvlJc w:val="left"/>
      <w:pPr>
        <w:ind w:left="10770" w:hanging="360"/>
      </w:pPr>
      <w:rPr>
        <w:rFonts w:hint="default" w:ascii="Wingdings" w:hAnsi="Wingdings"/>
      </w:rPr>
    </w:lvl>
    <w:lvl w:ilvl="3" w:tplc="04090001" w:tentative="1">
      <w:start w:val="1"/>
      <w:numFmt w:val="bullet"/>
      <w:lvlText w:val=""/>
      <w:lvlJc w:val="left"/>
      <w:pPr>
        <w:ind w:left="11490" w:hanging="360"/>
      </w:pPr>
      <w:rPr>
        <w:rFonts w:hint="default" w:ascii="Symbol" w:hAnsi="Symbol"/>
      </w:rPr>
    </w:lvl>
    <w:lvl w:ilvl="4" w:tplc="04090003" w:tentative="1">
      <w:start w:val="1"/>
      <w:numFmt w:val="bullet"/>
      <w:lvlText w:val="o"/>
      <w:lvlJc w:val="left"/>
      <w:pPr>
        <w:ind w:left="12210" w:hanging="360"/>
      </w:pPr>
      <w:rPr>
        <w:rFonts w:hint="default" w:ascii="Courier New" w:hAnsi="Courier New" w:cs="Courier New"/>
      </w:rPr>
    </w:lvl>
    <w:lvl w:ilvl="5" w:tplc="04090005" w:tentative="1">
      <w:start w:val="1"/>
      <w:numFmt w:val="bullet"/>
      <w:lvlText w:val=""/>
      <w:lvlJc w:val="left"/>
      <w:pPr>
        <w:ind w:left="12930" w:hanging="360"/>
      </w:pPr>
      <w:rPr>
        <w:rFonts w:hint="default" w:ascii="Wingdings" w:hAnsi="Wingdings"/>
      </w:rPr>
    </w:lvl>
    <w:lvl w:ilvl="6" w:tplc="04090001" w:tentative="1">
      <w:start w:val="1"/>
      <w:numFmt w:val="bullet"/>
      <w:lvlText w:val=""/>
      <w:lvlJc w:val="left"/>
      <w:pPr>
        <w:ind w:left="13650" w:hanging="360"/>
      </w:pPr>
      <w:rPr>
        <w:rFonts w:hint="default" w:ascii="Symbol" w:hAnsi="Symbol"/>
      </w:rPr>
    </w:lvl>
    <w:lvl w:ilvl="7" w:tplc="04090003" w:tentative="1">
      <w:start w:val="1"/>
      <w:numFmt w:val="bullet"/>
      <w:lvlText w:val="o"/>
      <w:lvlJc w:val="left"/>
      <w:pPr>
        <w:ind w:left="14370" w:hanging="360"/>
      </w:pPr>
      <w:rPr>
        <w:rFonts w:hint="default" w:ascii="Courier New" w:hAnsi="Courier New" w:cs="Courier New"/>
      </w:rPr>
    </w:lvl>
    <w:lvl w:ilvl="8" w:tplc="04090005" w:tentative="1">
      <w:start w:val="1"/>
      <w:numFmt w:val="bullet"/>
      <w:lvlText w:val=""/>
      <w:lvlJc w:val="left"/>
      <w:pPr>
        <w:ind w:left="15090" w:hanging="360"/>
      </w:pPr>
      <w:rPr>
        <w:rFonts w:hint="default" w:ascii="Wingdings" w:hAnsi="Wingdings"/>
      </w:rPr>
    </w:lvl>
  </w:abstractNum>
  <w:abstractNum w:abstractNumId="18" w15:restartNumberingAfterBreak="0">
    <w:nsid w:val="27F64F88"/>
    <w:multiLevelType w:val="hybridMultilevel"/>
    <w:tmpl w:val="D9621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B2EF2"/>
    <w:multiLevelType w:val="hybridMultilevel"/>
    <w:tmpl w:val="4DC8623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0" w15:restartNumberingAfterBreak="0">
    <w:nsid w:val="2A9A0C65"/>
    <w:multiLevelType w:val="hybridMultilevel"/>
    <w:tmpl w:val="A56CB37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1" w15:restartNumberingAfterBreak="0">
    <w:nsid w:val="5B6502FF"/>
    <w:multiLevelType w:val="multilevel"/>
    <w:tmpl w:val="095C7BA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2" w15:restartNumberingAfterBreak="0">
    <w:nsid w:val="66646187"/>
    <w:multiLevelType w:val="hybridMultilevel"/>
    <w:tmpl w:val="9DCC217A"/>
    <w:lvl w:ilvl="0" w:tplc="D43ED736">
      <w:start w:val="1"/>
      <w:numFmt w:val="bullet"/>
      <w:lvlText w:val=""/>
      <w:lvlJc w:val="left"/>
      <w:pPr>
        <w:tabs>
          <w:tab w:val="num" w:pos="360"/>
        </w:tabs>
        <w:ind w:left="720" w:hanging="360"/>
      </w:pPr>
      <w:rPr>
        <w:rFonts w:hint="default" w:ascii="Symbol" w:hAnsi="Symbol"/>
      </w:rPr>
    </w:lvl>
    <w:lvl w:ilvl="1" w:tplc="E760E52E" w:tentative="1">
      <w:start w:val="1"/>
      <w:numFmt w:val="bullet"/>
      <w:lvlText w:val="o"/>
      <w:lvlJc w:val="left"/>
      <w:pPr>
        <w:tabs>
          <w:tab w:val="num" w:pos="1440"/>
        </w:tabs>
        <w:ind w:left="1440" w:hanging="360"/>
      </w:pPr>
      <w:rPr>
        <w:rFonts w:hint="default" w:ascii="Courier New" w:hAnsi="Courier New" w:cs="Courier New"/>
      </w:rPr>
    </w:lvl>
    <w:lvl w:ilvl="2" w:tplc="A906EF2C" w:tentative="1">
      <w:start w:val="1"/>
      <w:numFmt w:val="bullet"/>
      <w:lvlText w:val=""/>
      <w:lvlJc w:val="left"/>
      <w:pPr>
        <w:tabs>
          <w:tab w:val="num" w:pos="2160"/>
        </w:tabs>
        <w:ind w:left="2160" w:hanging="360"/>
      </w:pPr>
      <w:rPr>
        <w:rFonts w:hint="default" w:ascii="Wingdings" w:hAnsi="Wingdings"/>
      </w:rPr>
    </w:lvl>
    <w:lvl w:ilvl="3" w:tplc="174C3630" w:tentative="1">
      <w:start w:val="1"/>
      <w:numFmt w:val="bullet"/>
      <w:lvlText w:val=""/>
      <w:lvlJc w:val="left"/>
      <w:pPr>
        <w:tabs>
          <w:tab w:val="num" w:pos="2880"/>
        </w:tabs>
        <w:ind w:left="2880" w:hanging="360"/>
      </w:pPr>
      <w:rPr>
        <w:rFonts w:hint="default" w:ascii="Symbol" w:hAnsi="Symbol"/>
      </w:rPr>
    </w:lvl>
    <w:lvl w:ilvl="4" w:tplc="2A58DF28" w:tentative="1">
      <w:start w:val="1"/>
      <w:numFmt w:val="bullet"/>
      <w:lvlText w:val="o"/>
      <w:lvlJc w:val="left"/>
      <w:pPr>
        <w:tabs>
          <w:tab w:val="num" w:pos="3600"/>
        </w:tabs>
        <w:ind w:left="3600" w:hanging="360"/>
      </w:pPr>
      <w:rPr>
        <w:rFonts w:hint="default" w:ascii="Courier New" w:hAnsi="Courier New" w:cs="Courier New"/>
      </w:rPr>
    </w:lvl>
    <w:lvl w:ilvl="5" w:tplc="9E04ADBC" w:tentative="1">
      <w:start w:val="1"/>
      <w:numFmt w:val="bullet"/>
      <w:lvlText w:val=""/>
      <w:lvlJc w:val="left"/>
      <w:pPr>
        <w:tabs>
          <w:tab w:val="num" w:pos="4320"/>
        </w:tabs>
        <w:ind w:left="4320" w:hanging="360"/>
      </w:pPr>
      <w:rPr>
        <w:rFonts w:hint="default" w:ascii="Wingdings" w:hAnsi="Wingdings"/>
      </w:rPr>
    </w:lvl>
    <w:lvl w:ilvl="6" w:tplc="B7582168" w:tentative="1">
      <w:start w:val="1"/>
      <w:numFmt w:val="bullet"/>
      <w:lvlText w:val=""/>
      <w:lvlJc w:val="left"/>
      <w:pPr>
        <w:tabs>
          <w:tab w:val="num" w:pos="5040"/>
        </w:tabs>
        <w:ind w:left="5040" w:hanging="360"/>
      </w:pPr>
      <w:rPr>
        <w:rFonts w:hint="default" w:ascii="Symbol" w:hAnsi="Symbol"/>
      </w:rPr>
    </w:lvl>
    <w:lvl w:ilvl="7" w:tplc="0C00A7B2" w:tentative="1">
      <w:start w:val="1"/>
      <w:numFmt w:val="bullet"/>
      <w:lvlText w:val="o"/>
      <w:lvlJc w:val="left"/>
      <w:pPr>
        <w:tabs>
          <w:tab w:val="num" w:pos="5760"/>
        </w:tabs>
        <w:ind w:left="5760" w:hanging="360"/>
      </w:pPr>
      <w:rPr>
        <w:rFonts w:hint="default" w:ascii="Courier New" w:hAnsi="Courier New" w:cs="Courier New"/>
      </w:rPr>
    </w:lvl>
    <w:lvl w:ilvl="8" w:tplc="FF02B8AE"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68181D5A"/>
    <w:multiLevelType w:val="hybridMultilevel"/>
    <w:tmpl w:val="12D4B2A6"/>
    <w:lvl w:ilvl="0" w:tplc="B642B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5" w15:restartNumberingAfterBreak="0">
    <w:nsid w:val="7CE23A04"/>
    <w:multiLevelType w:val="hybridMultilevel"/>
    <w:tmpl w:val="1842E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B09D3"/>
    <w:multiLevelType w:val="hybridMultilevel"/>
    <w:tmpl w:val="C6D688FA"/>
    <w:lvl w:ilvl="0" w:tplc="A886A3F8">
      <w:numFmt w:val="none"/>
      <w:pStyle w:val="FERCparanumber"/>
      <w:lvlText w:val=""/>
      <w:lvlJc w:val="left"/>
      <w:pPr>
        <w:tabs>
          <w:tab w:val="num" w:pos="360"/>
        </w:tabs>
      </w:p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7E4E4DD3"/>
    <w:multiLevelType w:val="hybridMultilevel"/>
    <w:tmpl w:val="ED2073C2"/>
    <w:lvl w:ilvl="0" w:tplc="D4323D40">
      <w:numFmt w:val="decimal"/>
      <w:pStyle w:val="Non-TOCStyle"/>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start w:val="-929497088"/>
      <w:numFmt w:val="decimalZero"/>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817601710">
    <w:abstractNumId w:val="9"/>
  </w:num>
  <w:num w:numId="2" w16cid:durableId="1987539858">
    <w:abstractNumId w:val="7"/>
  </w:num>
  <w:num w:numId="3" w16cid:durableId="542791513">
    <w:abstractNumId w:val="6"/>
  </w:num>
  <w:num w:numId="4" w16cid:durableId="1884561209">
    <w:abstractNumId w:val="5"/>
  </w:num>
  <w:num w:numId="5" w16cid:durableId="891230129">
    <w:abstractNumId w:val="4"/>
  </w:num>
  <w:num w:numId="6" w16cid:durableId="1415470226">
    <w:abstractNumId w:val="8"/>
  </w:num>
  <w:num w:numId="7" w16cid:durableId="1880823405">
    <w:abstractNumId w:val="3"/>
  </w:num>
  <w:num w:numId="8" w16cid:durableId="1858541766">
    <w:abstractNumId w:val="2"/>
  </w:num>
  <w:num w:numId="9" w16cid:durableId="121652571">
    <w:abstractNumId w:val="1"/>
  </w:num>
  <w:num w:numId="10" w16cid:durableId="504706924">
    <w:abstractNumId w:val="0"/>
  </w:num>
  <w:num w:numId="11" w16cid:durableId="745884049">
    <w:abstractNumId w:val="26"/>
  </w:num>
  <w:num w:numId="12" w16cid:durableId="1215042612">
    <w:abstractNumId w:val="22"/>
  </w:num>
  <w:num w:numId="13" w16cid:durableId="59906121">
    <w:abstractNumId w:val="16"/>
  </w:num>
  <w:num w:numId="14" w16cid:durableId="520510391">
    <w:abstractNumId w:val="24"/>
  </w:num>
  <w:num w:numId="15" w16cid:durableId="989599177">
    <w:abstractNumId w:val="21"/>
  </w:num>
  <w:num w:numId="16" w16cid:durableId="543830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1983506">
    <w:abstractNumId w:val="11"/>
  </w:num>
  <w:num w:numId="18" w16cid:durableId="581328957">
    <w:abstractNumId w:val="10"/>
  </w:num>
  <w:num w:numId="19" w16cid:durableId="135614441">
    <w:abstractNumId w:val="17"/>
  </w:num>
  <w:num w:numId="20" w16cid:durableId="853344523">
    <w:abstractNumId w:val="13"/>
  </w:num>
  <w:num w:numId="21" w16cid:durableId="1435859623">
    <w:abstractNumId w:val="27"/>
  </w:num>
  <w:num w:numId="22" w16cid:durableId="1698585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9184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3580433">
    <w:abstractNumId w:val="18"/>
  </w:num>
  <w:num w:numId="25" w16cid:durableId="761032572">
    <w:abstractNumId w:val="21"/>
  </w:num>
  <w:num w:numId="26" w16cid:durableId="1826623400">
    <w:abstractNumId w:val="12"/>
  </w:num>
  <w:num w:numId="27" w16cid:durableId="1938059550">
    <w:abstractNumId w:val="19"/>
  </w:num>
  <w:num w:numId="28" w16cid:durableId="2144806760">
    <w:abstractNumId w:val="20"/>
  </w:num>
  <w:num w:numId="29" w16cid:durableId="1828782567">
    <w:abstractNumId w:val="14"/>
  </w:num>
  <w:num w:numId="30" w16cid:durableId="1301960613">
    <w:abstractNumId w:val="14"/>
  </w:num>
  <w:num w:numId="31" w16cid:durableId="296229844">
    <w:abstractNumId w:val="23"/>
  </w:num>
  <w:num w:numId="32" w16cid:durableId="1203907649">
    <w:abstractNumId w:val="25"/>
  </w:num>
  <w:num w:numId="33" w16cid:durableId="1709531581">
    <w:abstractNumId w:val="15"/>
  </w:num>
  <w:num w:numId="34" w16cid:durableId="260262070">
    <w:abstractNumId w:val="26"/>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BC"/>
    <w:rsid w:val="00000061"/>
    <w:rsid w:val="000000E7"/>
    <w:rsid w:val="00000295"/>
    <w:rsid w:val="000003C3"/>
    <w:rsid w:val="00000610"/>
    <w:rsid w:val="000007BB"/>
    <w:rsid w:val="00000823"/>
    <w:rsid w:val="000008D9"/>
    <w:rsid w:val="000009D4"/>
    <w:rsid w:val="00000B13"/>
    <w:rsid w:val="00000C48"/>
    <w:rsid w:val="00000D7D"/>
    <w:rsid w:val="000010A2"/>
    <w:rsid w:val="000010D4"/>
    <w:rsid w:val="0000161A"/>
    <w:rsid w:val="000016FB"/>
    <w:rsid w:val="00001A81"/>
    <w:rsid w:val="00001D51"/>
    <w:rsid w:val="00001D72"/>
    <w:rsid w:val="00001D98"/>
    <w:rsid w:val="00001E4F"/>
    <w:rsid w:val="000021C9"/>
    <w:rsid w:val="000023C2"/>
    <w:rsid w:val="00002420"/>
    <w:rsid w:val="00002444"/>
    <w:rsid w:val="00002542"/>
    <w:rsid w:val="000027B1"/>
    <w:rsid w:val="0000293E"/>
    <w:rsid w:val="00002A04"/>
    <w:rsid w:val="00002B24"/>
    <w:rsid w:val="00002D08"/>
    <w:rsid w:val="00002D27"/>
    <w:rsid w:val="00002DF1"/>
    <w:rsid w:val="000031E8"/>
    <w:rsid w:val="00003245"/>
    <w:rsid w:val="00003340"/>
    <w:rsid w:val="0000338B"/>
    <w:rsid w:val="0000364F"/>
    <w:rsid w:val="00003851"/>
    <w:rsid w:val="000038B2"/>
    <w:rsid w:val="000039B2"/>
    <w:rsid w:val="00003A3C"/>
    <w:rsid w:val="00003CE6"/>
    <w:rsid w:val="00003E26"/>
    <w:rsid w:val="00003E53"/>
    <w:rsid w:val="00004436"/>
    <w:rsid w:val="00004495"/>
    <w:rsid w:val="000046DB"/>
    <w:rsid w:val="000046F6"/>
    <w:rsid w:val="0000472D"/>
    <w:rsid w:val="00004797"/>
    <w:rsid w:val="000049BF"/>
    <w:rsid w:val="000049FD"/>
    <w:rsid w:val="000050EB"/>
    <w:rsid w:val="00005215"/>
    <w:rsid w:val="0000567D"/>
    <w:rsid w:val="0000576E"/>
    <w:rsid w:val="00005C9E"/>
    <w:rsid w:val="00005DF4"/>
    <w:rsid w:val="00005E0E"/>
    <w:rsid w:val="00005E2C"/>
    <w:rsid w:val="00005F39"/>
    <w:rsid w:val="000062E4"/>
    <w:rsid w:val="00006324"/>
    <w:rsid w:val="0000637C"/>
    <w:rsid w:val="0000648C"/>
    <w:rsid w:val="00006560"/>
    <w:rsid w:val="00006595"/>
    <w:rsid w:val="000065AF"/>
    <w:rsid w:val="00006D00"/>
    <w:rsid w:val="00006D18"/>
    <w:rsid w:val="00006D77"/>
    <w:rsid w:val="0000731D"/>
    <w:rsid w:val="000076F0"/>
    <w:rsid w:val="0000777B"/>
    <w:rsid w:val="0000789F"/>
    <w:rsid w:val="00007A07"/>
    <w:rsid w:val="00007C81"/>
    <w:rsid w:val="00007DFD"/>
    <w:rsid w:val="00007EAC"/>
    <w:rsid w:val="00010019"/>
    <w:rsid w:val="0001005E"/>
    <w:rsid w:val="000101E9"/>
    <w:rsid w:val="00010428"/>
    <w:rsid w:val="000106D1"/>
    <w:rsid w:val="0001082B"/>
    <w:rsid w:val="00010A0C"/>
    <w:rsid w:val="00010D9B"/>
    <w:rsid w:val="00010E40"/>
    <w:rsid w:val="00010FA6"/>
    <w:rsid w:val="000114BF"/>
    <w:rsid w:val="000114CB"/>
    <w:rsid w:val="000114CD"/>
    <w:rsid w:val="0001156E"/>
    <w:rsid w:val="00011619"/>
    <w:rsid w:val="00011682"/>
    <w:rsid w:val="00011713"/>
    <w:rsid w:val="0001179E"/>
    <w:rsid w:val="000118C8"/>
    <w:rsid w:val="00011955"/>
    <w:rsid w:val="00011A2E"/>
    <w:rsid w:val="00011B97"/>
    <w:rsid w:val="00011C83"/>
    <w:rsid w:val="00011DFC"/>
    <w:rsid w:val="00012112"/>
    <w:rsid w:val="0001212A"/>
    <w:rsid w:val="00012159"/>
    <w:rsid w:val="00012498"/>
    <w:rsid w:val="000125D5"/>
    <w:rsid w:val="00012607"/>
    <w:rsid w:val="00012954"/>
    <w:rsid w:val="00012D2C"/>
    <w:rsid w:val="00012F10"/>
    <w:rsid w:val="00012FE0"/>
    <w:rsid w:val="0001307E"/>
    <w:rsid w:val="0001318E"/>
    <w:rsid w:val="000133EC"/>
    <w:rsid w:val="0001344D"/>
    <w:rsid w:val="00013588"/>
    <w:rsid w:val="00013599"/>
    <w:rsid w:val="000135E6"/>
    <w:rsid w:val="000135EB"/>
    <w:rsid w:val="000136B0"/>
    <w:rsid w:val="000136B7"/>
    <w:rsid w:val="00013834"/>
    <w:rsid w:val="0001388A"/>
    <w:rsid w:val="00013A7E"/>
    <w:rsid w:val="00013DB9"/>
    <w:rsid w:val="00013EC5"/>
    <w:rsid w:val="00013F2B"/>
    <w:rsid w:val="00014313"/>
    <w:rsid w:val="00014326"/>
    <w:rsid w:val="00014351"/>
    <w:rsid w:val="000143AA"/>
    <w:rsid w:val="000143D2"/>
    <w:rsid w:val="0001441C"/>
    <w:rsid w:val="0001445C"/>
    <w:rsid w:val="000144E3"/>
    <w:rsid w:val="0001456A"/>
    <w:rsid w:val="000145D5"/>
    <w:rsid w:val="00014699"/>
    <w:rsid w:val="0001485D"/>
    <w:rsid w:val="0001486C"/>
    <w:rsid w:val="000148DD"/>
    <w:rsid w:val="00014BB8"/>
    <w:rsid w:val="00014C30"/>
    <w:rsid w:val="00015070"/>
    <w:rsid w:val="000153B6"/>
    <w:rsid w:val="00015560"/>
    <w:rsid w:val="000155A2"/>
    <w:rsid w:val="00015616"/>
    <w:rsid w:val="000157B8"/>
    <w:rsid w:val="00015827"/>
    <w:rsid w:val="00015B67"/>
    <w:rsid w:val="00015D44"/>
    <w:rsid w:val="00015F35"/>
    <w:rsid w:val="00016073"/>
    <w:rsid w:val="000161C3"/>
    <w:rsid w:val="0001623F"/>
    <w:rsid w:val="0001633F"/>
    <w:rsid w:val="00016657"/>
    <w:rsid w:val="000167A3"/>
    <w:rsid w:val="00016E4A"/>
    <w:rsid w:val="00016F2B"/>
    <w:rsid w:val="00016F5C"/>
    <w:rsid w:val="00016FFD"/>
    <w:rsid w:val="0001711B"/>
    <w:rsid w:val="0001724E"/>
    <w:rsid w:val="00017382"/>
    <w:rsid w:val="00017575"/>
    <w:rsid w:val="000175CB"/>
    <w:rsid w:val="000177FE"/>
    <w:rsid w:val="0001785A"/>
    <w:rsid w:val="00017905"/>
    <w:rsid w:val="0001790A"/>
    <w:rsid w:val="00017BA3"/>
    <w:rsid w:val="00017F08"/>
    <w:rsid w:val="000200C8"/>
    <w:rsid w:val="0002022C"/>
    <w:rsid w:val="0002042F"/>
    <w:rsid w:val="000204E7"/>
    <w:rsid w:val="0002051A"/>
    <w:rsid w:val="00020560"/>
    <w:rsid w:val="0002076B"/>
    <w:rsid w:val="000208EC"/>
    <w:rsid w:val="0002090F"/>
    <w:rsid w:val="00020AAF"/>
    <w:rsid w:val="00020B67"/>
    <w:rsid w:val="00020CCD"/>
    <w:rsid w:val="00020EA3"/>
    <w:rsid w:val="000210EC"/>
    <w:rsid w:val="00021102"/>
    <w:rsid w:val="000215A3"/>
    <w:rsid w:val="000215E3"/>
    <w:rsid w:val="000216B4"/>
    <w:rsid w:val="000216B6"/>
    <w:rsid w:val="000218F2"/>
    <w:rsid w:val="000219D9"/>
    <w:rsid w:val="00021A99"/>
    <w:rsid w:val="00021A9B"/>
    <w:rsid w:val="00021D87"/>
    <w:rsid w:val="00021EFF"/>
    <w:rsid w:val="00022085"/>
    <w:rsid w:val="000220ED"/>
    <w:rsid w:val="00022399"/>
    <w:rsid w:val="00022494"/>
    <w:rsid w:val="000225FC"/>
    <w:rsid w:val="00022A33"/>
    <w:rsid w:val="00022B92"/>
    <w:rsid w:val="00022C1E"/>
    <w:rsid w:val="00022E16"/>
    <w:rsid w:val="00022FDA"/>
    <w:rsid w:val="0002307F"/>
    <w:rsid w:val="0002316D"/>
    <w:rsid w:val="000232E8"/>
    <w:rsid w:val="0002330C"/>
    <w:rsid w:val="00023495"/>
    <w:rsid w:val="000234F1"/>
    <w:rsid w:val="0002355F"/>
    <w:rsid w:val="000235B0"/>
    <w:rsid w:val="000235E6"/>
    <w:rsid w:val="000236E7"/>
    <w:rsid w:val="00023723"/>
    <w:rsid w:val="00023AC3"/>
    <w:rsid w:val="00023B26"/>
    <w:rsid w:val="00023C77"/>
    <w:rsid w:val="00023DAF"/>
    <w:rsid w:val="00023F48"/>
    <w:rsid w:val="00023FB1"/>
    <w:rsid w:val="00024397"/>
    <w:rsid w:val="000247C9"/>
    <w:rsid w:val="000247F4"/>
    <w:rsid w:val="00024BCC"/>
    <w:rsid w:val="00024D1F"/>
    <w:rsid w:val="00024E89"/>
    <w:rsid w:val="000250E1"/>
    <w:rsid w:val="00025144"/>
    <w:rsid w:val="00025381"/>
    <w:rsid w:val="000253EF"/>
    <w:rsid w:val="0002561D"/>
    <w:rsid w:val="0002566A"/>
    <w:rsid w:val="00025C39"/>
    <w:rsid w:val="00025EB7"/>
    <w:rsid w:val="00026087"/>
    <w:rsid w:val="000260A6"/>
    <w:rsid w:val="000260DD"/>
    <w:rsid w:val="000260F2"/>
    <w:rsid w:val="00026227"/>
    <w:rsid w:val="000262F5"/>
    <w:rsid w:val="0002650B"/>
    <w:rsid w:val="00026815"/>
    <w:rsid w:val="00026BF6"/>
    <w:rsid w:val="00026F25"/>
    <w:rsid w:val="000274DA"/>
    <w:rsid w:val="00027658"/>
    <w:rsid w:val="000277BF"/>
    <w:rsid w:val="00027887"/>
    <w:rsid w:val="000278A3"/>
    <w:rsid w:val="00027957"/>
    <w:rsid w:val="00027CD0"/>
    <w:rsid w:val="00027DA0"/>
    <w:rsid w:val="00027E11"/>
    <w:rsid w:val="00027F9A"/>
    <w:rsid w:val="00027FC8"/>
    <w:rsid w:val="00030157"/>
    <w:rsid w:val="000301C8"/>
    <w:rsid w:val="0003034B"/>
    <w:rsid w:val="000303C6"/>
    <w:rsid w:val="000304E2"/>
    <w:rsid w:val="000309C2"/>
    <w:rsid w:val="00030A76"/>
    <w:rsid w:val="00030B59"/>
    <w:rsid w:val="00030BE4"/>
    <w:rsid w:val="00030F3F"/>
    <w:rsid w:val="000310B3"/>
    <w:rsid w:val="00031138"/>
    <w:rsid w:val="00031565"/>
    <w:rsid w:val="00031596"/>
    <w:rsid w:val="00031680"/>
    <w:rsid w:val="00031A55"/>
    <w:rsid w:val="00031B55"/>
    <w:rsid w:val="00031BD4"/>
    <w:rsid w:val="00031C09"/>
    <w:rsid w:val="00031D7B"/>
    <w:rsid w:val="00031E51"/>
    <w:rsid w:val="00031F99"/>
    <w:rsid w:val="0003228F"/>
    <w:rsid w:val="000324C1"/>
    <w:rsid w:val="0003255B"/>
    <w:rsid w:val="00032624"/>
    <w:rsid w:val="00032853"/>
    <w:rsid w:val="00032993"/>
    <w:rsid w:val="00032A5F"/>
    <w:rsid w:val="00032A87"/>
    <w:rsid w:val="00032B91"/>
    <w:rsid w:val="00032C33"/>
    <w:rsid w:val="00032EFC"/>
    <w:rsid w:val="00033052"/>
    <w:rsid w:val="000330F6"/>
    <w:rsid w:val="000331DF"/>
    <w:rsid w:val="000332D6"/>
    <w:rsid w:val="0003345D"/>
    <w:rsid w:val="0003356F"/>
    <w:rsid w:val="00033873"/>
    <w:rsid w:val="0003387E"/>
    <w:rsid w:val="00033941"/>
    <w:rsid w:val="00033B80"/>
    <w:rsid w:val="00033D3E"/>
    <w:rsid w:val="00033F89"/>
    <w:rsid w:val="00034278"/>
    <w:rsid w:val="000342A4"/>
    <w:rsid w:val="000345C5"/>
    <w:rsid w:val="000345E2"/>
    <w:rsid w:val="00034AF6"/>
    <w:rsid w:val="00034E2D"/>
    <w:rsid w:val="000353F9"/>
    <w:rsid w:val="00035505"/>
    <w:rsid w:val="00035BAB"/>
    <w:rsid w:val="00035E70"/>
    <w:rsid w:val="00035F3D"/>
    <w:rsid w:val="00035FB2"/>
    <w:rsid w:val="00036083"/>
    <w:rsid w:val="00036116"/>
    <w:rsid w:val="00036738"/>
    <w:rsid w:val="00036780"/>
    <w:rsid w:val="0003693E"/>
    <w:rsid w:val="00036B8E"/>
    <w:rsid w:val="00036F48"/>
    <w:rsid w:val="00037205"/>
    <w:rsid w:val="00037314"/>
    <w:rsid w:val="00037643"/>
    <w:rsid w:val="000376B0"/>
    <w:rsid w:val="000376DD"/>
    <w:rsid w:val="00037910"/>
    <w:rsid w:val="00037AAF"/>
    <w:rsid w:val="00037C59"/>
    <w:rsid w:val="00037DF5"/>
    <w:rsid w:val="00037EE2"/>
    <w:rsid w:val="00037F04"/>
    <w:rsid w:val="00040369"/>
    <w:rsid w:val="00040449"/>
    <w:rsid w:val="000404A6"/>
    <w:rsid w:val="0004087A"/>
    <w:rsid w:val="00041119"/>
    <w:rsid w:val="0004132E"/>
    <w:rsid w:val="00041404"/>
    <w:rsid w:val="0004179A"/>
    <w:rsid w:val="000418C2"/>
    <w:rsid w:val="00041947"/>
    <w:rsid w:val="000419AB"/>
    <w:rsid w:val="00041BD6"/>
    <w:rsid w:val="00041C22"/>
    <w:rsid w:val="00041E2E"/>
    <w:rsid w:val="00041FB2"/>
    <w:rsid w:val="0004228B"/>
    <w:rsid w:val="000426E2"/>
    <w:rsid w:val="000428C4"/>
    <w:rsid w:val="000428CC"/>
    <w:rsid w:val="00042A09"/>
    <w:rsid w:val="00042B49"/>
    <w:rsid w:val="00042C90"/>
    <w:rsid w:val="00042CE0"/>
    <w:rsid w:val="00042D15"/>
    <w:rsid w:val="00042D5A"/>
    <w:rsid w:val="00042DB6"/>
    <w:rsid w:val="00042DC1"/>
    <w:rsid w:val="00042E61"/>
    <w:rsid w:val="00042FE1"/>
    <w:rsid w:val="00043165"/>
    <w:rsid w:val="00043335"/>
    <w:rsid w:val="000437D5"/>
    <w:rsid w:val="0004381F"/>
    <w:rsid w:val="00043875"/>
    <w:rsid w:val="00043904"/>
    <w:rsid w:val="0004390A"/>
    <w:rsid w:val="00043BFC"/>
    <w:rsid w:val="00043DA7"/>
    <w:rsid w:val="00043EFE"/>
    <w:rsid w:val="00043F27"/>
    <w:rsid w:val="00043F40"/>
    <w:rsid w:val="000440FF"/>
    <w:rsid w:val="000441FE"/>
    <w:rsid w:val="00044400"/>
    <w:rsid w:val="0004440E"/>
    <w:rsid w:val="0004465A"/>
    <w:rsid w:val="0004497D"/>
    <w:rsid w:val="00044A72"/>
    <w:rsid w:val="00044ADE"/>
    <w:rsid w:val="00044F68"/>
    <w:rsid w:val="00045300"/>
    <w:rsid w:val="000453E3"/>
    <w:rsid w:val="00045517"/>
    <w:rsid w:val="00045632"/>
    <w:rsid w:val="00045681"/>
    <w:rsid w:val="000456A6"/>
    <w:rsid w:val="0004576C"/>
    <w:rsid w:val="0004598A"/>
    <w:rsid w:val="00045D9C"/>
    <w:rsid w:val="00045DC5"/>
    <w:rsid w:val="00045E68"/>
    <w:rsid w:val="000461DA"/>
    <w:rsid w:val="0004624A"/>
    <w:rsid w:val="00046337"/>
    <w:rsid w:val="0004648D"/>
    <w:rsid w:val="00046578"/>
    <w:rsid w:val="0004677C"/>
    <w:rsid w:val="00046819"/>
    <w:rsid w:val="00046879"/>
    <w:rsid w:val="000469DC"/>
    <w:rsid w:val="00046C0B"/>
    <w:rsid w:val="00046E62"/>
    <w:rsid w:val="00046F24"/>
    <w:rsid w:val="00047309"/>
    <w:rsid w:val="00047327"/>
    <w:rsid w:val="000474B2"/>
    <w:rsid w:val="000474E0"/>
    <w:rsid w:val="00047C91"/>
    <w:rsid w:val="00047C9C"/>
    <w:rsid w:val="00047D22"/>
    <w:rsid w:val="000503AE"/>
    <w:rsid w:val="000507F7"/>
    <w:rsid w:val="00050905"/>
    <w:rsid w:val="00050A59"/>
    <w:rsid w:val="00050BA1"/>
    <w:rsid w:val="00050D66"/>
    <w:rsid w:val="00051169"/>
    <w:rsid w:val="00051431"/>
    <w:rsid w:val="000518CC"/>
    <w:rsid w:val="000518D8"/>
    <w:rsid w:val="0005191F"/>
    <w:rsid w:val="00051BB7"/>
    <w:rsid w:val="00051C73"/>
    <w:rsid w:val="00051E87"/>
    <w:rsid w:val="00051E92"/>
    <w:rsid w:val="00051F7C"/>
    <w:rsid w:val="00051FB1"/>
    <w:rsid w:val="000521E6"/>
    <w:rsid w:val="00052354"/>
    <w:rsid w:val="0005241F"/>
    <w:rsid w:val="0005243B"/>
    <w:rsid w:val="000525E7"/>
    <w:rsid w:val="00052752"/>
    <w:rsid w:val="000527FF"/>
    <w:rsid w:val="00052818"/>
    <w:rsid w:val="00052823"/>
    <w:rsid w:val="000529C1"/>
    <w:rsid w:val="00052A22"/>
    <w:rsid w:val="00052C45"/>
    <w:rsid w:val="00052D4F"/>
    <w:rsid w:val="00052D8F"/>
    <w:rsid w:val="00052E66"/>
    <w:rsid w:val="00052ED6"/>
    <w:rsid w:val="00053006"/>
    <w:rsid w:val="00053052"/>
    <w:rsid w:val="000530D9"/>
    <w:rsid w:val="00053136"/>
    <w:rsid w:val="000532F9"/>
    <w:rsid w:val="000533A8"/>
    <w:rsid w:val="000534AC"/>
    <w:rsid w:val="0005364B"/>
    <w:rsid w:val="0005398F"/>
    <w:rsid w:val="00053BA1"/>
    <w:rsid w:val="00053C6D"/>
    <w:rsid w:val="00053F0E"/>
    <w:rsid w:val="00053F1E"/>
    <w:rsid w:val="000540F0"/>
    <w:rsid w:val="000541C0"/>
    <w:rsid w:val="00054334"/>
    <w:rsid w:val="00054911"/>
    <w:rsid w:val="00054B83"/>
    <w:rsid w:val="00054D51"/>
    <w:rsid w:val="00054FF6"/>
    <w:rsid w:val="000550DC"/>
    <w:rsid w:val="0005527F"/>
    <w:rsid w:val="000552DB"/>
    <w:rsid w:val="000552E7"/>
    <w:rsid w:val="000554AF"/>
    <w:rsid w:val="000556C3"/>
    <w:rsid w:val="000558AC"/>
    <w:rsid w:val="00055A85"/>
    <w:rsid w:val="00055B1C"/>
    <w:rsid w:val="00055EC8"/>
    <w:rsid w:val="00055EDF"/>
    <w:rsid w:val="00055F3D"/>
    <w:rsid w:val="00055F5F"/>
    <w:rsid w:val="00055F97"/>
    <w:rsid w:val="0005612F"/>
    <w:rsid w:val="000561DB"/>
    <w:rsid w:val="00056282"/>
    <w:rsid w:val="0005630E"/>
    <w:rsid w:val="000566C0"/>
    <w:rsid w:val="0005673F"/>
    <w:rsid w:val="00056740"/>
    <w:rsid w:val="00056D57"/>
    <w:rsid w:val="00056DA7"/>
    <w:rsid w:val="00056F87"/>
    <w:rsid w:val="0005701F"/>
    <w:rsid w:val="00057151"/>
    <w:rsid w:val="00057163"/>
    <w:rsid w:val="00057220"/>
    <w:rsid w:val="00057302"/>
    <w:rsid w:val="0005732F"/>
    <w:rsid w:val="00057377"/>
    <w:rsid w:val="000573CB"/>
    <w:rsid w:val="000575A6"/>
    <w:rsid w:val="000575F7"/>
    <w:rsid w:val="000576B5"/>
    <w:rsid w:val="00057734"/>
    <w:rsid w:val="000578F5"/>
    <w:rsid w:val="00057A29"/>
    <w:rsid w:val="00057A5A"/>
    <w:rsid w:val="00057ADB"/>
    <w:rsid w:val="00057E0A"/>
    <w:rsid w:val="00057E15"/>
    <w:rsid w:val="000600C4"/>
    <w:rsid w:val="000601C6"/>
    <w:rsid w:val="00060455"/>
    <w:rsid w:val="0006050A"/>
    <w:rsid w:val="00060692"/>
    <w:rsid w:val="00060796"/>
    <w:rsid w:val="0006089E"/>
    <w:rsid w:val="00060BEB"/>
    <w:rsid w:val="00060D46"/>
    <w:rsid w:val="00060D91"/>
    <w:rsid w:val="00061075"/>
    <w:rsid w:val="0006117F"/>
    <w:rsid w:val="0006127E"/>
    <w:rsid w:val="00061342"/>
    <w:rsid w:val="00061360"/>
    <w:rsid w:val="0006147E"/>
    <w:rsid w:val="00061913"/>
    <w:rsid w:val="00061C6C"/>
    <w:rsid w:val="00061DD1"/>
    <w:rsid w:val="00061E2B"/>
    <w:rsid w:val="00061E4B"/>
    <w:rsid w:val="0006227A"/>
    <w:rsid w:val="00062407"/>
    <w:rsid w:val="00062678"/>
    <w:rsid w:val="0006273D"/>
    <w:rsid w:val="0006276D"/>
    <w:rsid w:val="00062928"/>
    <w:rsid w:val="000629BA"/>
    <w:rsid w:val="00062A1E"/>
    <w:rsid w:val="00062A2E"/>
    <w:rsid w:val="00062B13"/>
    <w:rsid w:val="00062B7D"/>
    <w:rsid w:val="00062D69"/>
    <w:rsid w:val="00062D6C"/>
    <w:rsid w:val="00062E28"/>
    <w:rsid w:val="000630E4"/>
    <w:rsid w:val="0006311F"/>
    <w:rsid w:val="00063447"/>
    <w:rsid w:val="000638A0"/>
    <w:rsid w:val="00063982"/>
    <w:rsid w:val="0006399F"/>
    <w:rsid w:val="000639D2"/>
    <w:rsid w:val="00063B61"/>
    <w:rsid w:val="00063C42"/>
    <w:rsid w:val="00063FC9"/>
    <w:rsid w:val="000641A3"/>
    <w:rsid w:val="0006426D"/>
    <w:rsid w:val="0006427C"/>
    <w:rsid w:val="0006433C"/>
    <w:rsid w:val="00064450"/>
    <w:rsid w:val="00064489"/>
    <w:rsid w:val="00064514"/>
    <w:rsid w:val="00064834"/>
    <w:rsid w:val="00064896"/>
    <w:rsid w:val="00064967"/>
    <w:rsid w:val="00064C8C"/>
    <w:rsid w:val="00064CD7"/>
    <w:rsid w:val="00064CF6"/>
    <w:rsid w:val="00064DCE"/>
    <w:rsid w:val="00064DE0"/>
    <w:rsid w:val="00064E1B"/>
    <w:rsid w:val="00064E34"/>
    <w:rsid w:val="00064FB2"/>
    <w:rsid w:val="000652D6"/>
    <w:rsid w:val="000654C1"/>
    <w:rsid w:val="00065577"/>
    <w:rsid w:val="000657F9"/>
    <w:rsid w:val="000658AE"/>
    <w:rsid w:val="000659E3"/>
    <w:rsid w:val="00065A6D"/>
    <w:rsid w:val="00065AC2"/>
    <w:rsid w:val="00065BDD"/>
    <w:rsid w:val="00065C4E"/>
    <w:rsid w:val="00065EFC"/>
    <w:rsid w:val="000661B9"/>
    <w:rsid w:val="0006626C"/>
    <w:rsid w:val="00066327"/>
    <w:rsid w:val="00066338"/>
    <w:rsid w:val="0006656D"/>
    <w:rsid w:val="00066584"/>
    <w:rsid w:val="000665C5"/>
    <w:rsid w:val="0006675F"/>
    <w:rsid w:val="00066793"/>
    <w:rsid w:val="0006686A"/>
    <w:rsid w:val="00066912"/>
    <w:rsid w:val="00066A04"/>
    <w:rsid w:val="00066AC7"/>
    <w:rsid w:val="00066C51"/>
    <w:rsid w:val="00066E47"/>
    <w:rsid w:val="00066ECF"/>
    <w:rsid w:val="00067068"/>
    <w:rsid w:val="00067078"/>
    <w:rsid w:val="00067210"/>
    <w:rsid w:val="000672C1"/>
    <w:rsid w:val="00067322"/>
    <w:rsid w:val="000677ED"/>
    <w:rsid w:val="00067914"/>
    <w:rsid w:val="000679F4"/>
    <w:rsid w:val="00067B69"/>
    <w:rsid w:val="00067CA3"/>
    <w:rsid w:val="00067D2E"/>
    <w:rsid w:val="00067D8C"/>
    <w:rsid w:val="00067E42"/>
    <w:rsid w:val="00067EB1"/>
    <w:rsid w:val="00067F75"/>
    <w:rsid w:val="0007006C"/>
    <w:rsid w:val="00070408"/>
    <w:rsid w:val="000704B7"/>
    <w:rsid w:val="00070857"/>
    <w:rsid w:val="00070865"/>
    <w:rsid w:val="000708EF"/>
    <w:rsid w:val="00070A24"/>
    <w:rsid w:val="00070B37"/>
    <w:rsid w:val="00070E96"/>
    <w:rsid w:val="00070EA0"/>
    <w:rsid w:val="00070ED6"/>
    <w:rsid w:val="000712D0"/>
    <w:rsid w:val="00071308"/>
    <w:rsid w:val="0007137E"/>
    <w:rsid w:val="000715B4"/>
    <w:rsid w:val="000715CA"/>
    <w:rsid w:val="00071643"/>
    <w:rsid w:val="000716FC"/>
    <w:rsid w:val="00071704"/>
    <w:rsid w:val="0007178B"/>
    <w:rsid w:val="00071CCC"/>
    <w:rsid w:val="00071CFC"/>
    <w:rsid w:val="00071DFE"/>
    <w:rsid w:val="00071E72"/>
    <w:rsid w:val="00071FD6"/>
    <w:rsid w:val="00072745"/>
    <w:rsid w:val="00072784"/>
    <w:rsid w:val="000729B0"/>
    <w:rsid w:val="00072A0F"/>
    <w:rsid w:val="00072DC3"/>
    <w:rsid w:val="00073002"/>
    <w:rsid w:val="000730C4"/>
    <w:rsid w:val="00073122"/>
    <w:rsid w:val="000731A5"/>
    <w:rsid w:val="000732FA"/>
    <w:rsid w:val="0007337D"/>
    <w:rsid w:val="000735F7"/>
    <w:rsid w:val="0007363F"/>
    <w:rsid w:val="0007367C"/>
    <w:rsid w:val="00073701"/>
    <w:rsid w:val="0007377C"/>
    <w:rsid w:val="000738DC"/>
    <w:rsid w:val="00073A3A"/>
    <w:rsid w:val="00073B12"/>
    <w:rsid w:val="00073D25"/>
    <w:rsid w:val="00073F21"/>
    <w:rsid w:val="000740A3"/>
    <w:rsid w:val="000740A9"/>
    <w:rsid w:val="000747EE"/>
    <w:rsid w:val="000748FD"/>
    <w:rsid w:val="00074A75"/>
    <w:rsid w:val="00074C18"/>
    <w:rsid w:val="00074DF5"/>
    <w:rsid w:val="0007500C"/>
    <w:rsid w:val="000750CB"/>
    <w:rsid w:val="00075159"/>
    <w:rsid w:val="00075188"/>
    <w:rsid w:val="000751D1"/>
    <w:rsid w:val="0007557D"/>
    <w:rsid w:val="00075603"/>
    <w:rsid w:val="00075760"/>
    <w:rsid w:val="00075A0F"/>
    <w:rsid w:val="00075D50"/>
    <w:rsid w:val="00075FDE"/>
    <w:rsid w:val="00076062"/>
    <w:rsid w:val="0007606B"/>
    <w:rsid w:val="0007629D"/>
    <w:rsid w:val="0007633A"/>
    <w:rsid w:val="0007636C"/>
    <w:rsid w:val="00076400"/>
    <w:rsid w:val="00076593"/>
    <w:rsid w:val="000765A9"/>
    <w:rsid w:val="00076735"/>
    <w:rsid w:val="00076A2C"/>
    <w:rsid w:val="00076A3A"/>
    <w:rsid w:val="00076A61"/>
    <w:rsid w:val="00076A6A"/>
    <w:rsid w:val="00076CBF"/>
    <w:rsid w:val="00076CCA"/>
    <w:rsid w:val="00076D4A"/>
    <w:rsid w:val="00076DA7"/>
    <w:rsid w:val="00076E46"/>
    <w:rsid w:val="00077129"/>
    <w:rsid w:val="00077408"/>
    <w:rsid w:val="000774A3"/>
    <w:rsid w:val="000775A9"/>
    <w:rsid w:val="0007792B"/>
    <w:rsid w:val="00077A18"/>
    <w:rsid w:val="00077C83"/>
    <w:rsid w:val="00077E5A"/>
    <w:rsid w:val="00077F36"/>
    <w:rsid w:val="000801EA"/>
    <w:rsid w:val="000803E7"/>
    <w:rsid w:val="000804B9"/>
    <w:rsid w:val="000804D3"/>
    <w:rsid w:val="0008054D"/>
    <w:rsid w:val="0008068E"/>
    <w:rsid w:val="0008076C"/>
    <w:rsid w:val="0008079E"/>
    <w:rsid w:val="000809C2"/>
    <w:rsid w:val="00080A05"/>
    <w:rsid w:val="00080A89"/>
    <w:rsid w:val="00080E78"/>
    <w:rsid w:val="00080F5F"/>
    <w:rsid w:val="00081118"/>
    <w:rsid w:val="000811A0"/>
    <w:rsid w:val="0008137C"/>
    <w:rsid w:val="00081564"/>
    <w:rsid w:val="00081B98"/>
    <w:rsid w:val="00081F5E"/>
    <w:rsid w:val="00082055"/>
    <w:rsid w:val="0008215A"/>
    <w:rsid w:val="000823A2"/>
    <w:rsid w:val="00082499"/>
    <w:rsid w:val="000825E3"/>
    <w:rsid w:val="0008261E"/>
    <w:rsid w:val="00082713"/>
    <w:rsid w:val="00082871"/>
    <w:rsid w:val="000828F4"/>
    <w:rsid w:val="00082DB2"/>
    <w:rsid w:val="00082E34"/>
    <w:rsid w:val="00082E79"/>
    <w:rsid w:val="00082F10"/>
    <w:rsid w:val="000830F4"/>
    <w:rsid w:val="00083190"/>
    <w:rsid w:val="0008325D"/>
    <w:rsid w:val="00083627"/>
    <w:rsid w:val="00083783"/>
    <w:rsid w:val="000838CE"/>
    <w:rsid w:val="00083A01"/>
    <w:rsid w:val="00083ADF"/>
    <w:rsid w:val="00083AFB"/>
    <w:rsid w:val="00083B3B"/>
    <w:rsid w:val="00083D04"/>
    <w:rsid w:val="00083D0E"/>
    <w:rsid w:val="00083D7C"/>
    <w:rsid w:val="0008408E"/>
    <w:rsid w:val="000842C8"/>
    <w:rsid w:val="0008435C"/>
    <w:rsid w:val="0008478C"/>
    <w:rsid w:val="00084866"/>
    <w:rsid w:val="00084924"/>
    <w:rsid w:val="00084A31"/>
    <w:rsid w:val="00084ACB"/>
    <w:rsid w:val="00084B1E"/>
    <w:rsid w:val="00084E4D"/>
    <w:rsid w:val="00084E6D"/>
    <w:rsid w:val="00084F61"/>
    <w:rsid w:val="00084F74"/>
    <w:rsid w:val="00085035"/>
    <w:rsid w:val="000850BE"/>
    <w:rsid w:val="0008520E"/>
    <w:rsid w:val="000852AF"/>
    <w:rsid w:val="000852BB"/>
    <w:rsid w:val="000853B4"/>
    <w:rsid w:val="000853E2"/>
    <w:rsid w:val="000853F9"/>
    <w:rsid w:val="0008551F"/>
    <w:rsid w:val="000855EC"/>
    <w:rsid w:val="00085820"/>
    <w:rsid w:val="00085B9D"/>
    <w:rsid w:val="00085DB8"/>
    <w:rsid w:val="00085E19"/>
    <w:rsid w:val="00086231"/>
    <w:rsid w:val="000862BE"/>
    <w:rsid w:val="000863BD"/>
    <w:rsid w:val="000863C4"/>
    <w:rsid w:val="00086426"/>
    <w:rsid w:val="000864AF"/>
    <w:rsid w:val="0008668B"/>
    <w:rsid w:val="00086794"/>
    <w:rsid w:val="000867C2"/>
    <w:rsid w:val="000867F7"/>
    <w:rsid w:val="000868D8"/>
    <w:rsid w:val="000869D2"/>
    <w:rsid w:val="00086A2F"/>
    <w:rsid w:val="00086C07"/>
    <w:rsid w:val="00086CB8"/>
    <w:rsid w:val="00086D40"/>
    <w:rsid w:val="00086D46"/>
    <w:rsid w:val="00086D98"/>
    <w:rsid w:val="00086DF4"/>
    <w:rsid w:val="00086E5E"/>
    <w:rsid w:val="0008700F"/>
    <w:rsid w:val="000871A2"/>
    <w:rsid w:val="000872FC"/>
    <w:rsid w:val="0008765C"/>
    <w:rsid w:val="0008769E"/>
    <w:rsid w:val="0008778D"/>
    <w:rsid w:val="000877F2"/>
    <w:rsid w:val="000879C3"/>
    <w:rsid w:val="00087B72"/>
    <w:rsid w:val="00087BAC"/>
    <w:rsid w:val="00087BDF"/>
    <w:rsid w:val="00087F6C"/>
    <w:rsid w:val="00090085"/>
    <w:rsid w:val="000900D7"/>
    <w:rsid w:val="00090347"/>
    <w:rsid w:val="000903D3"/>
    <w:rsid w:val="0009040A"/>
    <w:rsid w:val="00090416"/>
    <w:rsid w:val="0009045E"/>
    <w:rsid w:val="0009096A"/>
    <w:rsid w:val="0009106E"/>
    <w:rsid w:val="00091120"/>
    <w:rsid w:val="00091176"/>
    <w:rsid w:val="0009117E"/>
    <w:rsid w:val="000911AE"/>
    <w:rsid w:val="0009130C"/>
    <w:rsid w:val="0009152C"/>
    <w:rsid w:val="00091985"/>
    <w:rsid w:val="0009198E"/>
    <w:rsid w:val="00091BC6"/>
    <w:rsid w:val="00091CC5"/>
    <w:rsid w:val="00091CF4"/>
    <w:rsid w:val="00091D04"/>
    <w:rsid w:val="00091E26"/>
    <w:rsid w:val="000921F6"/>
    <w:rsid w:val="0009228D"/>
    <w:rsid w:val="0009234C"/>
    <w:rsid w:val="00092362"/>
    <w:rsid w:val="00092574"/>
    <w:rsid w:val="000925C4"/>
    <w:rsid w:val="00092634"/>
    <w:rsid w:val="00092693"/>
    <w:rsid w:val="0009284D"/>
    <w:rsid w:val="00092EB5"/>
    <w:rsid w:val="00092FCF"/>
    <w:rsid w:val="000930E8"/>
    <w:rsid w:val="000931C8"/>
    <w:rsid w:val="000931FA"/>
    <w:rsid w:val="00093457"/>
    <w:rsid w:val="000935BE"/>
    <w:rsid w:val="00093627"/>
    <w:rsid w:val="00093740"/>
    <w:rsid w:val="00093748"/>
    <w:rsid w:val="00093889"/>
    <w:rsid w:val="00093935"/>
    <w:rsid w:val="000939B2"/>
    <w:rsid w:val="000939CA"/>
    <w:rsid w:val="000939EB"/>
    <w:rsid w:val="00093AE7"/>
    <w:rsid w:val="00093BE0"/>
    <w:rsid w:val="00093D44"/>
    <w:rsid w:val="000942DA"/>
    <w:rsid w:val="0009431F"/>
    <w:rsid w:val="00094486"/>
    <w:rsid w:val="0009450E"/>
    <w:rsid w:val="000946D2"/>
    <w:rsid w:val="00094AD7"/>
    <w:rsid w:val="00094CD2"/>
    <w:rsid w:val="00094E4F"/>
    <w:rsid w:val="00094E97"/>
    <w:rsid w:val="00094F2B"/>
    <w:rsid w:val="00095223"/>
    <w:rsid w:val="000953F0"/>
    <w:rsid w:val="000956BD"/>
    <w:rsid w:val="000957D3"/>
    <w:rsid w:val="00095834"/>
    <w:rsid w:val="00095877"/>
    <w:rsid w:val="000959FA"/>
    <w:rsid w:val="00095B4F"/>
    <w:rsid w:val="00095C7D"/>
    <w:rsid w:val="00095DEE"/>
    <w:rsid w:val="0009603D"/>
    <w:rsid w:val="00096077"/>
    <w:rsid w:val="00096123"/>
    <w:rsid w:val="0009625B"/>
    <w:rsid w:val="0009626C"/>
    <w:rsid w:val="00096327"/>
    <w:rsid w:val="000963A6"/>
    <w:rsid w:val="000963A8"/>
    <w:rsid w:val="00096438"/>
    <w:rsid w:val="00096556"/>
    <w:rsid w:val="000966D0"/>
    <w:rsid w:val="000967A0"/>
    <w:rsid w:val="00096866"/>
    <w:rsid w:val="00096BDC"/>
    <w:rsid w:val="00096C01"/>
    <w:rsid w:val="00096C4D"/>
    <w:rsid w:val="00096C77"/>
    <w:rsid w:val="00096CA1"/>
    <w:rsid w:val="00096CC8"/>
    <w:rsid w:val="00096D67"/>
    <w:rsid w:val="00096F25"/>
    <w:rsid w:val="000974D2"/>
    <w:rsid w:val="00097588"/>
    <w:rsid w:val="00097622"/>
    <w:rsid w:val="00097803"/>
    <w:rsid w:val="00097856"/>
    <w:rsid w:val="00097936"/>
    <w:rsid w:val="00097AB6"/>
    <w:rsid w:val="00097BAA"/>
    <w:rsid w:val="00097C05"/>
    <w:rsid w:val="00097C8C"/>
    <w:rsid w:val="00097E12"/>
    <w:rsid w:val="00097F8B"/>
    <w:rsid w:val="000A0054"/>
    <w:rsid w:val="000A04A2"/>
    <w:rsid w:val="000A052A"/>
    <w:rsid w:val="000A07BE"/>
    <w:rsid w:val="000A0875"/>
    <w:rsid w:val="000A08D5"/>
    <w:rsid w:val="000A08E4"/>
    <w:rsid w:val="000A08FB"/>
    <w:rsid w:val="000A0915"/>
    <w:rsid w:val="000A0A23"/>
    <w:rsid w:val="000A0A77"/>
    <w:rsid w:val="000A0B61"/>
    <w:rsid w:val="000A0BF7"/>
    <w:rsid w:val="000A0C22"/>
    <w:rsid w:val="000A0C60"/>
    <w:rsid w:val="000A0E5E"/>
    <w:rsid w:val="000A0EEF"/>
    <w:rsid w:val="000A1176"/>
    <w:rsid w:val="000A120D"/>
    <w:rsid w:val="000A12B0"/>
    <w:rsid w:val="000A15FB"/>
    <w:rsid w:val="000A1AD3"/>
    <w:rsid w:val="000A1CAE"/>
    <w:rsid w:val="000A1D9B"/>
    <w:rsid w:val="000A1E3F"/>
    <w:rsid w:val="000A1E61"/>
    <w:rsid w:val="000A1E6D"/>
    <w:rsid w:val="000A1FA6"/>
    <w:rsid w:val="000A2162"/>
    <w:rsid w:val="000A21BC"/>
    <w:rsid w:val="000A21D2"/>
    <w:rsid w:val="000A21EE"/>
    <w:rsid w:val="000A2681"/>
    <w:rsid w:val="000A2A1C"/>
    <w:rsid w:val="000A2BC1"/>
    <w:rsid w:val="000A2BFD"/>
    <w:rsid w:val="000A2CC9"/>
    <w:rsid w:val="000A2DB9"/>
    <w:rsid w:val="000A2ECC"/>
    <w:rsid w:val="000A32E4"/>
    <w:rsid w:val="000A3419"/>
    <w:rsid w:val="000A3717"/>
    <w:rsid w:val="000A3A93"/>
    <w:rsid w:val="000A3C13"/>
    <w:rsid w:val="000A3D2F"/>
    <w:rsid w:val="000A41C5"/>
    <w:rsid w:val="000A4241"/>
    <w:rsid w:val="000A4296"/>
    <w:rsid w:val="000A42D2"/>
    <w:rsid w:val="000A44A7"/>
    <w:rsid w:val="000A4596"/>
    <w:rsid w:val="000A4760"/>
    <w:rsid w:val="000A4882"/>
    <w:rsid w:val="000A4AF4"/>
    <w:rsid w:val="000A4C0A"/>
    <w:rsid w:val="000A52AC"/>
    <w:rsid w:val="000A52E3"/>
    <w:rsid w:val="000A56BB"/>
    <w:rsid w:val="000A56F8"/>
    <w:rsid w:val="000A5815"/>
    <w:rsid w:val="000A5924"/>
    <w:rsid w:val="000A59CA"/>
    <w:rsid w:val="000A5A3F"/>
    <w:rsid w:val="000A5AA6"/>
    <w:rsid w:val="000A5AA9"/>
    <w:rsid w:val="000A5B62"/>
    <w:rsid w:val="000A5BF9"/>
    <w:rsid w:val="000A5D45"/>
    <w:rsid w:val="000A5FFE"/>
    <w:rsid w:val="000A6252"/>
    <w:rsid w:val="000A64E2"/>
    <w:rsid w:val="000A652E"/>
    <w:rsid w:val="000A65AD"/>
    <w:rsid w:val="000A6835"/>
    <w:rsid w:val="000A6837"/>
    <w:rsid w:val="000A68F8"/>
    <w:rsid w:val="000A698E"/>
    <w:rsid w:val="000A69D3"/>
    <w:rsid w:val="000A69E1"/>
    <w:rsid w:val="000A6AE2"/>
    <w:rsid w:val="000A6B22"/>
    <w:rsid w:val="000A6D09"/>
    <w:rsid w:val="000A6D4A"/>
    <w:rsid w:val="000A6DF6"/>
    <w:rsid w:val="000A6E96"/>
    <w:rsid w:val="000A6F6A"/>
    <w:rsid w:val="000A72D0"/>
    <w:rsid w:val="000A7394"/>
    <w:rsid w:val="000A7409"/>
    <w:rsid w:val="000A7469"/>
    <w:rsid w:val="000A7578"/>
    <w:rsid w:val="000A7607"/>
    <w:rsid w:val="000A76D3"/>
    <w:rsid w:val="000A7762"/>
    <w:rsid w:val="000A77A2"/>
    <w:rsid w:val="000A77B8"/>
    <w:rsid w:val="000A782B"/>
    <w:rsid w:val="000A7A1A"/>
    <w:rsid w:val="000A7A25"/>
    <w:rsid w:val="000A7AC9"/>
    <w:rsid w:val="000A7B1B"/>
    <w:rsid w:val="000A7C05"/>
    <w:rsid w:val="000A7E6A"/>
    <w:rsid w:val="000A7E8F"/>
    <w:rsid w:val="000A7F06"/>
    <w:rsid w:val="000A7F39"/>
    <w:rsid w:val="000A7FE0"/>
    <w:rsid w:val="000B0136"/>
    <w:rsid w:val="000B0246"/>
    <w:rsid w:val="000B042E"/>
    <w:rsid w:val="000B0614"/>
    <w:rsid w:val="000B061B"/>
    <w:rsid w:val="000B079D"/>
    <w:rsid w:val="000B07D9"/>
    <w:rsid w:val="000B087B"/>
    <w:rsid w:val="000B09D7"/>
    <w:rsid w:val="000B0C55"/>
    <w:rsid w:val="000B0CBA"/>
    <w:rsid w:val="000B0E0A"/>
    <w:rsid w:val="000B0FC8"/>
    <w:rsid w:val="000B10CF"/>
    <w:rsid w:val="000B1126"/>
    <w:rsid w:val="000B114C"/>
    <w:rsid w:val="000B1746"/>
    <w:rsid w:val="000B191B"/>
    <w:rsid w:val="000B1B8D"/>
    <w:rsid w:val="000B1C11"/>
    <w:rsid w:val="000B1C3B"/>
    <w:rsid w:val="000B1C70"/>
    <w:rsid w:val="000B1D4F"/>
    <w:rsid w:val="000B2052"/>
    <w:rsid w:val="000B2063"/>
    <w:rsid w:val="000B2420"/>
    <w:rsid w:val="000B25BE"/>
    <w:rsid w:val="000B2601"/>
    <w:rsid w:val="000B272B"/>
    <w:rsid w:val="000B28F6"/>
    <w:rsid w:val="000B2A4F"/>
    <w:rsid w:val="000B2AA4"/>
    <w:rsid w:val="000B2C7A"/>
    <w:rsid w:val="000B2CBC"/>
    <w:rsid w:val="000B2F11"/>
    <w:rsid w:val="000B3087"/>
    <w:rsid w:val="000B32B4"/>
    <w:rsid w:val="000B3449"/>
    <w:rsid w:val="000B3558"/>
    <w:rsid w:val="000B35C8"/>
    <w:rsid w:val="000B35F1"/>
    <w:rsid w:val="000B361E"/>
    <w:rsid w:val="000B36EB"/>
    <w:rsid w:val="000B38B0"/>
    <w:rsid w:val="000B38B1"/>
    <w:rsid w:val="000B3BDE"/>
    <w:rsid w:val="000B4124"/>
    <w:rsid w:val="000B4211"/>
    <w:rsid w:val="000B4503"/>
    <w:rsid w:val="000B45CA"/>
    <w:rsid w:val="000B45DD"/>
    <w:rsid w:val="000B4967"/>
    <w:rsid w:val="000B4B4C"/>
    <w:rsid w:val="000B509B"/>
    <w:rsid w:val="000B5332"/>
    <w:rsid w:val="000B55A1"/>
    <w:rsid w:val="000B5858"/>
    <w:rsid w:val="000B59C2"/>
    <w:rsid w:val="000B5B33"/>
    <w:rsid w:val="000B5BA1"/>
    <w:rsid w:val="000B5CB2"/>
    <w:rsid w:val="000B600A"/>
    <w:rsid w:val="000B6064"/>
    <w:rsid w:val="000B634F"/>
    <w:rsid w:val="000B6367"/>
    <w:rsid w:val="000B63E9"/>
    <w:rsid w:val="000B6592"/>
    <w:rsid w:val="000B6998"/>
    <w:rsid w:val="000B69F4"/>
    <w:rsid w:val="000B6ADA"/>
    <w:rsid w:val="000B6B8C"/>
    <w:rsid w:val="000B6E2A"/>
    <w:rsid w:val="000B6F51"/>
    <w:rsid w:val="000B6F65"/>
    <w:rsid w:val="000B6F78"/>
    <w:rsid w:val="000B7290"/>
    <w:rsid w:val="000B72EE"/>
    <w:rsid w:val="000B7540"/>
    <w:rsid w:val="000B788C"/>
    <w:rsid w:val="000B78AF"/>
    <w:rsid w:val="000B78CB"/>
    <w:rsid w:val="000B7AC7"/>
    <w:rsid w:val="000B7BC5"/>
    <w:rsid w:val="000B7D7D"/>
    <w:rsid w:val="000B7D8A"/>
    <w:rsid w:val="000B7E62"/>
    <w:rsid w:val="000C0031"/>
    <w:rsid w:val="000C013E"/>
    <w:rsid w:val="000C0176"/>
    <w:rsid w:val="000C01B7"/>
    <w:rsid w:val="000C01C5"/>
    <w:rsid w:val="000C0250"/>
    <w:rsid w:val="000C0253"/>
    <w:rsid w:val="000C02DD"/>
    <w:rsid w:val="000C05A0"/>
    <w:rsid w:val="000C0620"/>
    <w:rsid w:val="000C08D5"/>
    <w:rsid w:val="000C0964"/>
    <w:rsid w:val="000C0A59"/>
    <w:rsid w:val="000C0AB9"/>
    <w:rsid w:val="000C0ABD"/>
    <w:rsid w:val="000C0C4D"/>
    <w:rsid w:val="000C0F00"/>
    <w:rsid w:val="000C0FBC"/>
    <w:rsid w:val="000C116A"/>
    <w:rsid w:val="000C1232"/>
    <w:rsid w:val="000C139D"/>
    <w:rsid w:val="000C1461"/>
    <w:rsid w:val="000C1520"/>
    <w:rsid w:val="000C155A"/>
    <w:rsid w:val="000C164C"/>
    <w:rsid w:val="000C17AB"/>
    <w:rsid w:val="000C1ED1"/>
    <w:rsid w:val="000C1FCA"/>
    <w:rsid w:val="000C2305"/>
    <w:rsid w:val="000C237E"/>
    <w:rsid w:val="000C2404"/>
    <w:rsid w:val="000C2426"/>
    <w:rsid w:val="000C24B9"/>
    <w:rsid w:val="000C255E"/>
    <w:rsid w:val="000C25EB"/>
    <w:rsid w:val="000C2647"/>
    <w:rsid w:val="000C2861"/>
    <w:rsid w:val="000C29B8"/>
    <w:rsid w:val="000C2ACB"/>
    <w:rsid w:val="000C2C18"/>
    <w:rsid w:val="000C2E90"/>
    <w:rsid w:val="000C3149"/>
    <w:rsid w:val="000C355D"/>
    <w:rsid w:val="000C3701"/>
    <w:rsid w:val="000C3A14"/>
    <w:rsid w:val="000C3A84"/>
    <w:rsid w:val="000C3ABB"/>
    <w:rsid w:val="000C3E5C"/>
    <w:rsid w:val="000C3E8B"/>
    <w:rsid w:val="000C3F31"/>
    <w:rsid w:val="000C4018"/>
    <w:rsid w:val="000C427B"/>
    <w:rsid w:val="000C42D0"/>
    <w:rsid w:val="000C43A9"/>
    <w:rsid w:val="000C45F5"/>
    <w:rsid w:val="000C499D"/>
    <w:rsid w:val="000C499F"/>
    <w:rsid w:val="000C4A0B"/>
    <w:rsid w:val="000C4BD2"/>
    <w:rsid w:val="000C4C4F"/>
    <w:rsid w:val="000C4E08"/>
    <w:rsid w:val="000C4E92"/>
    <w:rsid w:val="000C4F71"/>
    <w:rsid w:val="000C4F82"/>
    <w:rsid w:val="000C4FE1"/>
    <w:rsid w:val="000C5016"/>
    <w:rsid w:val="000C50E4"/>
    <w:rsid w:val="000C5187"/>
    <w:rsid w:val="000C5218"/>
    <w:rsid w:val="000C53C1"/>
    <w:rsid w:val="000C5482"/>
    <w:rsid w:val="000C57C3"/>
    <w:rsid w:val="000C5962"/>
    <w:rsid w:val="000C5BFB"/>
    <w:rsid w:val="000C5F44"/>
    <w:rsid w:val="000C607B"/>
    <w:rsid w:val="000C6228"/>
    <w:rsid w:val="000C639F"/>
    <w:rsid w:val="000C657C"/>
    <w:rsid w:val="000C66DD"/>
    <w:rsid w:val="000C6869"/>
    <w:rsid w:val="000C68A7"/>
    <w:rsid w:val="000C68B9"/>
    <w:rsid w:val="000C68DE"/>
    <w:rsid w:val="000C6C30"/>
    <w:rsid w:val="000C6EE5"/>
    <w:rsid w:val="000C6F0E"/>
    <w:rsid w:val="000C6FD2"/>
    <w:rsid w:val="000C7077"/>
    <w:rsid w:val="000C75AC"/>
    <w:rsid w:val="000C771A"/>
    <w:rsid w:val="000C7739"/>
    <w:rsid w:val="000C7A7D"/>
    <w:rsid w:val="000C7AAB"/>
    <w:rsid w:val="000C7EB2"/>
    <w:rsid w:val="000C7EE1"/>
    <w:rsid w:val="000C7FE4"/>
    <w:rsid w:val="000D0049"/>
    <w:rsid w:val="000D009D"/>
    <w:rsid w:val="000D027B"/>
    <w:rsid w:val="000D0587"/>
    <w:rsid w:val="000D070E"/>
    <w:rsid w:val="000D08E0"/>
    <w:rsid w:val="000D0A47"/>
    <w:rsid w:val="000D0A8D"/>
    <w:rsid w:val="000D0B68"/>
    <w:rsid w:val="000D0BEA"/>
    <w:rsid w:val="000D0CE3"/>
    <w:rsid w:val="000D0E70"/>
    <w:rsid w:val="000D0EE6"/>
    <w:rsid w:val="000D0F94"/>
    <w:rsid w:val="000D0F9F"/>
    <w:rsid w:val="000D1047"/>
    <w:rsid w:val="000D107C"/>
    <w:rsid w:val="000D1267"/>
    <w:rsid w:val="000D12DB"/>
    <w:rsid w:val="000D1605"/>
    <w:rsid w:val="000D1756"/>
    <w:rsid w:val="000D1790"/>
    <w:rsid w:val="000D1954"/>
    <w:rsid w:val="000D1AD8"/>
    <w:rsid w:val="000D1B59"/>
    <w:rsid w:val="000D1D4B"/>
    <w:rsid w:val="000D1E93"/>
    <w:rsid w:val="000D1F75"/>
    <w:rsid w:val="000D1FB6"/>
    <w:rsid w:val="000D2116"/>
    <w:rsid w:val="000D22EA"/>
    <w:rsid w:val="000D2568"/>
    <w:rsid w:val="000D2801"/>
    <w:rsid w:val="000D283E"/>
    <w:rsid w:val="000D288D"/>
    <w:rsid w:val="000D2896"/>
    <w:rsid w:val="000D28CA"/>
    <w:rsid w:val="000D29DD"/>
    <w:rsid w:val="000D2A1D"/>
    <w:rsid w:val="000D2B93"/>
    <w:rsid w:val="000D2CF1"/>
    <w:rsid w:val="000D2D3D"/>
    <w:rsid w:val="000D2E1E"/>
    <w:rsid w:val="000D2FB3"/>
    <w:rsid w:val="000D2FD6"/>
    <w:rsid w:val="000D3255"/>
    <w:rsid w:val="000D333C"/>
    <w:rsid w:val="000D3498"/>
    <w:rsid w:val="000D34BE"/>
    <w:rsid w:val="000D352D"/>
    <w:rsid w:val="000D35D7"/>
    <w:rsid w:val="000D371C"/>
    <w:rsid w:val="000D3DCE"/>
    <w:rsid w:val="000D3E03"/>
    <w:rsid w:val="000D3ECC"/>
    <w:rsid w:val="000D4159"/>
    <w:rsid w:val="000D43DA"/>
    <w:rsid w:val="000D4466"/>
    <w:rsid w:val="000D4A2C"/>
    <w:rsid w:val="000D4E3A"/>
    <w:rsid w:val="000D4F3D"/>
    <w:rsid w:val="000D525C"/>
    <w:rsid w:val="000D539A"/>
    <w:rsid w:val="000D5490"/>
    <w:rsid w:val="000D5522"/>
    <w:rsid w:val="000D5BB5"/>
    <w:rsid w:val="000D5DA4"/>
    <w:rsid w:val="000D5E9F"/>
    <w:rsid w:val="000D61B4"/>
    <w:rsid w:val="000D672A"/>
    <w:rsid w:val="000D676E"/>
    <w:rsid w:val="000D683B"/>
    <w:rsid w:val="000D6AB8"/>
    <w:rsid w:val="000D6B49"/>
    <w:rsid w:val="000D6C1D"/>
    <w:rsid w:val="000D6D24"/>
    <w:rsid w:val="000D6D25"/>
    <w:rsid w:val="000D6E17"/>
    <w:rsid w:val="000D6F39"/>
    <w:rsid w:val="000D71A4"/>
    <w:rsid w:val="000D71C0"/>
    <w:rsid w:val="000D72AC"/>
    <w:rsid w:val="000D739B"/>
    <w:rsid w:val="000D7474"/>
    <w:rsid w:val="000D753D"/>
    <w:rsid w:val="000D7595"/>
    <w:rsid w:val="000D75E1"/>
    <w:rsid w:val="000D761F"/>
    <w:rsid w:val="000D77C1"/>
    <w:rsid w:val="000D782F"/>
    <w:rsid w:val="000D7A3D"/>
    <w:rsid w:val="000D7D5B"/>
    <w:rsid w:val="000D7DD4"/>
    <w:rsid w:val="000D7E6D"/>
    <w:rsid w:val="000D7E96"/>
    <w:rsid w:val="000D7FCA"/>
    <w:rsid w:val="000E00CD"/>
    <w:rsid w:val="000E030D"/>
    <w:rsid w:val="000E0325"/>
    <w:rsid w:val="000E04CB"/>
    <w:rsid w:val="000E06DD"/>
    <w:rsid w:val="000E0857"/>
    <w:rsid w:val="000E093C"/>
    <w:rsid w:val="000E0C36"/>
    <w:rsid w:val="000E0E7E"/>
    <w:rsid w:val="000E12D2"/>
    <w:rsid w:val="000E1382"/>
    <w:rsid w:val="000E1AF1"/>
    <w:rsid w:val="000E1E1D"/>
    <w:rsid w:val="000E1F31"/>
    <w:rsid w:val="000E2019"/>
    <w:rsid w:val="000E2411"/>
    <w:rsid w:val="000E2574"/>
    <w:rsid w:val="000E25BE"/>
    <w:rsid w:val="000E263F"/>
    <w:rsid w:val="000E26C7"/>
    <w:rsid w:val="000E28DD"/>
    <w:rsid w:val="000E2942"/>
    <w:rsid w:val="000E2957"/>
    <w:rsid w:val="000E2994"/>
    <w:rsid w:val="000E2A12"/>
    <w:rsid w:val="000E2A13"/>
    <w:rsid w:val="000E2A70"/>
    <w:rsid w:val="000E2BFA"/>
    <w:rsid w:val="000E2E78"/>
    <w:rsid w:val="000E3061"/>
    <w:rsid w:val="000E3239"/>
    <w:rsid w:val="000E3270"/>
    <w:rsid w:val="000E33E4"/>
    <w:rsid w:val="000E33FD"/>
    <w:rsid w:val="000E3586"/>
    <w:rsid w:val="000E3782"/>
    <w:rsid w:val="000E3A81"/>
    <w:rsid w:val="000E3D16"/>
    <w:rsid w:val="000E3D71"/>
    <w:rsid w:val="000E3E33"/>
    <w:rsid w:val="000E3E5E"/>
    <w:rsid w:val="000E3E82"/>
    <w:rsid w:val="000E4066"/>
    <w:rsid w:val="000E4131"/>
    <w:rsid w:val="000E4698"/>
    <w:rsid w:val="000E470C"/>
    <w:rsid w:val="000E4B08"/>
    <w:rsid w:val="000E4FAA"/>
    <w:rsid w:val="000E5008"/>
    <w:rsid w:val="000E516F"/>
    <w:rsid w:val="000E5201"/>
    <w:rsid w:val="000E549D"/>
    <w:rsid w:val="000E54D1"/>
    <w:rsid w:val="000E5764"/>
    <w:rsid w:val="000E597D"/>
    <w:rsid w:val="000E5B92"/>
    <w:rsid w:val="000E5C08"/>
    <w:rsid w:val="000E5DC1"/>
    <w:rsid w:val="000E5F96"/>
    <w:rsid w:val="000E5FD3"/>
    <w:rsid w:val="000E6089"/>
    <w:rsid w:val="000E616E"/>
    <w:rsid w:val="000E61D9"/>
    <w:rsid w:val="000E6323"/>
    <w:rsid w:val="000E65AC"/>
    <w:rsid w:val="000E65F6"/>
    <w:rsid w:val="000E6711"/>
    <w:rsid w:val="000E67FB"/>
    <w:rsid w:val="000E6883"/>
    <w:rsid w:val="000E68E2"/>
    <w:rsid w:val="000E690F"/>
    <w:rsid w:val="000E6A18"/>
    <w:rsid w:val="000E6B8A"/>
    <w:rsid w:val="000E6C3D"/>
    <w:rsid w:val="000E6D33"/>
    <w:rsid w:val="000E6E0D"/>
    <w:rsid w:val="000E6F7A"/>
    <w:rsid w:val="000E731F"/>
    <w:rsid w:val="000E73A3"/>
    <w:rsid w:val="000E742D"/>
    <w:rsid w:val="000E7577"/>
    <w:rsid w:val="000E76F7"/>
    <w:rsid w:val="000E78FE"/>
    <w:rsid w:val="000E7912"/>
    <w:rsid w:val="000E79FA"/>
    <w:rsid w:val="000E7A75"/>
    <w:rsid w:val="000E7AF9"/>
    <w:rsid w:val="000E7C28"/>
    <w:rsid w:val="000E7C3B"/>
    <w:rsid w:val="000E7EDE"/>
    <w:rsid w:val="000F0113"/>
    <w:rsid w:val="000F0175"/>
    <w:rsid w:val="000F0653"/>
    <w:rsid w:val="000F06DD"/>
    <w:rsid w:val="000F0771"/>
    <w:rsid w:val="000F0932"/>
    <w:rsid w:val="000F0AD0"/>
    <w:rsid w:val="000F0AEE"/>
    <w:rsid w:val="000F0BE5"/>
    <w:rsid w:val="000F144B"/>
    <w:rsid w:val="000F1718"/>
    <w:rsid w:val="000F1754"/>
    <w:rsid w:val="000F1844"/>
    <w:rsid w:val="000F18EB"/>
    <w:rsid w:val="000F1ADF"/>
    <w:rsid w:val="000F1F27"/>
    <w:rsid w:val="000F224A"/>
    <w:rsid w:val="000F25A8"/>
    <w:rsid w:val="000F26D1"/>
    <w:rsid w:val="000F26F1"/>
    <w:rsid w:val="000F272B"/>
    <w:rsid w:val="000F2764"/>
    <w:rsid w:val="000F27C3"/>
    <w:rsid w:val="000F2AE1"/>
    <w:rsid w:val="000F2D9B"/>
    <w:rsid w:val="000F2DC1"/>
    <w:rsid w:val="000F2E29"/>
    <w:rsid w:val="000F2FF4"/>
    <w:rsid w:val="000F30F5"/>
    <w:rsid w:val="000F310B"/>
    <w:rsid w:val="000F3255"/>
    <w:rsid w:val="000F334C"/>
    <w:rsid w:val="000F3557"/>
    <w:rsid w:val="000F3580"/>
    <w:rsid w:val="000F3727"/>
    <w:rsid w:val="000F372C"/>
    <w:rsid w:val="000F3A3C"/>
    <w:rsid w:val="000F3A74"/>
    <w:rsid w:val="000F3CAC"/>
    <w:rsid w:val="000F3FF6"/>
    <w:rsid w:val="000F4054"/>
    <w:rsid w:val="000F4262"/>
    <w:rsid w:val="000F42CB"/>
    <w:rsid w:val="000F4310"/>
    <w:rsid w:val="000F44FE"/>
    <w:rsid w:val="000F4537"/>
    <w:rsid w:val="000F4602"/>
    <w:rsid w:val="000F4640"/>
    <w:rsid w:val="000F466F"/>
    <w:rsid w:val="000F4CB5"/>
    <w:rsid w:val="000F4D11"/>
    <w:rsid w:val="000F5260"/>
    <w:rsid w:val="000F5293"/>
    <w:rsid w:val="000F546E"/>
    <w:rsid w:val="000F569D"/>
    <w:rsid w:val="000F56E2"/>
    <w:rsid w:val="000F59FD"/>
    <w:rsid w:val="000F5B64"/>
    <w:rsid w:val="000F5B9A"/>
    <w:rsid w:val="000F5C34"/>
    <w:rsid w:val="000F5D59"/>
    <w:rsid w:val="000F5EB4"/>
    <w:rsid w:val="000F603B"/>
    <w:rsid w:val="000F6267"/>
    <w:rsid w:val="000F63D0"/>
    <w:rsid w:val="000F6403"/>
    <w:rsid w:val="000F67E5"/>
    <w:rsid w:val="000F685D"/>
    <w:rsid w:val="000F6B8B"/>
    <w:rsid w:val="000F6BE7"/>
    <w:rsid w:val="000F6C7F"/>
    <w:rsid w:val="000F6D23"/>
    <w:rsid w:val="000F6D32"/>
    <w:rsid w:val="000F6D75"/>
    <w:rsid w:val="000F6DBE"/>
    <w:rsid w:val="000F6E8F"/>
    <w:rsid w:val="000F6F46"/>
    <w:rsid w:val="000F715F"/>
    <w:rsid w:val="000F730F"/>
    <w:rsid w:val="000F732A"/>
    <w:rsid w:val="000F7580"/>
    <w:rsid w:val="000F79EC"/>
    <w:rsid w:val="000F7BAA"/>
    <w:rsid w:val="000F7C59"/>
    <w:rsid w:val="000F7DEB"/>
    <w:rsid w:val="000F7E22"/>
    <w:rsid w:val="000F7E44"/>
    <w:rsid w:val="000F7E53"/>
    <w:rsid w:val="0010000A"/>
    <w:rsid w:val="001000A4"/>
    <w:rsid w:val="0010023F"/>
    <w:rsid w:val="0010026B"/>
    <w:rsid w:val="0010042A"/>
    <w:rsid w:val="0010069E"/>
    <w:rsid w:val="001006C9"/>
    <w:rsid w:val="0010072D"/>
    <w:rsid w:val="00100754"/>
    <w:rsid w:val="00100941"/>
    <w:rsid w:val="00100A90"/>
    <w:rsid w:val="00100C66"/>
    <w:rsid w:val="00100E16"/>
    <w:rsid w:val="00100E1B"/>
    <w:rsid w:val="00100E72"/>
    <w:rsid w:val="00101071"/>
    <w:rsid w:val="00101107"/>
    <w:rsid w:val="0010114C"/>
    <w:rsid w:val="00101495"/>
    <w:rsid w:val="00101725"/>
    <w:rsid w:val="00101747"/>
    <w:rsid w:val="00101A57"/>
    <w:rsid w:val="00101A8D"/>
    <w:rsid w:val="00101AA2"/>
    <w:rsid w:val="00101B62"/>
    <w:rsid w:val="00101C0E"/>
    <w:rsid w:val="00101C86"/>
    <w:rsid w:val="00101CA9"/>
    <w:rsid w:val="00101D94"/>
    <w:rsid w:val="00101F4F"/>
    <w:rsid w:val="00102017"/>
    <w:rsid w:val="0010218E"/>
    <w:rsid w:val="001021AB"/>
    <w:rsid w:val="001022BF"/>
    <w:rsid w:val="00102397"/>
    <w:rsid w:val="00102404"/>
    <w:rsid w:val="001025BA"/>
    <w:rsid w:val="00102604"/>
    <w:rsid w:val="00102667"/>
    <w:rsid w:val="00102702"/>
    <w:rsid w:val="00102736"/>
    <w:rsid w:val="001027E2"/>
    <w:rsid w:val="0010290F"/>
    <w:rsid w:val="00102997"/>
    <w:rsid w:val="001031FC"/>
    <w:rsid w:val="00103502"/>
    <w:rsid w:val="00103618"/>
    <w:rsid w:val="0010378F"/>
    <w:rsid w:val="001039DB"/>
    <w:rsid w:val="00103A0D"/>
    <w:rsid w:val="00103AA8"/>
    <w:rsid w:val="00103C80"/>
    <w:rsid w:val="00103D2B"/>
    <w:rsid w:val="00103D78"/>
    <w:rsid w:val="00103F4F"/>
    <w:rsid w:val="00103FEE"/>
    <w:rsid w:val="0010400A"/>
    <w:rsid w:val="00104119"/>
    <w:rsid w:val="00104302"/>
    <w:rsid w:val="001044E5"/>
    <w:rsid w:val="001045B4"/>
    <w:rsid w:val="00104998"/>
    <w:rsid w:val="00104A01"/>
    <w:rsid w:val="00104F76"/>
    <w:rsid w:val="0010502B"/>
    <w:rsid w:val="00105093"/>
    <w:rsid w:val="0010516C"/>
    <w:rsid w:val="0010530B"/>
    <w:rsid w:val="00105527"/>
    <w:rsid w:val="001055EA"/>
    <w:rsid w:val="00105C71"/>
    <w:rsid w:val="00106080"/>
    <w:rsid w:val="001060AD"/>
    <w:rsid w:val="001062DA"/>
    <w:rsid w:val="0010630A"/>
    <w:rsid w:val="00106582"/>
    <w:rsid w:val="0010668A"/>
    <w:rsid w:val="001069E2"/>
    <w:rsid w:val="00106B51"/>
    <w:rsid w:val="00106C01"/>
    <w:rsid w:val="00106D5A"/>
    <w:rsid w:val="00106E4C"/>
    <w:rsid w:val="00106EA6"/>
    <w:rsid w:val="00107159"/>
    <w:rsid w:val="0010719E"/>
    <w:rsid w:val="00107240"/>
    <w:rsid w:val="00107242"/>
    <w:rsid w:val="00107480"/>
    <w:rsid w:val="0010785F"/>
    <w:rsid w:val="00107B85"/>
    <w:rsid w:val="00107C43"/>
    <w:rsid w:val="00107FA3"/>
    <w:rsid w:val="001100C4"/>
    <w:rsid w:val="001100D3"/>
    <w:rsid w:val="00110177"/>
    <w:rsid w:val="00110429"/>
    <w:rsid w:val="00110548"/>
    <w:rsid w:val="0011086C"/>
    <w:rsid w:val="0011090B"/>
    <w:rsid w:val="0011096D"/>
    <w:rsid w:val="00110AFC"/>
    <w:rsid w:val="00110BCB"/>
    <w:rsid w:val="00110CB6"/>
    <w:rsid w:val="00110FAB"/>
    <w:rsid w:val="00111004"/>
    <w:rsid w:val="00111205"/>
    <w:rsid w:val="001113B4"/>
    <w:rsid w:val="001115A0"/>
    <w:rsid w:val="001116EB"/>
    <w:rsid w:val="00111999"/>
    <w:rsid w:val="0011199F"/>
    <w:rsid w:val="00111B70"/>
    <w:rsid w:val="00111E55"/>
    <w:rsid w:val="00111F58"/>
    <w:rsid w:val="00111F6E"/>
    <w:rsid w:val="00112099"/>
    <w:rsid w:val="001120C4"/>
    <w:rsid w:val="00112687"/>
    <w:rsid w:val="00112963"/>
    <w:rsid w:val="00112B07"/>
    <w:rsid w:val="00112BCB"/>
    <w:rsid w:val="00112BF8"/>
    <w:rsid w:val="00112E8A"/>
    <w:rsid w:val="00112F18"/>
    <w:rsid w:val="00113042"/>
    <w:rsid w:val="00113267"/>
    <w:rsid w:val="00113347"/>
    <w:rsid w:val="001133B9"/>
    <w:rsid w:val="0011340D"/>
    <w:rsid w:val="00113518"/>
    <w:rsid w:val="00113593"/>
    <w:rsid w:val="001135EC"/>
    <w:rsid w:val="00113660"/>
    <w:rsid w:val="00113720"/>
    <w:rsid w:val="00113EC5"/>
    <w:rsid w:val="0011429C"/>
    <w:rsid w:val="001142E5"/>
    <w:rsid w:val="00114365"/>
    <w:rsid w:val="001148FF"/>
    <w:rsid w:val="00114980"/>
    <w:rsid w:val="00114982"/>
    <w:rsid w:val="00114B88"/>
    <w:rsid w:val="00114D6D"/>
    <w:rsid w:val="00114E1A"/>
    <w:rsid w:val="00114E45"/>
    <w:rsid w:val="00114FA0"/>
    <w:rsid w:val="0011546A"/>
    <w:rsid w:val="00115781"/>
    <w:rsid w:val="00115AE5"/>
    <w:rsid w:val="00115D7D"/>
    <w:rsid w:val="0011618B"/>
    <w:rsid w:val="001161C8"/>
    <w:rsid w:val="0011627A"/>
    <w:rsid w:val="00116767"/>
    <w:rsid w:val="0011685D"/>
    <w:rsid w:val="001168FD"/>
    <w:rsid w:val="00116A7F"/>
    <w:rsid w:val="00116DBD"/>
    <w:rsid w:val="00116EE5"/>
    <w:rsid w:val="00117188"/>
    <w:rsid w:val="001171F2"/>
    <w:rsid w:val="001172F5"/>
    <w:rsid w:val="0011750F"/>
    <w:rsid w:val="00117696"/>
    <w:rsid w:val="001176EE"/>
    <w:rsid w:val="001179D0"/>
    <w:rsid w:val="00117C40"/>
    <w:rsid w:val="00117E3B"/>
    <w:rsid w:val="00120013"/>
    <w:rsid w:val="00120313"/>
    <w:rsid w:val="00120588"/>
    <w:rsid w:val="00120603"/>
    <w:rsid w:val="00120751"/>
    <w:rsid w:val="001209EF"/>
    <w:rsid w:val="00120B3B"/>
    <w:rsid w:val="00120CD4"/>
    <w:rsid w:val="00120E29"/>
    <w:rsid w:val="00121002"/>
    <w:rsid w:val="0012117C"/>
    <w:rsid w:val="0012121B"/>
    <w:rsid w:val="001218AF"/>
    <w:rsid w:val="00121B95"/>
    <w:rsid w:val="00121C75"/>
    <w:rsid w:val="00122019"/>
    <w:rsid w:val="00122298"/>
    <w:rsid w:val="001224EC"/>
    <w:rsid w:val="0012298D"/>
    <w:rsid w:val="001229DD"/>
    <w:rsid w:val="00122CB9"/>
    <w:rsid w:val="00122E04"/>
    <w:rsid w:val="00122E54"/>
    <w:rsid w:val="00122FA9"/>
    <w:rsid w:val="00123022"/>
    <w:rsid w:val="001230AE"/>
    <w:rsid w:val="0012317A"/>
    <w:rsid w:val="001231A2"/>
    <w:rsid w:val="001232B3"/>
    <w:rsid w:val="001233C1"/>
    <w:rsid w:val="0012345B"/>
    <w:rsid w:val="0012352C"/>
    <w:rsid w:val="001236F6"/>
    <w:rsid w:val="00123BF4"/>
    <w:rsid w:val="00123C7D"/>
    <w:rsid w:val="00123CB5"/>
    <w:rsid w:val="00123D0E"/>
    <w:rsid w:val="00123E52"/>
    <w:rsid w:val="00124048"/>
    <w:rsid w:val="001240F9"/>
    <w:rsid w:val="001241A5"/>
    <w:rsid w:val="0012425C"/>
    <w:rsid w:val="001246DC"/>
    <w:rsid w:val="001247B7"/>
    <w:rsid w:val="00124A66"/>
    <w:rsid w:val="00124B07"/>
    <w:rsid w:val="00124C66"/>
    <w:rsid w:val="00124D67"/>
    <w:rsid w:val="00124DA5"/>
    <w:rsid w:val="00124E06"/>
    <w:rsid w:val="00125044"/>
    <w:rsid w:val="001250C2"/>
    <w:rsid w:val="0012564A"/>
    <w:rsid w:val="00125B12"/>
    <w:rsid w:val="00125BA5"/>
    <w:rsid w:val="00125BB8"/>
    <w:rsid w:val="00125FA3"/>
    <w:rsid w:val="001260A0"/>
    <w:rsid w:val="00126192"/>
    <w:rsid w:val="00126197"/>
    <w:rsid w:val="00126218"/>
    <w:rsid w:val="0012622E"/>
    <w:rsid w:val="00126366"/>
    <w:rsid w:val="00126461"/>
    <w:rsid w:val="00126679"/>
    <w:rsid w:val="00126819"/>
    <w:rsid w:val="00126D37"/>
    <w:rsid w:val="00126EF8"/>
    <w:rsid w:val="0012713F"/>
    <w:rsid w:val="00127421"/>
    <w:rsid w:val="00127478"/>
    <w:rsid w:val="00127567"/>
    <w:rsid w:val="001278C0"/>
    <w:rsid w:val="001279B9"/>
    <w:rsid w:val="001279E3"/>
    <w:rsid w:val="00127A0C"/>
    <w:rsid w:val="00127C07"/>
    <w:rsid w:val="00130023"/>
    <w:rsid w:val="001300D3"/>
    <w:rsid w:val="001302E2"/>
    <w:rsid w:val="0013030F"/>
    <w:rsid w:val="001303A9"/>
    <w:rsid w:val="001304A3"/>
    <w:rsid w:val="001306A5"/>
    <w:rsid w:val="0013081B"/>
    <w:rsid w:val="001308F3"/>
    <w:rsid w:val="00130A56"/>
    <w:rsid w:val="00130AB3"/>
    <w:rsid w:val="00130CCE"/>
    <w:rsid w:val="00130D0C"/>
    <w:rsid w:val="00130EBE"/>
    <w:rsid w:val="0013118A"/>
    <w:rsid w:val="00131229"/>
    <w:rsid w:val="001313ED"/>
    <w:rsid w:val="00131564"/>
    <w:rsid w:val="0013156C"/>
    <w:rsid w:val="001317D5"/>
    <w:rsid w:val="00131857"/>
    <w:rsid w:val="00131AA6"/>
    <w:rsid w:val="00131BE5"/>
    <w:rsid w:val="00131DB0"/>
    <w:rsid w:val="00131F47"/>
    <w:rsid w:val="001320D6"/>
    <w:rsid w:val="001320DA"/>
    <w:rsid w:val="001321D5"/>
    <w:rsid w:val="00132286"/>
    <w:rsid w:val="001327AB"/>
    <w:rsid w:val="00132C4C"/>
    <w:rsid w:val="00132D57"/>
    <w:rsid w:val="00132D90"/>
    <w:rsid w:val="00132DEF"/>
    <w:rsid w:val="00132F55"/>
    <w:rsid w:val="00132FBC"/>
    <w:rsid w:val="001331EC"/>
    <w:rsid w:val="001337C6"/>
    <w:rsid w:val="00133853"/>
    <w:rsid w:val="0013391D"/>
    <w:rsid w:val="001339A4"/>
    <w:rsid w:val="00133B53"/>
    <w:rsid w:val="00133FA5"/>
    <w:rsid w:val="001341E6"/>
    <w:rsid w:val="00134233"/>
    <w:rsid w:val="001343F3"/>
    <w:rsid w:val="00134436"/>
    <w:rsid w:val="00134482"/>
    <w:rsid w:val="0013454B"/>
    <w:rsid w:val="00134B1F"/>
    <w:rsid w:val="00134C05"/>
    <w:rsid w:val="00135308"/>
    <w:rsid w:val="001355AE"/>
    <w:rsid w:val="0013564C"/>
    <w:rsid w:val="001357A8"/>
    <w:rsid w:val="0013587F"/>
    <w:rsid w:val="00135A57"/>
    <w:rsid w:val="00135D66"/>
    <w:rsid w:val="00135EA6"/>
    <w:rsid w:val="00135EE8"/>
    <w:rsid w:val="001360EC"/>
    <w:rsid w:val="00136224"/>
    <w:rsid w:val="00136B04"/>
    <w:rsid w:val="00136BEB"/>
    <w:rsid w:val="00136DD9"/>
    <w:rsid w:val="00137352"/>
    <w:rsid w:val="00137414"/>
    <w:rsid w:val="001375BA"/>
    <w:rsid w:val="00137891"/>
    <w:rsid w:val="00137E19"/>
    <w:rsid w:val="00137EF6"/>
    <w:rsid w:val="00137F02"/>
    <w:rsid w:val="00137FBF"/>
    <w:rsid w:val="00140306"/>
    <w:rsid w:val="001404D6"/>
    <w:rsid w:val="00140547"/>
    <w:rsid w:val="00140607"/>
    <w:rsid w:val="00140623"/>
    <w:rsid w:val="00140775"/>
    <w:rsid w:val="001407EA"/>
    <w:rsid w:val="001409FD"/>
    <w:rsid w:val="00140A21"/>
    <w:rsid w:val="00140CE0"/>
    <w:rsid w:val="0014108C"/>
    <w:rsid w:val="0014115B"/>
    <w:rsid w:val="00141640"/>
    <w:rsid w:val="001416C7"/>
    <w:rsid w:val="00141945"/>
    <w:rsid w:val="001419BC"/>
    <w:rsid w:val="00141C44"/>
    <w:rsid w:val="00141CA8"/>
    <w:rsid w:val="00141E10"/>
    <w:rsid w:val="00141E8A"/>
    <w:rsid w:val="00141FA1"/>
    <w:rsid w:val="00142023"/>
    <w:rsid w:val="001420B6"/>
    <w:rsid w:val="001421AA"/>
    <w:rsid w:val="0014221E"/>
    <w:rsid w:val="001423DD"/>
    <w:rsid w:val="001425F0"/>
    <w:rsid w:val="00142678"/>
    <w:rsid w:val="00142A44"/>
    <w:rsid w:val="00142BE9"/>
    <w:rsid w:val="00142C5A"/>
    <w:rsid w:val="00142CA8"/>
    <w:rsid w:val="00142D5B"/>
    <w:rsid w:val="00142E2E"/>
    <w:rsid w:val="00142E5D"/>
    <w:rsid w:val="00142F1C"/>
    <w:rsid w:val="00143237"/>
    <w:rsid w:val="00143412"/>
    <w:rsid w:val="00143418"/>
    <w:rsid w:val="00143621"/>
    <w:rsid w:val="001436AB"/>
    <w:rsid w:val="001437BE"/>
    <w:rsid w:val="00143872"/>
    <w:rsid w:val="00143B20"/>
    <w:rsid w:val="00143BFB"/>
    <w:rsid w:val="00143CEB"/>
    <w:rsid w:val="00143F1D"/>
    <w:rsid w:val="0014431B"/>
    <w:rsid w:val="001443EC"/>
    <w:rsid w:val="00144501"/>
    <w:rsid w:val="001446FC"/>
    <w:rsid w:val="00144CC5"/>
    <w:rsid w:val="0014515C"/>
    <w:rsid w:val="001451C4"/>
    <w:rsid w:val="00145214"/>
    <w:rsid w:val="001452EA"/>
    <w:rsid w:val="001452FF"/>
    <w:rsid w:val="00145615"/>
    <w:rsid w:val="0014564A"/>
    <w:rsid w:val="001456A6"/>
    <w:rsid w:val="001456C1"/>
    <w:rsid w:val="00145788"/>
    <w:rsid w:val="001457A5"/>
    <w:rsid w:val="001457F2"/>
    <w:rsid w:val="001458BA"/>
    <w:rsid w:val="00145A1B"/>
    <w:rsid w:val="00145B57"/>
    <w:rsid w:val="00145B5E"/>
    <w:rsid w:val="00145C52"/>
    <w:rsid w:val="00145D14"/>
    <w:rsid w:val="00145E0B"/>
    <w:rsid w:val="00145F91"/>
    <w:rsid w:val="0014605C"/>
    <w:rsid w:val="00146152"/>
    <w:rsid w:val="00146153"/>
    <w:rsid w:val="0014618A"/>
    <w:rsid w:val="0014640D"/>
    <w:rsid w:val="00146973"/>
    <w:rsid w:val="001469CA"/>
    <w:rsid w:val="00146A50"/>
    <w:rsid w:val="00146BA8"/>
    <w:rsid w:val="001472D7"/>
    <w:rsid w:val="0014739B"/>
    <w:rsid w:val="001475E7"/>
    <w:rsid w:val="00147656"/>
    <w:rsid w:val="001477B6"/>
    <w:rsid w:val="0014788C"/>
    <w:rsid w:val="00147AB2"/>
    <w:rsid w:val="00147C0F"/>
    <w:rsid w:val="00147CAE"/>
    <w:rsid w:val="00147CF2"/>
    <w:rsid w:val="00147EA6"/>
    <w:rsid w:val="00147F4F"/>
    <w:rsid w:val="00147FAF"/>
    <w:rsid w:val="0015009E"/>
    <w:rsid w:val="0015020E"/>
    <w:rsid w:val="00150241"/>
    <w:rsid w:val="001505F3"/>
    <w:rsid w:val="001505F6"/>
    <w:rsid w:val="001506E2"/>
    <w:rsid w:val="00150B37"/>
    <w:rsid w:val="00150B46"/>
    <w:rsid w:val="00150B90"/>
    <w:rsid w:val="00150C17"/>
    <w:rsid w:val="00150CB8"/>
    <w:rsid w:val="0015101C"/>
    <w:rsid w:val="001511FD"/>
    <w:rsid w:val="00151327"/>
    <w:rsid w:val="00151364"/>
    <w:rsid w:val="0015142B"/>
    <w:rsid w:val="00151434"/>
    <w:rsid w:val="00151449"/>
    <w:rsid w:val="00151550"/>
    <w:rsid w:val="00151B62"/>
    <w:rsid w:val="00151B64"/>
    <w:rsid w:val="00151B84"/>
    <w:rsid w:val="00151CB1"/>
    <w:rsid w:val="00151D12"/>
    <w:rsid w:val="00151F26"/>
    <w:rsid w:val="0015205D"/>
    <w:rsid w:val="001520D4"/>
    <w:rsid w:val="001521C4"/>
    <w:rsid w:val="0015223A"/>
    <w:rsid w:val="00152364"/>
    <w:rsid w:val="001524B3"/>
    <w:rsid w:val="00152524"/>
    <w:rsid w:val="001527A9"/>
    <w:rsid w:val="00152A0B"/>
    <w:rsid w:val="00152C91"/>
    <w:rsid w:val="00152DD3"/>
    <w:rsid w:val="00152DE8"/>
    <w:rsid w:val="00152EA7"/>
    <w:rsid w:val="00152F2F"/>
    <w:rsid w:val="001530BF"/>
    <w:rsid w:val="0015312E"/>
    <w:rsid w:val="001532A7"/>
    <w:rsid w:val="001533DE"/>
    <w:rsid w:val="00153766"/>
    <w:rsid w:val="00153909"/>
    <w:rsid w:val="00153CA5"/>
    <w:rsid w:val="00153F40"/>
    <w:rsid w:val="00154072"/>
    <w:rsid w:val="001540BF"/>
    <w:rsid w:val="00154170"/>
    <w:rsid w:val="001541FE"/>
    <w:rsid w:val="0015421C"/>
    <w:rsid w:val="001542CA"/>
    <w:rsid w:val="001543D0"/>
    <w:rsid w:val="00154853"/>
    <w:rsid w:val="0015493D"/>
    <w:rsid w:val="0015497B"/>
    <w:rsid w:val="001549DE"/>
    <w:rsid w:val="00154C7A"/>
    <w:rsid w:val="00154CBE"/>
    <w:rsid w:val="00154CFF"/>
    <w:rsid w:val="00154EC2"/>
    <w:rsid w:val="00154F0A"/>
    <w:rsid w:val="0015512F"/>
    <w:rsid w:val="001551AC"/>
    <w:rsid w:val="001552EC"/>
    <w:rsid w:val="001554B8"/>
    <w:rsid w:val="00155C8B"/>
    <w:rsid w:val="00155E40"/>
    <w:rsid w:val="0015617E"/>
    <w:rsid w:val="0015660C"/>
    <w:rsid w:val="00156645"/>
    <w:rsid w:val="00156707"/>
    <w:rsid w:val="00156780"/>
    <w:rsid w:val="00156816"/>
    <w:rsid w:val="00156A38"/>
    <w:rsid w:val="00156B03"/>
    <w:rsid w:val="00157065"/>
    <w:rsid w:val="00157205"/>
    <w:rsid w:val="0015723F"/>
    <w:rsid w:val="001572A5"/>
    <w:rsid w:val="00157425"/>
    <w:rsid w:val="00157440"/>
    <w:rsid w:val="00157522"/>
    <w:rsid w:val="001576B6"/>
    <w:rsid w:val="00157725"/>
    <w:rsid w:val="001578E1"/>
    <w:rsid w:val="001579E0"/>
    <w:rsid w:val="00157DA6"/>
    <w:rsid w:val="00160062"/>
    <w:rsid w:val="00160779"/>
    <w:rsid w:val="001608A0"/>
    <w:rsid w:val="001609BA"/>
    <w:rsid w:val="00160C41"/>
    <w:rsid w:val="00160C7E"/>
    <w:rsid w:val="00160D3C"/>
    <w:rsid w:val="00160E67"/>
    <w:rsid w:val="00160EA4"/>
    <w:rsid w:val="00161131"/>
    <w:rsid w:val="0016124C"/>
    <w:rsid w:val="00161528"/>
    <w:rsid w:val="00161793"/>
    <w:rsid w:val="00161901"/>
    <w:rsid w:val="0016196C"/>
    <w:rsid w:val="00161B44"/>
    <w:rsid w:val="00161D72"/>
    <w:rsid w:val="00161F2A"/>
    <w:rsid w:val="0016211E"/>
    <w:rsid w:val="001622FC"/>
    <w:rsid w:val="0016233D"/>
    <w:rsid w:val="00162357"/>
    <w:rsid w:val="001623DE"/>
    <w:rsid w:val="00162505"/>
    <w:rsid w:val="00162C4D"/>
    <w:rsid w:val="00162DD0"/>
    <w:rsid w:val="00162E3D"/>
    <w:rsid w:val="0016305B"/>
    <w:rsid w:val="001630E7"/>
    <w:rsid w:val="0016317F"/>
    <w:rsid w:val="001631EC"/>
    <w:rsid w:val="0016322E"/>
    <w:rsid w:val="00163283"/>
    <w:rsid w:val="00163340"/>
    <w:rsid w:val="001634D5"/>
    <w:rsid w:val="00163807"/>
    <w:rsid w:val="00163889"/>
    <w:rsid w:val="00163967"/>
    <w:rsid w:val="0016396D"/>
    <w:rsid w:val="00163972"/>
    <w:rsid w:val="001639C5"/>
    <w:rsid w:val="00163A11"/>
    <w:rsid w:val="00163A94"/>
    <w:rsid w:val="00163AC1"/>
    <w:rsid w:val="00163B7E"/>
    <w:rsid w:val="00163D15"/>
    <w:rsid w:val="00163E31"/>
    <w:rsid w:val="00163EC3"/>
    <w:rsid w:val="001642E3"/>
    <w:rsid w:val="0016434F"/>
    <w:rsid w:val="0016446A"/>
    <w:rsid w:val="00164622"/>
    <w:rsid w:val="00164968"/>
    <w:rsid w:val="00164A38"/>
    <w:rsid w:val="00164D80"/>
    <w:rsid w:val="00164E9D"/>
    <w:rsid w:val="00164F7A"/>
    <w:rsid w:val="00165018"/>
    <w:rsid w:val="0016517B"/>
    <w:rsid w:val="0016533C"/>
    <w:rsid w:val="001653C8"/>
    <w:rsid w:val="001653F0"/>
    <w:rsid w:val="00165758"/>
    <w:rsid w:val="00165940"/>
    <w:rsid w:val="0016595B"/>
    <w:rsid w:val="00165ABB"/>
    <w:rsid w:val="00165C68"/>
    <w:rsid w:val="00165D0F"/>
    <w:rsid w:val="00165D81"/>
    <w:rsid w:val="00166227"/>
    <w:rsid w:val="00166288"/>
    <w:rsid w:val="001663DB"/>
    <w:rsid w:val="001664C6"/>
    <w:rsid w:val="00166716"/>
    <w:rsid w:val="001667A7"/>
    <w:rsid w:val="00166A27"/>
    <w:rsid w:val="00166CB5"/>
    <w:rsid w:val="00167223"/>
    <w:rsid w:val="0016737C"/>
    <w:rsid w:val="0016742E"/>
    <w:rsid w:val="001674A2"/>
    <w:rsid w:val="00167822"/>
    <w:rsid w:val="001679DA"/>
    <w:rsid w:val="00167A97"/>
    <w:rsid w:val="00167B5A"/>
    <w:rsid w:val="00167CD3"/>
    <w:rsid w:val="00170041"/>
    <w:rsid w:val="001700C1"/>
    <w:rsid w:val="001703FE"/>
    <w:rsid w:val="00170425"/>
    <w:rsid w:val="001705B6"/>
    <w:rsid w:val="001706CF"/>
    <w:rsid w:val="001706FA"/>
    <w:rsid w:val="00170B78"/>
    <w:rsid w:val="00170C69"/>
    <w:rsid w:val="00170E54"/>
    <w:rsid w:val="00170F2D"/>
    <w:rsid w:val="0017163C"/>
    <w:rsid w:val="001719A4"/>
    <w:rsid w:val="00171A83"/>
    <w:rsid w:val="00171C7A"/>
    <w:rsid w:val="00171CE3"/>
    <w:rsid w:val="00171DC6"/>
    <w:rsid w:val="00171F8B"/>
    <w:rsid w:val="00172749"/>
    <w:rsid w:val="00172795"/>
    <w:rsid w:val="00172F87"/>
    <w:rsid w:val="0017319B"/>
    <w:rsid w:val="001731E2"/>
    <w:rsid w:val="00173219"/>
    <w:rsid w:val="00173496"/>
    <w:rsid w:val="0017351A"/>
    <w:rsid w:val="00173895"/>
    <w:rsid w:val="00173984"/>
    <w:rsid w:val="001739D8"/>
    <w:rsid w:val="00173BC7"/>
    <w:rsid w:val="00173BFA"/>
    <w:rsid w:val="00173C65"/>
    <w:rsid w:val="00173C7F"/>
    <w:rsid w:val="00173D99"/>
    <w:rsid w:val="00173E5E"/>
    <w:rsid w:val="00173F9B"/>
    <w:rsid w:val="00174258"/>
    <w:rsid w:val="001742BD"/>
    <w:rsid w:val="001742D9"/>
    <w:rsid w:val="001742E8"/>
    <w:rsid w:val="001742F7"/>
    <w:rsid w:val="00174332"/>
    <w:rsid w:val="00174438"/>
    <w:rsid w:val="001745FF"/>
    <w:rsid w:val="00174968"/>
    <w:rsid w:val="001749CC"/>
    <w:rsid w:val="00174A0D"/>
    <w:rsid w:val="00174BA6"/>
    <w:rsid w:val="00174CAA"/>
    <w:rsid w:val="00174CC9"/>
    <w:rsid w:val="00174F43"/>
    <w:rsid w:val="00174FBD"/>
    <w:rsid w:val="00175004"/>
    <w:rsid w:val="00175125"/>
    <w:rsid w:val="001751A2"/>
    <w:rsid w:val="001751DC"/>
    <w:rsid w:val="001751DE"/>
    <w:rsid w:val="001751FA"/>
    <w:rsid w:val="001752FC"/>
    <w:rsid w:val="00175435"/>
    <w:rsid w:val="00175556"/>
    <w:rsid w:val="00175677"/>
    <w:rsid w:val="001757D5"/>
    <w:rsid w:val="00175800"/>
    <w:rsid w:val="0017589D"/>
    <w:rsid w:val="0017595F"/>
    <w:rsid w:val="00175A57"/>
    <w:rsid w:val="00175AD4"/>
    <w:rsid w:val="00175C6E"/>
    <w:rsid w:val="00175CDE"/>
    <w:rsid w:val="00175FF8"/>
    <w:rsid w:val="00176099"/>
    <w:rsid w:val="001761CA"/>
    <w:rsid w:val="001765B3"/>
    <w:rsid w:val="001766AD"/>
    <w:rsid w:val="00176736"/>
    <w:rsid w:val="001767A1"/>
    <w:rsid w:val="0017681F"/>
    <w:rsid w:val="0017696A"/>
    <w:rsid w:val="00176989"/>
    <w:rsid w:val="001769CF"/>
    <w:rsid w:val="00176BE7"/>
    <w:rsid w:val="00176E39"/>
    <w:rsid w:val="00176E83"/>
    <w:rsid w:val="0017701D"/>
    <w:rsid w:val="00177134"/>
    <w:rsid w:val="001771BB"/>
    <w:rsid w:val="001773B3"/>
    <w:rsid w:val="00177440"/>
    <w:rsid w:val="00177466"/>
    <w:rsid w:val="00177478"/>
    <w:rsid w:val="001774F4"/>
    <w:rsid w:val="001775AB"/>
    <w:rsid w:val="001777C0"/>
    <w:rsid w:val="001779E3"/>
    <w:rsid w:val="00177B44"/>
    <w:rsid w:val="00177B9C"/>
    <w:rsid w:val="00177C72"/>
    <w:rsid w:val="00177CC1"/>
    <w:rsid w:val="00177D61"/>
    <w:rsid w:val="00180271"/>
    <w:rsid w:val="001803C4"/>
    <w:rsid w:val="001804A4"/>
    <w:rsid w:val="00180633"/>
    <w:rsid w:val="0018069C"/>
    <w:rsid w:val="00180CA5"/>
    <w:rsid w:val="00180E33"/>
    <w:rsid w:val="00181096"/>
    <w:rsid w:val="00181226"/>
    <w:rsid w:val="00181232"/>
    <w:rsid w:val="0018174D"/>
    <w:rsid w:val="001819B0"/>
    <w:rsid w:val="00181CA0"/>
    <w:rsid w:val="00181D91"/>
    <w:rsid w:val="0018219A"/>
    <w:rsid w:val="001822D3"/>
    <w:rsid w:val="001822FE"/>
    <w:rsid w:val="00182762"/>
    <w:rsid w:val="00182782"/>
    <w:rsid w:val="0018278D"/>
    <w:rsid w:val="001829F3"/>
    <w:rsid w:val="00182C2D"/>
    <w:rsid w:val="00182CE6"/>
    <w:rsid w:val="00182F8E"/>
    <w:rsid w:val="00182FA4"/>
    <w:rsid w:val="00183006"/>
    <w:rsid w:val="0018301F"/>
    <w:rsid w:val="00183609"/>
    <w:rsid w:val="0018361F"/>
    <w:rsid w:val="0018374D"/>
    <w:rsid w:val="001837B6"/>
    <w:rsid w:val="001838B5"/>
    <w:rsid w:val="00183E7D"/>
    <w:rsid w:val="0018405F"/>
    <w:rsid w:val="00184191"/>
    <w:rsid w:val="00184204"/>
    <w:rsid w:val="00184590"/>
    <w:rsid w:val="001845F7"/>
    <w:rsid w:val="00184745"/>
    <w:rsid w:val="00184A94"/>
    <w:rsid w:val="00184B3B"/>
    <w:rsid w:val="00184D97"/>
    <w:rsid w:val="00184E38"/>
    <w:rsid w:val="00184F95"/>
    <w:rsid w:val="00184FB3"/>
    <w:rsid w:val="001850F1"/>
    <w:rsid w:val="00185267"/>
    <w:rsid w:val="00185377"/>
    <w:rsid w:val="00185489"/>
    <w:rsid w:val="00185641"/>
    <w:rsid w:val="0018570C"/>
    <w:rsid w:val="001857C2"/>
    <w:rsid w:val="0018598A"/>
    <w:rsid w:val="00185A10"/>
    <w:rsid w:val="00185A8F"/>
    <w:rsid w:val="00185B47"/>
    <w:rsid w:val="00185D4E"/>
    <w:rsid w:val="00185DC2"/>
    <w:rsid w:val="001861A0"/>
    <w:rsid w:val="00186380"/>
    <w:rsid w:val="0018639C"/>
    <w:rsid w:val="00186478"/>
    <w:rsid w:val="00186784"/>
    <w:rsid w:val="001867CD"/>
    <w:rsid w:val="00186871"/>
    <w:rsid w:val="001868E4"/>
    <w:rsid w:val="0018695F"/>
    <w:rsid w:val="0018698E"/>
    <w:rsid w:val="00186CA8"/>
    <w:rsid w:val="00186CD3"/>
    <w:rsid w:val="00187204"/>
    <w:rsid w:val="0018742D"/>
    <w:rsid w:val="0018758C"/>
    <w:rsid w:val="001875EB"/>
    <w:rsid w:val="00187974"/>
    <w:rsid w:val="00187B44"/>
    <w:rsid w:val="00187BA7"/>
    <w:rsid w:val="00187C2D"/>
    <w:rsid w:val="00187F0D"/>
    <w:rsid w:val="00190114"/>
    <w:rsid w:val="001903FF"/>
    <w:rsid w:val="001904D1"/>
    <w:rsid w:val="0019058F"/>
    <w:rsid w:val="001907A5"/>
    <w:rsid w:val="001907D1"/>
    <w:rsid w:val="001907F7"/>
    <w:rsid w:val="001908A9"/>
    <w:rsid w:val="001908B2"/>
    <w:rsid w:val="001909BA"/>
    <w:rsid w:val="001909E7"/>
    <w:rsid w:val="00190AA6"/>
    <w:rsid w:val="00190C11"/>
    <w:rsid w:val="00190C18"/>
    <w:rsid w:val="00190E65"/>
    <w:rsid w:val="00191120"/>
    <w:rsid w:val="00191266"/>
    <w:rsid w:val="00191276"/>
    <w:rsid w:val="00191339"/>
    <w:rsid w:val="00191370"/>
    <w:rsid w:val="00191557"/>
    <w:rsid w:val="001915BA"/>
    <w:rsid w:val="00191617"/>
    <w:rsid w:val="001916B2"/>
    <w:rsid w:val="001916D0"/>
    <w:rsid w:val="00191842"/>
    <w:rsid w:val="001918F8"/>
    <w:rsid w:val="00191EE7"/>
    <w:rsid w:val="00192020"/>
    <w:rsid w:val="0019203E"/>
    <w:rsid w:val="00192214"/>
    <w:rsid w:val="00192384"/>
    <w:rsid w:val="00192432"/>
    <w:rsid w:val="0019292E"/>
    <w:rsid w:val="00192ADD"/>
    <w:rsid w:val="00192BEA"/>
    <w:rsid w:val="00192E6F"/>
    <w:rsid w:val="00192EFF"/>
    <w:rsid w:val="00192F38"/>
    <w:rsid w:val="00193088"/>
    <w:rsid w:val="0019320C"/>
    <w:rsid w:val="001933C8"/>
    <w:rsid w:val="00193413"/>
    <w:rsid w:val="00193971"/>
    <w:rsid w:val="00193995"/>
    <w:rsid w:val="00193AD5"/>
    <w:rsid w:val="00193B94"/>
    <w:rsid w:val="00193C9A"/>
    <w:rsid w:val="0019401C"/>
    <w:rsid w:val="00194191"/>
    <w:rsid w:val="001941F1"/>
    <w:rsid w:val="001942CA"/>
    <w:rsid w:val="00194478"/>
    <w:rsid w:val="001945B7"/>
    <w:rsid w:val="00194825"/>
    <w:rsid w:val="0019493F"/>
    <w:rsid w:val="0019495C"/>
    <w:rsid w:val="001949FF"/>
    <w:rsid w:val="00194B8F"/>
    <w:rsid w:val="00194CE3"/>
    <w:rsid w:val="00194D4D"/>
    <w:rsid w:val="00194E71"/>
    <w:rsid w:val="00194E9B"/>
    <w:rsid w:val="00194FCD"/>
    <w:rsid w:val="00195046"/>
    <w:rsid w:val="0019515C"/>
    <w:rsid w:val="0019544C"/>
    <w:rsid w:val="00195CB9"/>
    <w:rsid w:val="00195CFE"/>
    <w:rsid w:val="00195D74"/>
    <w:rsid w:val="00195E72"/>
    <w:rsid w:val="001960DD"/>
    <w:rsid w:val="001961BD"/>
    <w:rsid w:val="001963FF"/>
    <w:rsid w:val="00196482"/>
    <w:rsid w:val="00196524"/>
    <w:rsid w:val="00196551"/>
    <w:rsid w:val="0019667D"/>
    <w:rsid w:val="0019681A"/>
    <w:rsid w:val="001968BC"/>
    <w:rsid w:val="0019690D"/>
    <w:rsid w:val="00196A97"/>
    <w:rsid w:val="00196D4E"/>
    <w:rsid w:val="00196EFD"/>
    <w:rsid w:val="00196F19"/>
    <w:rsid w:val="00197031"/>
    <w:rsid w:val="0019721B"/>
    <w:rsid w:val="00197456"/>
    <w:rsid w:val="00197488"/>
    <w:rsid w:val="00197583"/>
    <w:rsid w:val="001975A0"/>
    <w:rsid w:val="001978F1"/>
    <w:rsid w:val="0019796C"/>
    <w:rsid w:val="00197B81"/>
    <w:rsid w:val="00197D0F"/>
    <w:rsid w:val="00197F89"/>
    <w:rsid w:val="00197FD0"/>
    <w:rsid w:val="00197FDA"/>
    <w:rsid w:val="001A0266"/>
    <w:rsid w:val="001A026C"/>
    <w:rsid w:val="001A02BD"/>
    <w:rsid w:val="001A0386"/>
    <w:rsid w:val="001A03DE"/>
    <w:rsid w:val="001A05A9"/>
    <w:rsid w:val="001A09D7"/>
    <w:rsid w:val="001A0ACD"/>
    <w:rsid w:val="001A0B7C"/>
    <w:rsid w:val="001A0D6B"/>
    <w:rsid w:val="001A0F28"/>
    <w:rsid w:val="001A1301"/>
    <w:rsid w:val="001A131C"/>
    <w:rsid w:val="001A18D2"/>
    <w:rsid w:val="001A1A2B"/>
    <w:rsid w:val="001A1AE2"/>
    <w:rsid w:val="001A1B92"/>
    <w:rsid w:val="001A1D28"/>
    <w:rsid w:val="001A1E6F"/>
    <w:rsid w:val="001A2101"/>
    <w:rsid w:val="001A2283"/>
    <w:rsid w:val="001A2410"/>
    <w:rsid w:val="001A2573"/>
    <w:rsid w:val="001A257B"/>
    <w:rsid w:val="001A29C3"/>
    <w:rsid w:val="001A2AF1"/>
    <w:rsid w:val="001A2C01"/>
    <w:rsid w:val="001A2E09"/>
    <w:rsid w:val="001A2E83"/>
    <w:rsid w:val="001A2EA7"/>
    <w:rsid w:val="001A2F39"/>
    <w:rsid w:val="001A2F45"/>
    <w:rsid w:val="001A301C"/>
    <w:rsid w:val="001A314A"/>
    <w:rsid w:val="001A32BA"/>
    <w:rsid w:val="001A33D6"/>
    <w:rsid w:val="001A357A"/>
    <w:rsid w:val="001A3623"/>
    <w:rsid w:val="001A3658"/>
    <w:rsid w:val="001A370D"/>
    <w:rsid w:val="001A3839"/>
    <w:rsid w:val="001A389F"/>
    <w:rsid w:val="001A3982"/>
    <w:rsid w:val="001A3A80"/>
    <w:rsid w:val="001A3B99"/>
    <w:rsid w:val="001A3CE0"/>
    <w:rsid w:val="001A3E41"/>
    <w:rsid w:val="001A408B"/>
    <w:rsid w:val="001A4149"/>
    <w:rsid w:val="001A42A1"/>
    <w:rsid w:val="001A42AB"/>
    <w:rsid w:val="001A4642"/>
    <w:rsid w:val="001A4850"/>
    <w:rsid w:val="001A4899"/>
    <w:rsid w:val="001A48B6"/>
    <w:rsid w:val="001A48E5"/>
    <w:rsid w:val="001A4934"/>
    <w:rsid w:val="001A4A21"/>
    <w:rsid w:val="001A4C38"/>
    <w:rsid w:val="001A4D33"/>
    <w:rsid w:val="001A4D47"/>
    <w:rsid w:val="001A4D52"/>
    <w:rsid w:val="001A4E8B"/>
    <w:rsid w:val="001A4F77"/>
    <w:rsid w:val="001A5065"/>
    <w:rsid w:val="001A5076"/>
    <w:rsid w:val="001A556C"/>
    <w:rsid w:val="001A563A"/>
    <w:rsid w:val="001A57C0"/>
    <w:rsid w:val="001A5832"/>
    <w:rsid w:val="001A5874"/>
    <w:rsid w:val="001A589D"/>
    <w:rsid w:val="001A5A3E"/>
    <w:rsid w:val="001A61E3"/>
    <w:rsid w:val="001A65CB"/>
    <w:rsid w:val="001A6628"/>
    <w:rsid w:val="001A666F"/>
    <w:rsid w:val="001A6740"/>
    <w:rsid w:val="001A6752"/>
    <w:rsid w:val="001A683F"/>
    <w:rsid w:val="001A6846"/>
    <w:rsid w:val="001A689B"/>
    <w:rsid w:val="001A68E1"/>
    <w:rsid w:val="001A6A44"/>
    <w:rsid w:val="001A6A6D"/>
    <w:rsid w:val="001A6A71"/>
    <w:rsid w:val="001A6AF5"/>
    <w:rsid w:val="001A6B25"/>
    <w:rsid w:val="001A6BD8"/>
    <w:rsid w:val="001A6D71"/>
    <w:rsid w:val="001A710A"/>
    <w:rsid w:val="001A7176"/>
    <w:rsid w:val="001A73C9"/>
    <w:rsid w:val="001A7604"/>
    <w:rsid w:val="001A76FE"/>
    <w:rsid w:val="001A7877"/>
    <w:rsid w:val="001A7A8B"/>
    <w:rsid w:val="001A7B81"/>
    <w:rsid w:val="001A7D47"/>
    <w:rsid w:val="001A7D69"/>
    <w:rsid w:val="001A7E37"/>
    <w:rsid w:val="001A7E5C"/>
    <w:rsid w:val="001B0149"/>
    <w:rsid w:val="001B01A5"/>
    <w:rsid w:val="001B02C0"/>
    <w:rsid w:val="001B042B"/>
    <w:rsid w:val="001B0485"/>
    <w:rsid w:val="001B048B"/>
    <w:rsid w:val="001B05A0"/>
    <w:rsid w:val="001B076C"/>
    <w:rsid w:val="001B0909"/>
    <w:rsid w:val="001B093B"/>
    <w:rsid w:val="001B0A1C"/>
    <w:rsid w:val="001B0BA6"/>
    <w:rsid w:val="001B0D78"/>
    <w:rsid w:val="001B10AD"/>
    <w:rsid w:val="001B10E7"/>
    <w:rsid w:val="001B12A7"/>
    <w:rsid w:val="001B12D7"/>
    <w:rsid w:val="001B12DD"/>
    <w:rsid w:val="001B14A7"/>
    <w:rsid w:val="001B1506"/>
    <w:rsid w:val="001B1575"/>
    <w:rsid w:val="001B1685"/>
    <w:rsid w:val="001B1776"/>
    <w:rsid w:val="001B17EB"/>
    <w:rsid w:val="001B17FF"/>
    <w:rsid w:val="001B181F"/>
    <w:rsid w:val="001B1911"/>
    <w:rsid w:val="001B195E"/>
    <w:rsid w:val="001B196C"/>
    <w:rsid w:val="001B1A50"/>
    <w:rsid w:val="001B1C42"/>
    <w:rsid w:val="001B1FE9"/>
    <w:rsid w:val="001B2097"/>
    <w:rsid w:val="001B22A7"/>
    <w:rsid w:val="001B22EE"/>
    <w:rsid w:val="001B2427"/>
    <w:rsid w:val="001B2490"/>
    <w:rsid w:val="001B261D"/>
    <w:rsid w:val="001B27BA"/>
    <w:rsid w:val="001B284D"/>
    <w:rsid w:val="001B294B"/>
    <w:rsid w:val="001B2C6D"/>
    <w:rsid w:val="001B2DF9"/>
    <w:rsid w:val="001B2EE8"/>
    <w:rsid w:val="001B2F91"/>
    <w:rsid w:val="001B303E"/>
    <w:rsid w:val="001B30E0"/>
    <w:rsid w:val="001B331C"/>
    <w:rsid w:val="001B33B6"/>
    <w:rsid w:val="001B33E6"/>
    <w:rsid w:val="001B3474"/>
    <w:rsid w:val="001B3552"/>
    <w:rsid w:val="001B35A9"/>
    <w:rsid w:val="001B362D"/>
    <w:rsid w:val="001B369C"/>
    <w:rsid w:val="001B39E8"/>
    <w:rsid w:val="001B3E51"/>
    <w:rsid w:val="001B3E88"/>
    <w:rsid w:val="001B3FD2"/>
    <w:rsid w:val="001B4000"/>
    <w:rsid w:val="001B401F"/>
    <w:rsid w:val="001B4033"/>
    <w:rsid w:val="001B4088"/>
    <w:rsid w:val="001B40B4"/>
    <w:rsid w:val="001B419E"/>
    <w:rsid w:val="001B428D"/>
    <w:rsid w:val="001B440B"/>
    <w:rsid w:val="001B44F7"/>
    <w:rsid w:val="001B45E9"/>
    <w:rsid w:val="001B483A"/>
    <w:rsid w:val="001B49B7"/>
    <w:rsid w:val="001B49E5"/>
    <w:rsid w:val="001B4AC8"/>
    <w:rsid w:val="001B4C0F"/>
    <w:rsid w:val="001B4C2D"/>
    <w:rsid w:val="001B4D67"/>
    <w:rsid w:val="001B4EF6"/>
    <w:rsid w:val="001B4FB2"/>
    <w:rsid w:val="001B542A"/>
    <w:rsid w:val="001B5461"/>
    <w:rsid w:val="001B54B6"/>
    <w:rsid w:val="001B569A"/>
    <w:rsid w:val="001B5734"/>
    <w:rsid w:val="001B58C3"/>
    <w:rsid w:val="001B5CE2"/>
    <w:rsid w:val="001B5E38"/>
    <w:rsid w:val="001B6072"/>
    <w:rsid w:val="001B6114"/>
    <w:rsid w:val="001B62AA"/>
    <w:rsid w:val="001B640F"/>
    <w:rsid w:val="001B65EF"/>
    <w:rsid w:val="001B6865"/>
    <w:rsid w:val="001B6A0B"/>
    <w:rsid w:val="001B6B1D"/>
    <w:rsid w:val="001B6B52"/>
    <w:rsid w:val="001B6FA9"/>
    <w:rsid w:val="001B72A2"/>
    <w:rsid w:val="001B746E"/>
    <w:rsid w:val="001B74A7"/>
    <w:rsid w:val="001B770F"/>
    <w:rsid w:val="001B7794"/>
    <w:rsid w:val="001B7886"/>
    <w:rsid w:val="001B795C"/>
    <w:rsid w:val="001B7AA8"/>
    <w:rsid w:val="001B7AD1"/>
    <w:rsid w:val="001B7DB8"/>
    <w:rsid w:val="001B7DE4"/>
    <w:rsid w:val="001B7E12"/>
    <w:rsid w:val="001B7EC8"/>
    <w:rsid w:val="001C0089"/>
    <w:rsid w:val="001C0155"/>
    <w:rsid w:val="001C066A"/>
    <w:rsid w:val="001C07F4"/>
    <w:rsid w:val="001C0BA7"/>
    <w:rsid w:val="001C0E0E"/>
    <w:rsid w:val="001C1207"/>
    <w:rsid w:val="001C12FE"/>
    <w:rsid w:val="001C13BF"/>
    <w:rsid w:val="001C1694"/>
    <w:rsid w:val="001C17B5"/>
    <w:rsid w:val="001C19E3"/>
    <w:rsid w:val="001C1AD3"/>
    <w:rsid w:val="001C1E4A"/>
    <w:rsid w:val="001C1E53"/>
    <w:rsid w:val="001C1E8C"/>
    <w:rsid w:val="001C1EB4"/>
    <w:rsid w:val="001C1F21"/>
    <w:rsid w:val="001C201A"/>
    <w:rsid w:val="001C224C"/>
    <w:rsid w:val="001C2253"/>
    <w:rsid w:val="001C2280"/>
    <w:rsid w:val="001C25E9"/>
    <w:rsid w:val="001C2C08"/>
    <w:rsid w:val="001C2D75"/>
    <w:rsid w:val="001C2EC7"/>
    <w:rsid w:val="001C2EFA"/>
    <w:rsid w:val="001C2FBB"/>
    <w:rsid w:val="001C308B"/>
    <w:rsid w:val="001C3177"/>
    <w:rsid w:val="001C31D8"/>
    <w:rsid w:val="001C33C2"/>
    <w:rsid w:val="001C3404"/>
    <w:rsid w:val="001C3436"/>
    <w:rsid w:val="001C38FA"/>
    <w:rsid w:val="001C39FB"/>
    <w:rsid w:val="001C3AD1"/>
    <w:rsid w:val="001C3C3B"/>
    <w:rsid w:val="001C3CD7"/>
    <w:rsid w:val="001C3E17"/>
    <w:rsid w:val="001C3E6B"/>
    <w:rsid w:val="001C3FCE"/>
    <w:rsid w:val="001C454E"/>
    <w:rsid w:val="001C45E6"/>
    <w:rsid w:val="001C4677"/>
    <w:rsid w:val="001C46B3"/>
    <w:rsid w:val="001C46DC"/>
    <w:rsid w:val="001C4793"/>
    <w:rsid w:val="001C47E7"/>
    <w:rsid w:val="001C4AA2"/>
    <w:rsid w:val="001C4AC8"/>
    <w:rsid w:val="001C4AEB"/>
    <w:rsid w:val="001C4B10"/>
    <w:rsid w:val="001C4BD1"/>
    <w:rsid w:val="001C4DFA"/>
    <w:rsid w:val="001C4FE7"/>
    <w:rsid w:val="001C5182"/>
    <w:rsid w:val="001C5298"/>
    <w:rsid w:val="001C533B"/>
    <w:rsid w:val="001C5367"/>
    <w:rsid w:val="001C5385"/>
    <w:rsid w:val="001C5534"/>
    <w:rsid w:val="001C5541"/>
    <w:rsid w:val="001C5843"/>
    <w:rsid w:val="001C588D"/>
    <w:rsid w:val="001C58B8"/>
    <w:rsid w:val="001C5941"/>
    <w:rsid w:val="001C5A6A"/>
    <w:rsid w:val="001C5B8F"/>
    <w:rsid w:val="001C5B93"/>
    <w:rsid w:val="001C5D6A"/>
    <w:rsid w:val="001C5ED1"/>
    <w:rsid w:val="001C5F06"/>
    <w:rsid w:val="001C5F3E"/>
    <w:rsid w:val="001C62C2"/>
    <w:rsid w:val="001C642E"/>
    <w:rsid w:val="001C64DA"/>
    <w:rsid w:val="001C6565"/>
    <w:rsid w:val="001C6611"/>
    <w:rsid w:val="001C665D"/>
    <w:rsid w:val="001C6857"/>
    <w:rsid w:val="001C6B46"/>
    <w:rsid w:val="001C6CAF"/>
    <w:rsid w:val="001C6D46"/>
    <w:rsid w:val="001C6E07"/>
    <w:rsid w:val="001C6E13"/>
    <w:rsid w:val="001C702F"/>
    <w:rsid w:val="001C703C"/>
    <w:rsid w:val="001C70FF"/>
    <w:rsid w:val="001C742C"/>
    <w:rsid w:val="001C7451"/>
    <w:rsid w:val="001C7629"/>
    <w:rsid w:val="001C77A7"/>
    <w:rsid w:val="001C77FE"/>
    <w:rsid w:val="001C7D23"/>
    <w:rsid w:val="001C7E2A"/>
    <w:rsid w:val="001C7FBA"/>
    <w:rsid w:val="001D044B"/>
    <w:rsid w:val="001D075C"/>
    <w:rsid w:val="001D077C"/>
    <w:rsid w:val="001D0877"/>
    <w:rsid w:val="001D088E"/>
    <w:rsid w:val="001D09D4"/>
    <w:rsid w:val="001D0C41"/>
    <w:rsid w:val="001D0D54"/>
    <w:rsid w:val="001D0F8B"/>
    <w:rsid w:val="001D10A7"/>
    <w:rsid w:val="001D11B2"/>
    <w:rsid w:val="001D120B"/>
    <w:rsid w:val="001D120F"/>
    <w:rsid w:val="001D1A35"/>
    <w:rsid w:val="001D1B86"/>
    <w:rsid w:val="001D1BE0"/>
    <w:rsid w:val="001D1C68"/>
    <w:rsid w:val="001D1D0D"/>
    <w:rsid w:val="001D1D62"/>
    <w:rsid w:val="001D1DBC"/>
    <w:rsid w:val="001D20E9"/>
    <w:rsid w:val="001D2182"/>
    <w:rsid w:val="001D2548"/>
    <w:rsid w:val="001D264B"/>
    <w:rsid w:val="001D28A1"/>
    <w:rsid w:val="001D2A36"/>
    <w:rsid w:val="001D2F14"/>
    <w:rsid w:val="001D3045"/>
    <w:rsid w:val="001D33B5"/>
    <w:rsid w:val="001D341D"/>
    <w:rsid w:val="001D344C"/>
    <w:rsid w:val="001D3662"/>
    <w:rsid w:val="001D3725"/>
    <w:rsid w:val="001D374A"/>
    <w:rsid w:val="001D37AA"/>
    <w:rsid w:val="001D3805"/>
    <w:rsid w:val="001D3970"/>
    <w:rsid w:val="001D3B0D"/>
    <w:rsid w:val="001D3B9D"/>
    <w:rsid w:val="001D3DD2"/>
    <w:rsid w:val="001D40F1"/>
    <w:rsid w:val="001D4132"/>
    <w:rsid w:val="001D4260"/>
    <w:rsid w:val="001D4478"/>
    <w:rsid w:val="001D4957"/>
    <w:rsid w:val="001D4A73"/>
    <w:rsid w:val="001D4C7F"/>
    <w:rsid w:val="001D4CFA"/>
    <w:rsid w:val="001D50DA"/>
    <w:rsid w:val="001D5138"/>
    <w:rsid w:val="001D5385"/>
    <w:rsid w:val="001D5494"/>
    <w:rsid w:val="001D5570"/>
    <w:rsid w:val="001D58AD"/>
    <w:rsid w:val="001D5A54"/>
    <w:rsid w:val="001D5AEB"/>
    <w:rsid w:val="001D5CAC"/>
    <w:rsid w:val="001D626B"/>
    <w:rsid w:val="001D63D0"/>
    <w:rsid w:val="001D64B6"/>
    <w:rsid w:val="001D657C"/>
    <w:rsid w:val="001D658E"/>
    <w:rsid w:val="001D6777"/>
    <w:rsid w:val="001D6812"/>
    <w:rsid w:val="001D6887"/>
    <w:rsid w:val="001D6957"/>
    <w:rsid w:val="001D69A3"/>
    <w:rsid w:val="001D6C28"/>
    <w:rsid w:val="001D6C4F"/>
    <w:rsid w:val="001D6CDA"/>
    <w:rsid w:val="001D73B8"/>
    <w:rsid w:val="001D74A9"/>
    <w:rsid w:val="001D763E"/>
    <w:rsid w:val="001D76F0"/>
    <w:rsid w:val="001D7707"/>
    <w:rsid w:val="001D78C1"/>
    <w:rsid w:val="001D7927"/>
    <w:rsid w:val="001D7BEB"/>
    <w:rsid w:val="001D7E55"/>
    <w:rsid w:val="001D7EAB"/>
    <w:rsid w:val="001D7F21"/>
    <w:rsid w:val="001E00C2"/>
    <w:rsid w:val="001E0391"/>
    <w:rsid w:val="001E048F"/>
    <w:rsid w:val="001E0672"/>
    <w:rsid w:val="001E0704"/>
    <w:rsid w:val="001E07D0"/>
    <w:rsid w:val="001E0A63"/>
    <w:rsid w:val="001E0C95"/>
    <w:rsid w:val="001E0F4A"/>
    <w:rsid w:val="001E0FBC"/>
    <w:rsid w:val="001E0FE3"/>
    <w:rsid w:val="001E1103"/>
    <w:rsid w:val="001E11D6"/>
    <w:rsid w:val="001E1325"/>
    <w:rsid w:val="001E13B7"/>
    <w:rsid w:val="001E18AF"/>
    <w:rsid w:val="001E192B"/>
    <w:rsid w:val="001E196F"/>
    <w:rsid w:val="001E19B8"/>
    <w:rsid w:val="001E1B84"/>
    <w:rsid w:val="001E1E25"/>
    <w:rsid w:val="001E21E0"/>
    <w:rsid w:val="001E24D9"/>
    <w:rsid w:val="001E25AC"/>
    <w:rsid w:val="001E2637"/>
    <w:rsid w:val="001E2694"/>
    <w:rsid w:val="001E26E7"/>
    <w:rsid w:val="001E270A"/>
    <w:rsid w:val="001E2718"/>
    <w:rsid w:val="001E2873"/>
    <w:rsid w:val="001E2ABB"/>
    <w:rsid w:val="001E2D62"/>
    <w:rsid w:val="001E2F43"/>
    <w:rsid w:val="001E30EF"/>
    <w:rsid w:val="001E3152"/>
    <w:rsid w:val="001E3313"/>
    <w:rsid w:val="001E3614"/>
    <w:rsid w:val="001E3680"/>
    <w:rsid w:val="001E377D"/>
    <w:rsid w:val="001E3A03"/>
    <w:rsid w:val="001E3AA8"/>
    <w:rsid w:val="001E3D53"/>
    <w:rsid w:val="001E3EAF"/>
    <w:rsid w:val="001E3FF6"/>
    <w:rsid w:val="001E4013"/>
    <w:rsid w:val="001E40A0"/>
    <w:rsid w:val="001E42A4"/>
    <w:rsid w:val="001E4413"/>
    <w:rsid w:val="001E458C"/>
    <w:rsid w:val="001E4611"/>
    <w:rsid w:val="001E4674"/>
    <w:rsid w:val="001E46C3"/>
    <w:rsid w:val="001E49A8"/>
    <w:rsid w:val="001E4B76"/>
    <w:rsid w:val="001E4C8A"/>
    <w:rsid w:val="001E4FD6"/>
    <w:rsid w:val="001E510D"/>
    <w:rsid w:val="001E533D"/>
    <w:rsid w:val="001E5382"/>
    <w:rsid w:val="001E53AB"/>
    <w:rsid w:val="001E5826"/>
    <w:rsid w:val="001E5958"/>
    <w:rsid w:val="001E59F9"/>
    <w:rsid w:val="001E5ABB"/>
    <w:rsid w:val="001E5B86"/>
    <w:rsid w:val="001E5BAE"/>
    <w:rsid w:val="001E5BE0"/>
    <w:rsid w:val="001E5D21"/>
    <w:rsid w:val="001E5D70"/>
    <w:rsid w:val="001E5DF7"/>
    <w:rsid w:val="001E5EF9"/>
    <w:rsid w:val="001E5FE7"/>
    <w:rsid w:val="001E61BF"/>
    <w:rsid w:val="001E6340"/>
    <w:rsid w:val="001E666C"/>
    <w:rsid w:val="001E6792"/>
    <w:rsid w:val="001E67BD"/>
    <w:rsid w:val="001E69B5"/>
    <w:rsid w:val="001E6A1A"/>
    <w:rsid w:val="001E6A32"/>
    <w:rsid w:val="001E6A40"/>
    <w:rsid w:val="001E6AB0"/>
    <w:rsid w:val="001E6BC3"/>
    <w:rsid w:val="001E6F44"/>
    <w:rsid w:val="001E724C"/>
    <w:rsid w:val="001E72DE"/>
    <w:rsid w:val="001E74CB"/>
    <w:rsid w:val="001E76F5"/>
    <w:rsid w:val="001E7890"/>
    <w:rsid w:val="001E79B7"/>
    <w:rsid w:val="001E7A8F"/>
    <w:rsid w:val="001E7AA5"/>
    <w:rsid w:val="001E7C25"/>
    <w:rsid w:val="001E7E78"/>
    <w:rsid w:val="001E7F44"/>
    <w:rsid w:val="001E7F86"/>
    <w:rsid w:val="001F046A"/>
    <w:rsid w:val="001F0516"/>
    <w:rsid w:val="001F0580"/>
    <w:rsid w:val="001F059E"/>
    <w:rsid w:val="001F060F"/>
    <w:rsid w:val="001F0774"/>
    <w:rsid w:val="001F08FE"/>
    <w:rsid w:val="001F0A7C"/>
    <w:rsid w:val="001F0BA9"/>
    <w:rsid w:val="001F0CE2"/>
    <w:rsid w:val="001F0E90"/>
    <w:rsid w:val="001F0FCE"/>
    <w:rsid w:val="001F107C"/>
    <w:rsid w:val="001F10D8"/>
    <w:rsid w:val="001F11CC"/>
    <w:rsid w:val="001F122B"/>
    <w:rsid w:val="001F125A"/>
    <w:rsid w:val="001F132A"/>
    <w:rsid w:val="001F135F"/>
    <w:rsid w:val="001F140B"/>
    <w:rsid w:val="001F1460"/>
    <w:rsid w:val="001F167F"/>
    <w:rsid w:val="001F17DA"/>
    <w:rsid w:val="001F1852"/>
    <w:rsid w:val="001F1A83"/>
    <w:rsid w:val="001F1C23"/>
    <w:rsid w:val="001F1E70"/>
    <w:rsid w:val="001F1EBF"/>
    <w:rsid w:val="001F2075"/>
    <w:rsid w:val="001F2780"/>
    <w:rsid w:val="001F2788"/>
    <w:rsid w:val="001F292A"/>
    <w:rsid w:val="001F298A"/>
    <w:rsid w:val="001F29BC"/>
    <w:rsid w:val="001F2B34"/>
    <w:rsid w:val="001F2D76"/>
    <w:rsid w:val="001F2E58"/>
    <w:rsid w:val="001F305E"/>
    <w:rsid w:val="001F3099"/>
    <w:rsid w:val="001F328F"/>
    <w:rsid w:val="001F34AC"/>
    <w:rsid w:val="001F3580"/>
    <w:rsid w:val="001F368D"/>
    <w:rsid w:val="001F3696"/>
    <w:rsid w:val="001F36FB"/>
    <w:rsid w:val="001F3872"/>
    <w:rsid w:val="001F391E"/>
    <w:rsid w:val="001F3A9C"/>
    <w:rsid w:val="001F3C28"/>
    <w:rsid w:val="001F3D95"/>
    <w:rsid w:val="001F41B5"/>
    <w:rsid w:val="001F427E"/>
    <w:rsid w:val="001F4371"/>
    <w:rsid w:val="001F437E"/>
    <w:rsid w:val="001F4517"/>
    <w:rsid w:val="001F46EB"/>
    <w:rsid w:val="001F47E7"/>
    <w:rsid w:val="001F4D3D"/>
    <w:rsid w:val="001F4DDB"/>
    <w:rsid w:val="001F4F46"/>
    <w:rsid w:val="001F51A0"/>
    <w:rsid w:val="001F56CE"/>
    <w:rsid w:val="001F56FE"/>
    <w:rsid w:val="001F58ED"/>
    <w:rsid w:val="001F5CC6"/>
    <w:rsid w:val="001F5D45"/>
    <w:rsid w:val="001F61A6"/>
    <w:rsid w:val="001F61CF"/>
    <w:rsid w:val="001F62D0"/>
    <w:rsid w:val="001F63BF"/>
    <w:rsid w:val="001F6502"/>
    <w:rsid w:val="001F6683"/>
    <w:rsid w:val="001F6816"/>
    <w:rsid w:val="001F68FC"/>
    <w:rsid w:val="001F6B2F"/>
    <w:rsid w:val="001F6C21"/>
    <w:rsid w:val="001F6E3F"/>
    <w:rsid w:val="001F710B"/>
    <w:rsid w:val="001F7113"/>
    <w:rsid w:val="001F7201"/>
    <w:rsid w:val="001F73BE"/>
    <w:rsid w:val="001F74E9"/>
    <w:rsid w:val="001F7576"/>
    <w:rsid w:val="001F7779"/>
    <w:rsid w:val="001F7844"/>
    <w:rsid w:val="001F79FC"/>
    <w:rsid w:val="001F7BCC"/>
    <w:rsid w:val="001F7BFC"/>
    <w:rsid w:val="001F7DC7"/>
    <w:rsid w:val="001F7E7F"/>
    <w:rsid w:val="001F7F31"/>
    <w:rsid w:val="00200060"/>
    <w:rsid w:val="00200230"/>
    <w:rsid w:val="0020030F"/>
    <w:rsid w:val="00200489"/>
    <w:rsid w:val="002004F8"/>
    <w:rsid w:val="002007B2"/>
    <w:rsid w:val="002007FD"/>
    <w:rsid w:val="0020084E"/>
    <w:rsid w:val="00200EC7"/>
    <w:rsid w:val="00201254"/>
    <w:rsid w:val="002012C2"/>
    <w:rsid w:val="00201478"/>
    <w:rsid w:val="00201541"/>
    <w:rsid w:val="00201943"/>
    <w:rsid w:val="00201954"/>
    <w:rsid w:val="00201E5B"/>
    <w:rsid w:val="00201FE3"/>
    <w:rsid w:val="00202005"/>
    <w:rsid w:val="002020D2"/>
    <w:rsid w:val="0020211D"/>
    <w:rsid w:val="00202177"/>
    <w:rsid w:val="00202347"/>
    <w:rsid w:val="0020243D"/>
    <w:rsid w:val="002024D2"/>
    <w:rsid w:val="0020271E"/>
    <w:rsid w:val="002027DA"/>
    <w:rsid w:val="00202875"/>
    <w:rsid w:val="00202A52"/>
    <w:rsid w:val="00202BC3"/>
    <w:rsid w:val="00202C66"/>
    <w:rsid w:val="00202CEB"/>
    <w:rsid w:val="00202D03"/>
    <w:rsid w:val="00202D4F"/>
    <w:rsid w:val="002030FF"/>
    <w:rsid w:val="0020317E"/>
    <w:rsid w:val="002031FC"/>
    <w:rsid w:val="0020334C"/>
    <w:rsid w:val="00203360"/>
    <w:rsid w:val="002033BE"/>
    <w:rsid w:val="002035A2"/>
    <w:rsid w:val="0020379C"/>
    <w:rsid w:val="00203911"/>
    <w:rsid w:val="00203B4D"/>
    <w:rsid w:val="00203B8D"/>
    <w:rsid w:val="00203DDC"/>
    <w:rsid w:val="00203E35"/>
    <w:rsid w:val="00203F6C"/>
    <w:rsid w:val="0020408C"/>
    <w:rsid w:val="00204511"/>
    <w:rsid w:val="00204889"/>
    <w:rsid w:val="002049F9"/>
    <w:rsid w:val="00204EEF"/>
    <w:rsid w:val="00205001"/>
    <w:rsid w:val="00205045"/>
    <w:rsid w:val="0020532A"/>
    <w:rsid w:val="00205497"/>
    <w:rsid w:val="00205737"/>
    <w:rsid w:val="00205866"/>
    <w:rsid w:val="00205933"/>
    <w:rsid w:val="00205A50"/>
    <w:rsid w:val="00205CA6"/>
    <w:rsid w:val="00205EE3"/>
    <w:rsid w:val="00205F95"/>
    <w:rsid w:val="0020603D"/>
    <w:rsid w:val="002061E1"/>
    <w:rsid w:val="002066A4"/>
    <w:rsid w:val="002066BC"/>
    <w:rsid w:val="0020682A"/>
    <w:rsid w:val="00206C36"/>
    <w:rsid w:val="00206C46"/>
    <w:rsid w:val="00206CEF"/>
    <w:rsid w:val="00206D1F"/>
    <w:rsid w:val="00206DEC"/>
    <w:rsid w:val="00206E4C"/>
    <w:rsid w:val="00207058"/>
    <w:rsid w:val="00207085"/>
    <w:rsid w:val="002072CF"/>
    <w:rsid w:val="002074E2"/>
    <w:rsid w:val="00207729"/>
    <w:rsid w:val="00207A5B"/>
    <w:rsid w:val="00207E9A"/>
    <w:rsid w:val="00207EA1"/>
    <w:rsid w:val="00207F14"/>
    <w:rsid w:val="00207F96"/>
    <w:rsid w:val="0021021E"/>
    <w:rsid w:val="00210346"/>
    <w:rsid w:val="0021036A"/>
    <w:rsid w:val="0021038D"/>
    <w:rsid w:val="002104CC"/>
    <w:rsid w:val="002105AD"/>
    <w:rsid w:val="0021084A"/>
    <w:rsid w:val="00210AD8"/>
    <w:rsid w:val="00210BC2"/>
    <w:rsid w:val="00210E91"/>
    <w:rsid w:val="00211244"/>
    <w:rsid w:val="00211308"/>
    <w:rsid w:val="00211389"/>
    <w:rsid w:val="002114E4"/>
    <w:rsid w:val="002114EC"/>
    <w:rsid w:val="002115E2"/>
    <w:rsid w:val="002115E6"/>
    <w:rsid w:val="00211765"/>
    <w:rsid w:val="00211775"/>
    <w:rsid w:val="002117E9"/>
    <w:rsid w:val="0021184D"/>
    <w:rsid w:val="00211A61"/>
    <w:rsid w:val="00211B55"/>
    <w:rsid w:val="00211B89"/>
    <w:rsid w:val="00211D94"/>
    <w:rsid w:val="00211FF6"/>
    <w:rsid w:val="002120E7"/>
    <w:rsid w:val="0021222F"/>
    <w:rsid w:val="0021230E"/>
    <w:rsid w:val="00212310"/>
    <w:rsid w:val="00212505"/>
    <w:rsid w:val="002125BD"/>
    <w:rsid w:val="0021276F"/>
    <w:rsid w:val="0021292F"/>
    <w:rsid w:val="002129D4"/>
    <w:rsid w:val="00212A1A"/>
    <w:rsid w:val="00212A54"/>
    <w:rsid w:val="00212A57"/>
    <w:rsid w:val="00212B47"/>
    <w:rsid w:val="00212F16"/>
    <w:rsid w:val="00212F7E"/>
    <w:rsid w:val="002130B1"/>
    <w:rsid w:val="002131ED"/>
    <w:rsid w:val="0021320E"/>
    <w:rsid w:val="00213325"/>
    <w:rsid w:val="0021333A"/>
    <w:rsid w:val="00213539"/>
    <w:rsid w:val="002136E7"/>
    <w:rsid w:val="00213B65"/>
    <w:rsid w:val="002140A5"/>
    <w:rsid w:val="002142A6"/>
    <w:rsid w:val="00214470"/>
    <w:rsid w:val="002146A0"/>
    <w:rsid w:val="002147AD"/>
    <w:rsid w:val="00214935"/>
    <w:rsid w:val="002149C5"/>
    <w:rsid w:val="00214CDA"/>
    <w:rsid w:val="00214DB7"/>
    <w:rsid w:val="00214FC6"/>
    <w:rsid w:val="00214FFF"/>
    <w:rsid w:val="0021525D"/>
    <w:rsid w:val="0021558D"/>
    <w:rsid w:val="00215607"/>
    <w:rsid w:val="00215673"/>
    <w:rsid w:val="00215BE5"/>
    <w:rsid w:val="00215C47"/>
    <w:rsid w:val="00215FD0"/>
    <w:rsid w:val="002161FA"/>
    <w:rsid w:val="0021623C"/>
    <w:rsid w:val="002163F8"/>
    <w:rsid w:val="00216465"/>
    <w:rsid w:val="00216489"/>
    <w:rsid w:val="0021681A"/>
    <w:rsid w:val="002168B2"/>
    <w:rsid w:val="00216DA3"/>
    <w:rsid w:val="00216F00"/>
    <w:rsid w:val="00216F31"/>
    <w:rsid w:val="00216FA4"/>
    <w:rsid w:val="00217262"/>
    <w:rsid w:val="00217416"/>
    <w:rsid w:val="0021753D"/>
    <w:rsid w:val="002176C9"/>
    <w:rsid w:val="00217879"/>
    <w:rsid w:val="00217C76"/>
    <w:rsid w:val="00220067"/>
    <w:rsid w:val="00220205"/>
    <w:rsid w:val="00220215"/>
    <w:rsid w:val="00220413"/>
    <w:rsid w:val="002206DB"/>
    <w:rsid w:val="002206F8"/>
    <w:rsid w:val="002207F5"/>
    <w:rsid w:val="00220804"/>
    <w:rsid w:val="00220A27"/>
    <w:rsid w:val="00220ACB"/>
    <w:rsid w:val="00220B62"/>
    <w:rsid w:val="00220C81"/>
    <w:rsid w:val="00220EDB"/>
    <w:rsid w:val="00221533"/>
    <w:rsid w:val="0022153A"/>
    <w:rsid w:val="002215D6"/>
    <w:rsid w:val="002216C5"/>
    <w:rsid w:val="002216D1"/>
    <w:rsid w:val="002216DA"/>
    <w:rsid w:val="00221744"/>
    <w:rsid w:val="0022181C"/>
    <w:rsid w:val="0022192E"/>
    <w:rsid w:val="0022198F"/>
    <w:rsid w:val="00221B0B"/>
    <w:rsid w:val="00221B95"/>
    <w:rsid w:val="00221C10"/>
    <w:rsid w:val="00221C9C"/>
    <w:rsid w:val="00221CFB"/>
    <w:rsid w:val="00221D02"/>
    <w:rsid w:val="00221DA5"/>
    <w:rsid w:val="00221ECF"/>
    <w:rsid w:val="00221FD2"/>
    <w:rsid w:val="00222166"/>
    <w:rsid w:val="00222250"/>
    <w:rsid w:val="0022229A"/>
    <w:rsid w:val="002223D3"/>
    <w:rsid w:val="002223F9"/>
    <w:rsid w:val="0022247B"/>
    <w:rsid w:val="00222505"/>
    <w:rsid w:val="00222694"/>
    <w:rsid w:val="002226FC"/>
    <w:rsid w:val="0022282B"/>
    <w:rsid w:val="002229E6"/>
    <w:rsid w:val="00222A99"/>
    <w:rsid w:val="00222AEC"/>
    <w:rsid w:val="00222D8E"/>
    <w:rsid w:val="00222E9E"/>
    <w:rsid w:val="00222EF1"/>
    <w:rsid w:val="00223153"/>
    <w:rsid w:val="0022350A"/>
    <w:rsid w:val="002235C1"/>
    <w:rsid w:val="00223605"/>
    <w:rsid w:val="00223618"/>
    <w:rsid w:val="00223912"/>
    <w:rsid w:val="00223C1D"/>
    <w:rsid w:val="00223ED8"/>
    <w:rsid w:val="00224047"/>
    <w:rsid w:val="002241BC"/>
    <w:rsid w:val="0022420D"/>
    <w:rsid w:val="0022423F"/>
    <w:rsid w:val="00224274"/>
    <w:rsid w:val="002244F6"/>
    <w:rsid w:val="00224859"/>
    <w:rsid w:val="00224957"/>
    <w:rsid w:val="00224B34"/>
    <w:rsid w:val="00224EA5"/>
    <w:rsid w:val="00225349"/>
    <w:rsid w:val="002254CE"/>
    <w:rsid w:val="00225A12"/>
    <w:rsid w:val="00225A8F"/>
    <w:rsid w:val="00225B88"/>
    <w:rsid w:val="00225E02"/>
    <w:rsid w:val="002261B3"/>
    <w:rsid w:val="002262F8"/>
    <w:rsid w:val="00226558"/>
    <w:rsid w:val="00226601"/>
    <w:rsid w:val="0022674F"/>
    <w:rsid w:val="00226986"/>
    <w:rsid w:val="00226B1D"/>
    <w:rsid w:val="00226B66"/>
    <w:rsid w:val="00226C15"/>
    <w:rsid w:val="00226C82"/>
    <w:rsid w:val="00226D28"/>
    <w:rsid w:val="00227110"/>
    <w:rsid w:val="00227255"/>
    <w:rsid w:val="002278E9"/>
    <w:rsid w:val="00227973"/>
    <w:rsid w:val="00227AB6"/>
    <w:rsid w:val="00227D1D"/>
    <w:rsid w:val="00227EAB"/>
    <w:rsid w:val="00227F59"/>
    <w:rsid w:val="00227F86"/>
    <w:rsid w:val="00230085"/>
    <w:rsid w:val="00230147"/>
    <w:rsid w:val="002301E2"/>
    <w:rsid w:val="002301F4"/>
    <w:rsid w:val="0023050C"/>
    <w:rsid w:val="00230651"/>
    <w:rsid w:val="002306D0"/>
    <w:rsid w:val="002307B6"/>
    <w:rsid w:val="0023088D"/>
    <w:rsid w:val="00230936"/>
    <w:rsid w:val="00230CE0"/>
    <w:rsid w:val="00230D87"/>
    <w:rsid w:val="00230F47"/>
    <w:rsid w:val="00231144"/>
    <w:rsid w:val="0023126F"/>
    <w:rsid w:val="00231297"/>
    <w:rsid w:val="00231553"/>
    <w:rsid w:val="0023169A"/>
    <w:rsid w:val="00231756"/>
    <w:rsid w:val="0023178E"/>
    <w:rsid w:val="00231827"/>
    <w:rsid w:val="0023187C"/>
    <w:rsid w:val="002318B6"/>
    <w:rsid w:val="00231D0A"/>
    <w:rsid w:val="00231EA1"/>
    <w:rsid w:val="00231EE1"/>
    <w:rsid w:val="00231F8F"/>
    <w:rsid w:val="00231F9C"/>
    <w:rsid w:val="00231FCF"/>
    <w:rsid w:val="002322A0"/>
    <w:rsid w:val="00232409"/>
    <w:rsid w:val="00232549"/>
    <w:rsid w:val="0023255F"/>
    <w:rsid w:val="0023266D"/>
    <w:rsid w:val="00232CC5"/>
    <w:rsid w:val="00232CFF"/>
    <w:rsid w:val="00232DE6"/>
    <w:rsid w:val="00232EDA"/>
    <w:rsid w:val="00233117"/>
    <w:rsid w:val="0023322C"/>
    <w:rsid w:val="002334B4"/>
    <w:rsid w:val="0023354D"/>
    <w:rsid w:val="00233831"/>
    <w:rsid w:val="00233869"/>
    <w:rsid w:val="002338EB"/>
    <w:rsid w:val="0023394A"/>
    <w:rsid w:val="00233956"/>
    <w:rsid w:val="0023398B"/>
    <w:rsid w:val="00233A3A"/>
    <w:rsid w:val="00233A40"/>
    <w:rsid w:val="00233B8E"/>
    <w:rsid w:val="00233B99"/>
    <w:rsid w:val="00233C53"/>
    <w:rsid w:val="00233CEF"/>
    <w:rsid w:val="00233E2F"/>
    <w:rsid w:val="00233E90"/>
    <w:rsid w:val="00233F82"/>
    <w:rsid w:val="00233FD0"/>
    <w:rsid w:val="00234301"/>
    <w:rsid w:val="00234392"/>
    <w:rsid w:val="002343E6"/>
    <w:rsid w:val="00234941"/>
    <w:rsid w:val="00234A5C"/>
    <w:rsid w:val="00234C0B"/>
    <w:rsid w:val="00234DA6"/>
    <w:rsid w:val="002352B0"/>
    <w:rsid w:val="002353F6"/>
    <w:rsid w:val="0023541E"/>
    <w:rsid w:val="002354A6"/>
    <w:rsid w:val="002354E4"/>
    <w:rsid w:val="002355AB"/>
    <w:rsid w:val="002357C5"/>
    <w:rsid w:val="002358CC"/>
    <w:rsid w:val="00235AD2"/>
    <w:rsid w:val="00235B47"/>
    <w:rsid w:val="00235CD5"/>
    <w:rsid w:val="00235EDC"/>
    <w:rsid w:val="00236011"/>
    <w:rsid w:val="002365B4"/>
    <w:rsid w:val="00236806"/>
    <w:rsid w:val="00236876"/>
    <w:rsid w:val="0023688A"/>
    <w:rsid w:val="00236924"/>
    <w:rsid w:val="00236C40"/>
    <w:rsid w:val="00236C4D"/>
    <w:rsid w:val="00237138"/>
    <w:rsid w:val="00237146"/>
    <w:rsid w:val="0023739B"/>
    <w:rsid w:val="00237497"/>
    <w:rsid w:val="002374EA"/>
    <w:rsid w:val="00237579"/>
    <w:rsid w:val="00237616"/>
    <w:rsid w:val="00237826"/>
    <w:rsid w:val="0023797A"/>
    <w:rsid w:val="00237B77"/>
    <w:rsid w:val="00237E7F"/>
    <w:rsid w:val="00237E8E"/>
    <w:rsid w:val="002401C6"/>
    <w:rsid w:val="0024033B"/>
    <w:rsid w:val="00240493"/>
    <w:rsid w:val="002404E7"/>
    <w:rsid w:val="00240682"/>
    <w:rsid w:val="002406AB"/>
    <w:rsid w:val="0024082C"/>
    <w:rsid w:val="002408AC"/>
    <w:rsid w:val="00240A94"/>
    <w:rsid w:val="00240CCC"/>
    <w:rsid w:val="00240D09"/>
    <w:rsid w:val="00240D20"/>
    <w:rsid w:val="00240F2F"/>
    <w:rsid w:val="0024132B"/>
    <w:rsid w:val="0024169F"/>
    <w:rsid w:val="002416DB"/>
    <w:rsid w:val="00241851"/>
    <w:rsid w:val="00241971"/>
    <w:rsid w:val="00241A0A"/>
    <w:rsid w:val="00241A1C"/>
    <w:rsid w:val="00241A2A"/>
    <w:rsid w:val="00241DA4"/>
    <w:rsid w:val="00241FB0"/>
    <w:rsid w:val="00242011"/>
    <w:rsid w:val="002420B8"/>
    <w:rsid w:val="0024214F"/>
    <w:rsid w:val="00242160"/>
    <w:rsid w:val="00242364"/>
    <w:rsid w:val="00242411"/>
    <w:rsid w:val="002424B4"/>
    <w:rsid w:val="002424B5"/>
    <w:rsid w:val="002428DC"/>
    <w:rsid w:val="002429B3"/>
    <w:rsid w:val="002429D7"/>
    <w:rsid w:val="00242D95"/>
    <w:rsid w:val="002430BF"/>
    <w:rsid w:val="0024324F"/>
    <w:rsid w:val="002433F5"/>
    <w:rsid w:val="00243530"/>
    <w:rsid w:val="002436B4"/>
    <w:rsid w:val="00243816"/>
    <w:rsid w:val="00243AED"/>
    <w:rsid w:val="00243B5A"/>
    <w:rsid w:val="00243B8A"/>
    <w:rsid w:val="00243F96"/>
    <w:rsid w:val="00244011"/>
    <w:rsid w:val="002440F8"/>
    <w:rsid w:val="00244287"/>
    <w:rsid w:val="002442A0"/>
    <w:rsid w:val="002442FE"/>
    <w:rsid w:val="0024440B"/>
    <w:rsid w:val="00244723"/>
    <w:rsid w:val="00244B19"/>
    <w:rsid w:val="00244C5F"/>
    <w:rsid w:val="00245166"/>
    <w:rsid w:val="002452AC"/>
    <w:rsid w:val="002452E3"/>
    <w:rsid w:val="002452F5"/>
    <w:rsid w:val="002453B5"/>
    <w:rsid w:val="00245730"/>
    <w:rsid w:val="002459FA"/>
    <w:rsid w:val="00245DE2"/>
    <w:rsid w:val="002462C7"/>
    <w:rsid w:val="002464E8"/>
    <w:rsid w:val="00246550"/>
    <w:rsid w:val="0024658E"/>
    <w:rsid w:val="002466DF"/>
    <w:rsid w:val="002467D5"/>
    <w:rsid w:val="0024688A"/>
    <w:rsid w:val="002468EF"/>
    <w:rsid w:val="00246986"/>
    <w:rsid w:val="00246BF9"/>
    <w:rsid w:val="00246CAA"/>
    <w:rsid w:val="00246CCD"/>
    <w:rsid w:val="00246F83"/>
    <w:rsid w:val="00246FAF"/>
    <w:rsid w:val="00247475"/>
    <w:rsid w:val="0024781A"/>
    <w:rsid w:val="0024783D"/>
    <w:rsid w:val="002478CA"/>
    <w:rsid w:val="00247A74"/>
    <w:rsid w:val="00247B61"/>
    <w:rsid w:val="00250105"/>
    <w:rsid w:val="002503BC"/>
    <w:rsid w:val="00250615"/>
    <w:rsid w:val="00250854"/>
    <w:rsid w:val="00250876"/>
    <w:rsid w:val="00250A49"/>
    <w:rsid w:val="00251041"/>
    <w:rsid w:val="00251481"/>
    <w:rsid w:val="0025174B"/>
    <w:rsid w:val="002517E0"/>
    <w:rsid w:val="00251815"/>
    <w:rsid w:val="00251B90"/>
    <w:rsid w:val="00251C87"/>
    <w:rsid w:val="00251DF0"/>
    <w:rsid w:val="00251F2D"/>
    <w:rsid w:val="00252033"/>
    <w:rsid w:val="002520CB"/>
    <w:rsid w:val="00252169"/>
    <w:rsid w:val="00252180"/>
    <w:rsid w:val="002521F4"/>
    <w:rsid w:val="00252388"/>
    <w:rsid w:val="002523B6"/>
    <w:rsid w:val="0025253E"/>
    <w:rsid w:val="00252687"/>
    <w:rsid w:val="0025286C"/>
    <w:rsid w:val="00252D6A"/>
    <w:rsid w:val="002530D3"/>
    <w:rsid w:val="00253175"/>
    <w:rsid w:val="0025325C"/>
    <w:rsid w:val="00253277"/>
    <w:rsid w:val="002532C9"/>
    <w:rsid w:val="002532D5"/>
    <w:rsid w:val="002534B0"/>
    <w:rsid w:val="00253776"/>
    <w:rsid w:val="002537FB"/>
    <w:rsid w:val="002539DA"/>
    <w:rsid w:val="00253A9A"/>
    <w:rsid w:val="00253BEB"/>
    <w:rsid w:val="00253D01"/>
    <w:rsid w:val="00254024"/>
    <w:rsid w:val="0025428D"/>
    <w:rsid w:val="0025448E"/>
    <w:rsid w:val="0025454C"/>
    <w:rsid w:val="00254776"/>
    <w:rsid w:val="00254C03"/>
    <w:rsid w:val="00254FE5"/>
    <w:rsid w:val="002550E9"/>
    <w:rsid w:val="00255374"/>
    <w:rsid w:val="00255417"/>
    <w:rsid w:val="002554A7"/>
    <w:rsid w:val="002555C0"/>
    <w:rsid w:val="00255608"/>
    <w:rsid w:val="00255698"/>
    <w:rsid w:val="002557B4"/>
    <w:rsid w:val="00255980"/>
    <w:rsid w:val="00255BEE"/>
    <w:rsid w:val="00255C36"/>
    <w:rsid w:val="00255E11"/>
    <w:rsid w:val="00255E59"/>
    <w:rsid w:val="0025603B"/>
    <w:rsid w:val="00256041"/>
    <w:rsid w:val="0025620F"/>
    <w:rsid w:val="002562DD"/>
    <w:rsid w:val="002562EC"/>
    <w:rsid w:val="0025636F"/>
    <w:rsid w:val="00256568"/>
    <w:rsid w:val="00256676"/>
    <w:rsid w:val="00256841"/>
    <w:rsid w:val="002569FE"/>
    <w:rsid w:val="00256DE9"/>
    <w:rsid w:val="00256FA0"/>
    <w:rsid w:val="0025710E"/>
    <w:rsid w:val="002573B2"/>
    <w:rsid w:val="002573CB"/>
    <w:rsid w:val="002575CA"/>
    <w:rsid w:val="002575CF"/>
    <w:rsid w:val="002577B3"/>
    <w:rsid w:val="0025783E"/>
    <w:rsid w:val="00257989"/>
    <w:rsid w:val="00257AD6"/>
    <w:rsid w:val="00257C19"/>
    <w:rsid w:val="00257CE0"/>
    <w:rsid w:val="00257D8B"/>
    <w:rsid w:val="002601D6"/>
    <w:rsid w:val="0026023E"/>
    <w:rsid w:val="00260517"/>
    <w:rsid w:val="00260796"/>
    <w:rsid w:val="002607C6"/>
    <w:rsid w:val="0026082B"/>
    <w:rsid w:val="00260915"/>
    <w:rsid w:val="00260962"/>
    <w:rsid w:val="00260AB4"/>
    <w:rsid w:val="00260C7F"/>
    <w:rsid w:val="0026105E"/>
    <w:rsid w:val="002612D6"/>
    <w:rsid w:val="0026155F"/>
    <w:rsid w:val="0026163A"/>
    <w:rsid w:val="00261725"/>
    <w:rsid w:val="00261785"/>
    <w:rsid w:val="00261AA1"/>
    <w:rsid w:val="00261EA5"/>
    <w:rsid w:val="0026220C"/>
    <w:rsid w:val="002622C5"/>
    <w:rsid w:val="002623D2"/>
    <w:rsid w:val="00262569"/>
    <w:rsid w:val="00262617"/>
    <w:rsid w:val="002628B2"/>
    <w:rsid w:val="00262BAC"/>
    <w:rsid w:val="00262D74"/>
    <w:rsid w:val="00262FED"/>
    <w:rsid w:val="002632C2"/>
    <w:rsid w:val="00263598"/>
    <w:rsid w:val="002635FB"/>
    <w:rsid w:val="00263AFF"/>
    <w:rsid w:val="00263BF0"/>
    <w:rsid w:val="00263F1E"/>
    <w:rsid w:val="00263F86"/>
    <w:rsid w:val="002644D4"/>
    <w:rsid w:val="002645D0"/>
    <w:rsid w:val="0026479B"/>
    <w:rsid w:val="002648BF"/>
    <w:rsid w:val="00264994"/>
    <w:rsid w:val="00264C55"/>
    <w:rsid w:val="00265144"/>
    <w:rsid w:val="0026517E"/>
    <w:rsid w:val="00265317"/>
    <w:rsid w:val="0026539B"/>
    <w:rsid w:val="002653A0"/>
    <w:rsid w:val="002653C3"/>
    <w:rsid w:val="002655A8"/>
    <w:rsid w:val="0026567E"/>
    <w:rsid w:val="002658AB"/>
    <w:rsid w:val="00265B55"/>
    <w:rsid w:val="00265BC1"/>
    <w:rsid w:val="00265ED5"/>
    <w:rsid w:val="00265F86"/>
    <w:rsid w:val="0026600F"/>
    <w:rsid w:val="00266032"/>
    <w:rsid w:val="002661E4"/>
    <w:rsid w:val="002665CD"/>
    <w:rsid w:val="002666F3"/>
    <w:rsid w:val="00266B93"/>
    <w:rsid w:val="00266C5A"/>
    <w:rsid w:val="00266CBA"/>
    <w:rsid w:val="00266D73"/>
    <w:rsid w:val="002670AA"/>
    <w:rsid w:val="002670D2"/>
    <w:rsid w:val="0026717B"/>
    <w:rsid w:val="002672AC"/>
    <w:rsid w:val="00267328"/>
    <w:rsid w:val="0026755E"/>
    <w:rsid w:val="00267805"/>
    <w:rsid w:val="00267978"/>
    <w:rsid w:val="002679CB"/>
    <w:rsid w:val="00267B98"/>
    <w:rsid w:val="00267C45"/>
    <w:rsid w:val="00267C88"/>
    <w:rsid w:val="00267EBD"/>
    <w:rsid w:val="00267F95"/>
    <w:rsid w:val="00270072"/>
    <w:rsid w:val="0027029C"/>
    <w:rsid w:val="00270335"/>
    <w:rsid w:val="00270465"/>
    <w:rsid w:val="002704AE"/>
    <w:rsid w:val="002704B6"/>
    <w:rsid w:val="00270689"/>
    <w:rsid w:val="00270A73"/>
    <w:rsid w:val="00270C80"/>
    <w:rsid w:val="00270CE5"/>
    <w:rsid w:val="00270E20"/>
    <w:rsid w:val="002711BD"/>
    <w:rsid w:val="00271393"/>
    <w:rsid w:val="00271485"/>
    <w:rsid w:val="002714A7"/>
    <w:rsid w:val="0027160A"/>
    <w:rsid w:val="00271614"/>
    <w:rsid w:val="00271815"/>
    <w:rsid w:val="00271BDF"/>
    <w:rsid w:val="00271C50"/>
    <w:rsid w:val="00271C82"/>
    <w:rsid w:val="00271EE8"/>
    <w:rsid w:val="00271FA1"/>
    <w:rsid w:val="0027209F"/>
    <w:rsid w:val="0027219E"/>
    <w:rsid w:val="00272243"/>
    <w:rsid w:val="0027238F"/>
    <w:rsid w:val="00272582"/>
    <w:rsid w:val="002725CC"/>
    <w:rsid w:val="00272792"/>
    <w:rsid w:val="002728F5"/>
    <w:rsid w:val="00272923"/>
    <w:rsid w:val="002729C2"/>
    <w:rsid w:val="002729E3"/>
    <w:rsid w:val="00272F18"/>
    <w:rsid w:val="00272F3F"/>
    <w:rsid w:val="002730BD"/>
    <w:rsid w:val="00273231"/>
    <w:rsid w:val="002733F5"/>
    <w:rsid w:val="002735DE"/>
    <w:rsid w:val="0027360A"/>
    <w:rsid w:val="002736C6"/>
    <w:rsid w:val="002739B2"/>
    <w:rsid w:val="00273B09"/>
    <w:rsid w:val="00273BA2"/>
    <w:rsid w:val="00273F04"/>
    <w:rsid w:val="0027402D"/>
    <w:rsid w:val="0027406C"/>
    <w:rsid w:val="00274382"/>
    <w:rsid w:val="00274387"/>
    <w:rsid w:val="002743B3"/>
    <w:rsid w:val="0027443F"/>
    <w:rsid w:val="00274579"/>
    <w:rsid w:val="00274677"/>
    <w:rsid w:val="002748F4"/>
    <w:rsid w:val="00274963"/>
    <w:rsid w:val="002749A1"/>
    <w:rsid w:val="002749A7"/>
    <w:rsid w:val="002750C3"/>
    <w:rsid w:val="00275111"/>
    <w:rsid w:val="00275120"/>
    <w:rsid w:val="002751D8"/>
    <w:rsid w:val="0027540D"/>
    <w:rsid w:val="00275429"/>
    <w:rsid w:val="00275477"/>
    <w:rsid w:val="00275AF6"/>
    <w:rsid w:val="00275BE8"/>
    <w:rsid w:val="00275C06"/>
    <w:rsid w:val="00275C3D"/>
    <w:rsid w:val="002763BE"/>
    <w:rsid w:val="0027659E"/>
    <w:rsid w:val="00276604"/>
    <w:rsid w:val="0027660F"/>
    <w:rsid w:val="00276A01"/>
    <w:rsid w:val="00276A52"/>
    <w:rsid w:val="00276BFB"/>
    <w:rsid w:val="00276C3F"/>
    <w:rsid w:val="00276DF9"/>
    <w:rsid w:val="00276F11"/>
    <w:rsid w:val="0027705F"/>
    <w:rsid w:val="00277293"/>
    <w:rsid w:val="002773CE"/>
    <w:rsid w:val="00277495"/>
    <w:rsid w:val="002775AC"/>
    <w:rsid w:val="00277600"/>
    <w:rsid w:val="002776B3"/>
    <w:rsid w:val="00277C6D"/>
    <w:rsid w:val="00277C8F"/>
    <w:rsid w:val="00277CCA"/>
    <w:rsid w:val="00277CD8"/>
    <w:rsid w:val="00277DE0"/>
    <w:rsid w:val="00277F0C"/>
    <w:rsid w:val="00277FD5"/>
    <w:rsid w:val="0028011E"/>
    <w:rsid w:val="002803C7"/>
    <w:rsid w:val="00280482"/>
    <w:rsid w:val="00280555"/>
    <w:rsid w:val="00280576"/>
    <w:rsid w:val="00280784"/>
    <w:rsid w:val="00280993"/>
    <w:rsid w:val="002809A9"/>
    <w:rsid w:val="002809E0"/>
    <w:rsid w:val="00280A62"/>
    <w:rsid w:val="00280B7A"/>
    <w:rsid w:val="00280C73"/>
    <w:rsid w:val="00280EDF"/>
    <w:rsid w:val="00280F54"/>
    <w:rsid w:val="00280F6D"/>
    <w:rsid w:val="002811B8"/>
    <w:rsid w:val="0028122C"/>
    <w:rsid w:val="0028129A"/>
    <w:rsid w:val="00281656"/>
    <w:rsid w:val="0028177A"/>
    <w:rsid w:val="002817CE"/>
    <w:rsid w:val="00281C83"/>
    <w:rsid w:val="00281C9A"/>
    <w:rsid w:val="00281CB0"/>
    <w:rsid w:val="00281EC0"/>
    <w:rsid w:val="00281F78"/>
    <w:rsid w:val="002820F2"/>
    <w:rsid w:val="002823F1"/>
    <w:rsid w:val="002824E3"/>
    <w:rsid w:val="0028252C"/>
    <w:rsid w:val="002827E6"/>
    <w:rsid w:val="002829E3"/>
    <w:rsid w:val="00282E13"/>
    <w:rsid w:val="00282E74"/>
    <w:rsid w:val="00282EB1"/>
    <w:rsid w:val="0028308D"/>
    <w:rsid w:val="002830DE"/>
    <w:rsid w:val="00283300"/>
    <w:rsid w:val="00283809"/>
    <w:rsid w:val="00283911"/>
    <w:rsid w:val="00283A5E"/>
    <w:rsid w:val="00283AA6"/>
    <w:rsid w:val="00283B63"/>
    <w:rsid w:val="00283D30"/>
    <w:rsid w:val="0028401B"/>
    <w:rsid w:val="00284176"/>
    <w:rsid w:val="0028432C"/>
    <w:rsid w:val="0028443F"/>
    <w:rsid w:val="002849A3"/>
    <w:rsid w:val="00284AC2"/>
    <w:rsid w:val="00284F51"/>
    <w:rsid w:val="002850AC"/>
    <w:rsid w:val="002850D9"/>
    <w:rsid w:val="002851DC"/>
    <w:rsid w:val="00285207"/>
    <w:rsid w:val="00285455"/>
    <w:rsid w:val="002856A2"/>
    <w:rsid w:val="002857E2"/>
    <w:rsid w:val="00285CE9"/>
    <w:rsid w:val="00285D46"/>
    <w:rsid w:val="00285DEA"/>
    <w:rsid w:val="00285E24"/>
    <w:rsid w:val="00285ED6"/>
    <w:rsid w:val="00285FD7"/>
    <w:rsid w:val="002860F1"/>
    <w:rsid w:val="0028610C"/>
    <w:rsid w:val="002863CD"/>
    <w:rsid w:val="002863DB"/>
    <w:rsid w:val="00286570"/>
    <w:rsid w:val="0028665E"/>
    <w:rsid w:val="0028667D"/>
    <w:rsid w:val="00286719"/>
    <w:rsid w:val="002867E6"/>
    <w:rsid w:val="00286854"/>
    <w:rsid w:val="002868F6"/>
    <w:rsid w:val="00286ABA"/>
    <w:rsid w:val="00286B5A"/>
    <w:rsid w:val="00286BDC"/>
    <w:rsid w:val="00286C1F"/>
    <w:rsid w:val="00286C35"/>
    <w:rsid w:val="00286D42"/>
    <w:rsid w:val="00286EF1"/>
    <w:rsid w:val="00286F58"/>
    <w:rsid w:val="002870A9"/>
    <w:rsid w:val="00287146"/>
    <w:rsid w:val="0028738C"/>
    <w:rsid w:val="0028758E"/>
    <w:rsid w:val="00287616"/>
    <w:rsid w:val="00287E36"/>
    <w:rsid w:val="00287F35"/>
    <w:rsid w:val="0029013E"/>
    <w:rsid w:val="002901A1"/>
    <w:rsid w:val="00290352"/>
    <w:rsid w:val="002903AA"/>
    <w:rsid w:val="002903E6"/>
    <w:rsid w:val="0029042A"/>
    <w:rsid w:val="00290622"/>
    <w:rsid w:val="002906DD"/>
    <w:rsid w:val="00290747"/>
    <w:rsid w:val="00290904"/>
    <w:rsid w:val="00290915"/>
    <w:rsid w:val="002909B6"/>
    <w:rsid w:val="002909D7"/>
    <w:rsid w:val="00290A27"/>
    <w:rsid w:val="00290A51"/>
    <w:rsid w:val="00290AA4"/>
    <w:rsid w:val="00290AAE"/>
    <w:rsid w:val="00290ABD"/>
    <w:rsid w:val="00290B6B"/>
    <w:rsid w:val="00290BFE"/>
    <w:rsid w:val="00290D00"/>
    <w:rsid w:val="00290D10"/>
    <w:rsid w:val="0029161F"/>
    <w:rsid w:val="0029169F"/>
    <w:rsid w:val="0029171C"/>
    <w:rsid w:val="002918F2"/>
    <w:rsid w:val="00291A5B"/>
    <w:rsid w:val="00291B7A"/>
    <w:rsid w:val="00291B82"/>
    <w:rsid w:val="00291CAA"/>
    <w:rsid w:val="00291D5A"/>
    <w:rsid w:val="002920DF"/>
    <w:rsid w:val="00292203"/>
    <w:rsid w:val="00292380"/>
    <w:rsid w:val="0029252D"/>
    <w:rsid w:val="00292575"/>
    <w:rsid w:val="002926AC"/>
    <w:rsid w:val="002926F3"/>
    <w:rsid w:val="002926F6"/>
    <w:rsid w:val="00292867"/>
    <w:rsid w:val="00292B15"/>
    <w:rsid w:val="00292C38"/>
    <w:rsid w:val="00292CDD"/>
    <w:rsid w:val="00292D33"/>
    <w:rsid w:val="00292F00"/>
    <w:rsid w:val="00292F0D"/>
    <w:rsid w:val="00293026"/>
    <w:rsid w:val="002932D0"/>
    <w:rsid w:val="00293307"/>
    <w:rsid w:val="002934EE"/>
    <w:rsid w:val="0029373B"/>
    <w:rsid w:val="0029382F"/>
    <w:rsid w:val="00293928"/>
    <w:rsid w:val="00293972"/>
    <w:rsid w:val="00293983"/>
    <w:rsid w:val="00293D19"/>
    <w:rsid w:val="00293E7F"/>
    <w:rsid w:val="00293FC5"/>
    <w:rsid w:val="002941BC"/>
    <w:rsid w:val="0029427E"/>
    <w:rsid w:val="00294285"/>
    <w:rsid w:val="002946C4"/>
    <w:rsid w:val="00294704"/>
    <w:rsid w:val="00294799"/>
    <w:rsid w:val="002947AB"/>
    <w:rsid w:val="002947C2"/>
    <w:rsid w:val="00294890"/>
    <w:rsid w:val="00294AEB"/>
    <w:rsid w:val="00294B6C"/>
    <w:rsid w:val="00294BC9"/>
    <w:rsid w:val="00294DB2"/>
    <w:rsid w:val="00294EF5"/>
    <w:rsid w:val="00294F15"/>
    <w:rsid w:val="0029516A"/>
    <w:rsid w:val="002951A3"/>
    <w:rsid w:val="002954BB"/>
    <w:rsid w:val="0029563A"/>
    <w:rsid w:val="0029595C"/>
    <w:rsid w:val="00295967"/>
    <w:rsid w:val="002959E2"/>
    <w:rsid w:val="00295A19"/>
    <w:rsid w:val="00295ACC"/>
    <w:rsid w:val="00295BAF"/>
    <w:rsid w:val="00295CAB"/>
    <w:rsid w:val="00296214"/>
    <w:rsid w:val="00296466"/>
    <w:rsid w:val="00296470"/>
    <w:rsid w:val="002964D4"/>
    <w:rsid w:val="002967D9"/>
    <w:rsid w:val="00296829"/>
    <w:rsid w:val="00296850"/>
    <w:rsid w:val="002968CF"/>
    <w:rsid w:val="00296E76"/>
    <w:rsid w:val="00296F2B"/>
    <w:rsid w:val="0029709D"/>
    <w:rsid w:val="002971A0"/>
    <w:rsid w:val="00297254"/>
    <w:rsid w:val="002972AA"/>
    <w:rsid w:val="00297665"/>
    <w:rsid w:val="00297C83"/>
    <w:rsid w:val="00297EC7"/>
    <w:rsid w:val="00297F97"/>
    <w:rsid w:val="002A016F"/>
    <w:rsid w:val="002A01A9"/>
    <w:rsid w:val="002A02C1"/>
    <w:rsid w:val="002A0435"/>
    <w:rsid w:val="002A056B"/>
    <w:rsid w:val="002A082C"/>
    <w:rsid w:val="002A0AAD"/>
    <w:rsid w:val="002A0AB1"/>
    <w:rsid w:val="002A0B48"/>
    <w:rsid w:val="002A0B4A"/>
    <w:rsid w:val="002A0C48"/>
    <w:rsid w:val="002A0E7E"/>
    <w:rsid w:val="002A0F75"/>
    <w:rsid w:val="002A1027"/>
    <w:rsid w:val="002A125D"/>
    <w:rsid w:val="002A12B9"/>
    <w:rsid w:val="002A1BA8"/>
    <w:rsid w:val="002A1BD9"/>
    <w:rsid w:val="002A1F8D"/>
    <w:rsid w:val="002A2221"/>
    <w:rsid w:val="002A2520"/>
    <w:rsid w:val="002A25EA"/>
    <w:rsid w:val="002A270F"/>
    <w:rsid w:val="002A2802"/>
    <w:rsid w:val="002A2835"/>
    <w:rsid w:val="002A2A70"/>
    <w:rsid w:val="002A2B66"/>
    <w:rsid w:val="002A2B97"/>
    <w:rsid w:val="002A2EFA"/>
    <w:rsid w:val="002A2F15"/>
    <w:rsid w:val="002A2FEA"/>
    <w:rsid w:val="002A308C"/>
    <w:rsid w:val="002A30CE"/>
    <w:rsid w:val="002A30E9"/>
    <w:rsid w:val="002A3171"/>
    <w:rsid w:val="002A32FF"/>
    <w:rsid w:val="002A3459"/>
    <w:rsid w:val="002A34C1"/>
    <w:rsid w:val="002A34F1"/>
    <w:rsid w:val="002A3861"/>
    <w:rsid w:val="002A38F8"/>
    <w:rsid w:val="002A3997"/>
    <w:rsid w:val="002A3AAF"/>
    <w:rsid w:val="002A3C4B"/>
    <w:rsid w:val="002A3C75"/>
    <w:rsid w:val="002A3EBD"/>
    <w:rsid w:val="002A4231"/>
    <w:rsid w:val="002A4302"/>
    <w:rsid w:val="002A43AC"/>
    <w:rsid w:val="002A44CB"/>
    <w:rsid w:val="002A44EA"/>
    <w:rsid w:val="002A4686"/>
    <w:rsid w:val="002A496C"/>
    <w:rsid w:val="002A4AB1"/>
    <w:rsid w:val="002A4C61"/>
    <w:rsid w:val="002A4CB6"/>
    <w:rsid w:val="002A4D68"/>
    <w:rsid w:val="002A4E2B"/>
    <w:rsid w:val="002A51A9"/>
    <w:rsid w:val="002A5348"/>
    <w:rsid w:val="002A5402"/>
    <w:rsid w:val="002A5695"/>
    <w:rsid w:val="002A5714"/>
    <w:rsid w:val="002A5727"/>
    <w:rsid w:val="002A5842"/>
    <w:rsid w:val="002A59D9"/>
    <w:rsid w:val="002A5C15"/>
    <w:rsid w:val="002A5C43"/>
    <w:rsid w:val="002A5D79"/>
    <w:rsid w:val="002A5DA3"/>
    <w:rsid w:val="002A618E"/>
    <w:rsid w:val="002A622E"/>
    <w:rsid w:val="002A649E"/>
    <w:rsid w:val="002A6651"/>
    <w:rsid w:val="002A6735"/>
    <w:rsid w:val="002A6A04"/>
    <w:rsid w:val="002A6B64"/>
    <w:rsid w:val="002A6D7F"/>
    <w:rsid w:val="002A6E69"/>
    <w:rsid w:val="002A6F4A"/>
    <w:rsid w:val="002A6FCB"/>
    <w:rsid w:val="002A6FED"/>
    <w:rsid w:val="002A702B"/>
    <w:rsid w:val="002A7072"/>
    <w:rsid w:val="002A70F4"/>
    <w:rsid w:val="002A71F6"/>
    <w:rsid w:val="002A7245"/>
    <w:rsid w:val="002A7288"/>
    <w:rsid w:val="002A729E"/>
    <w:rsid w:val="002A73F3"/>
    <w:rsid w:val="002A7469"/>
    <w:rsid w:val="002A7563"/>
    <w:rsid w:val="002A76C0"/>
    <w:rsid w:val="002A7712"/>
    <w:rsid w:val="002A7819"/>
    <w:rsid w:val="002A787C"/>
    <w:rsid w:val="002A7ACF"/>
    <w:rsid w:val="002A7C4F"/>
    <w:rsid w:val="002A7D45"/>
    <w:rsid w:val="002A7F9A"/>
    <w:rsid w:val="002A7FB5"/>
    <w:rsid w:val="002A7FBE"/>
    <w:rsid w:val="002B04F5"/>
    <w:rsid w:val="002B055E"/>
    <w:rsid w:val="002B0681"/>
    <w:rsid w:val="002B07DD"/>
    <w:rsid w:val="002B084B"/>
    <w:rsid w:val="002B08D8"/>
    <w:rsid w:val="002B0B33"/>
    <w:rsid w:val="002B0C37"/>
    <w:rsid w:val="002B0D0F"/>
    <w:rsid w:val="002B0DFE"/>
    <w:rsid w:val="002B0EEA"/>
    <w:rsid w:val="002B1171"/>
    <w:rsid w:val="002B11BD"/>
    <w:rsid w:val="002B148D"/>
    <w:rsid w:val="002B17BB"/>
    <w:rsid w:val="002B1A68"/>
    <w:rsid w:val="002B1CF7"/>
    <w:rsid w:val="002B1DC8"/>
    <w:rsid w:val="002B1E18"/>
    <w:rsid w:val="002B1E64"/>
    <w:rsid w:val="002B1E9D"/>
    <w:rsid w:val="002B1FD2"/>
    <w:rsid w:val="002B2005"/>
    <w:rsid w:val="002B21C0"/>
    <w:rsid w:val="002B2237"/>
    <w:rsid w:val="002B251B"/>
    <w:rsid w:val="002B26BD"/>
    <w:rsid w:val="002B2A5A"/>
    <w:rsid w:val="002B2D02"/>
    <w:rsid w:val="002B2DA7"/>
    <w:rsid w:val="002B2E08"/>
    <w:rsid w:val="002B2ECC"/>
    <w:rsid w:val="002B323F"/>
    <w:rsid w:val="002B327C"/>
    <w:rsid w:val="002B344D"/>
    <w:rsid w:val="002B34BA"/>
    <w:rsid w:val="002B34BB"/>
    <w:rsid w:val="002B34FA"/>
    <w:rsid w:val="002B35F2"/>
    <w:rsid w:val="002B377C"/>
    <w:rsid w:val="002B3783"/>
    <w:rsid w:val="002B3978"/>
    <w:rsid w:val="002B3AC4"/>
    <w:rsid w:val="002B3E25"/>
    <w:rsid w:val="002B3E43"/>
    <w:rsid w:val="002B41BD"/>
    <w:rsid w:val="002B4497"/>
    <w:rsid w:val="002B482C"/>
    <w:rsid w:val="002B4A46"/>
    <w:rsid w:val="002B4AFE"/>
    <w:rsid w:val="002B51C8"/>
    <w:rsid w:val="002B5320"/>
    <w:rsid w:val="002B584B"/>
    <w:rsid w:val="002B5B32"/>
    <w:rsid w:val="002B5B5C"/>
    <w:rsid w:val="002B5BC0"/>
    <w:rsid w:val="002B6125"/>
    <w:rsid w:val="002B64DE"/>
    <w:rsid w:val="002B678A"/>
    <w:rsid w:val="002B682E"/>
    <w:rsid w:val="002B6B7E"/>
    <w:rsid w:val="002B6BF3"/>
    <w:rsid w:val="002B7132"/>
    <w:rsid w:val="002B7183"/>
    <w:rsid w:val="002B75D3"/>
    <w:rsid w:val="002B780C"/>
    <w:rsid w:val="002B7851"/>
    <w:rsid w:val="002B78DE"/>
    <w:rsid w:val="002B78E2"/>
    <w:rsid w:val="002B7906"/>
    <w:rsid w:val="002B7943"/>
    <w:rsid w:val="002B7961"/>
    <w:rsid w:val="002B7DEF"/>
    <w:rsid w:val="002C03C6"/>
    <w:rsid w:val="002C0479"/>
    <w:rsid w:val="002C05A0"/>
    <w:rsid w:val="002C07A4"/>
    <w:rsid w:val="002C08C3"/>
    <w:rsid w:val="002C08D3"/>
    <w:rsid w:val="002C08F2"/>
    <w:rsid w:val="002C08F6"/>
    <w:rsid w:val="002C09BB"/>
    <w:rsid w:val="002C0B0E"/>
    <w:rsid w:val="002C0C8B"/>
    <w:rsid w:val="002C0D18"/>
    <w:rsid w:val="002C0D76"/>
    <w:rsid w:val="002C0F00"/>
    <w:rsid w:val="002C137D"/>
    <w:rsid w:val="002C1388"/>
    <w:rsid w:val="002C139D"/>
    <w:rsid w:val="002C13CC"/>
    <w:rsid w:val="002C154C"/>
    <w:rsid w:val="002C167C"/>
    <w:rsid w:val="002C16CB"/>
    <w:rsid w:val="002C1839"/>
    <w:rsid w:val="002C1C52"/>
    <w:rsid w:val="002C1D2D"/>
    <w:rsid w:val="002C1F29"/>
    <w:rsid w:val="002C1F67"/>
    <w:rsid w:val="002C1F71"/>
    <w:rsid w:val="002C21C8"/>
    <w:rsid w:val="002C230A"/>
    <w:rsid w:val="002C2326"/>
    <w:rsid w:val="002C2AE6"/>
    <w:rsid w:val="002C2BA9"/>
    <w:rsid w:val="002C2BEC"/>
    <w:rsid w:val="002C2D2A"/>
    <w:rsid w:val="002C2D2D"/>
    <w:rsid w:val="002C2F6C"/>
    <w:rsid w:val="002C3271"/>
    <w:rsid w:val="002C32FA"/>
    <w:rsid w:val="002C334E"/>
    <w:rsid w:val="002C342B"/>
    <w:rsid w:val="002C3713"/>
    <w:rsid w:val="002C39B7"/>
    <w:rsid w:val="002C3C18"/>
    <w:rsid w:val="002C3DF9"/>
    <w:rsid w:val="002C4442"/>
    <w:rsid w:val="002C4456"/>
    <w:rsid w:val="002C4633"/>
    <w:rsid w:val="002C4684"/>
    <w:rsid w:val="002C4713"/>
    <w:rsid w:val="002C4800"/>
    <w:rsid w:val="002C4C53"/>
    <w:rsid w:val="002C4D4C"/>
    <w:rsid w:val="002C4E98"/>
    <w:rsid w:val="002C4EF3"/>
    <w:rsid w:val="002C5163"/>
    <w:rsid w:val="002C55EC"/>
    <w:rsid w:val="002C5675"/>
    <w:rsid w:val="002C577E"/>
    <w:rsid w:val="002C57D9"/>
    <w:rsid w:val="002C57E5"/>
    <w:rsid w:val="002C58B4"/>
    <w:rsid w:val="002C5973"/>
    <w:rsid w:val="002C5B05"/>
    <w:rsid w:val="002C5BEA"/>
    <w:rsid w:val="002C5DDE"/>
    <w:rsid w:val="002C5F0F"/>
    <w:rsid w:val="002C60E1"/>
    <w:rsid w:val="002C61E0"/>
    <w:rsid w:val="002C6517"/>
    <w:rsid w:val="002C6532"/>
    <w:rsid w:val="002C6625"/>
    <w:rsid w:val="002C68A2"/>
    <w:rsid w:val="002C6BAB"/>
    <w:rsid w:val="002C6EC4"/>
    <w:rsid w:val="002C6F1C"/>
    <w:rsid w:val="002C723B"/>
    <w:rsid w:val="002C7666"/>
    <w:rsid w:val="002C7704"/>
    <w:rsid w:val="002C7B86"/>
    <w:rsid w:val="002C7F7A"/>
    <w:rsid w:val="002D0288"/>
    <w:rsid w:val="002D03AD"/>
    <w:rsid w:val="002D043A"/>
    <w:rsid w:val="002D095A"/>
    <w:rsid w:val="002D0AA0"/>
    <w:rsid w:val="002D0B54"/>
    <w:rsid w:val="002D0C92"/>
    <w:rsid w:val="002D0D0C"/>
    <w:rsid w:val="002D0E42"/>
    <w:rsid w:val="002D0E64"/>
    <w:rsid w:val="002D1299"/>
    <w:rsid w:val="002D12B2"/>
    <w:rsid w:val="002D136B"/>
    <w:rsid w:val="002D13AC"/>
    <w:rsid w:val="002D16C0"/>
    <w:rsid w:val="002D17BF"/>
    <w:rsid w:val="002D1940"/>
    <w:rsid w:val="002D19EF"/>
    <w:rsid w:val="002D1AC3"/>
    <w:rsid w:val="002D1BD6"/>
    <w:rsid w:val="002D206A"/>
    <w:rsid w:val="002D20AA"/>
    <w:rsid w:val="002D2152"/>
    <w:rsid w:val="002D22C5"/>
    <w:rsid w:val="002D22C6"/>
    <w:rsid w:val="002D22D5"/>
    <w:rsid w:val="002D2653"/>
    <w:rsid w:val="002D267B"/>
    <w:rsid w:val="002D2698"/>
    <w:rsid w:val="002D288D"/>
    <w:rsid w:val="002D28B9"/>
    <w:rsid w:val="002D2AB9"/>
    <w:rsid w:val="002D2B79"/>
    <w:rsid w:val="002D316D"/>
    <w:rsid w:val="002D31CF"/>
    <w:rsid w:val="002D31F7"/>
    <w:rsid w:val="002D31FB"/>
    <w:rsid w:val="002D325E"/>
    <w:rsid w:val="002D33BB"/>
    <w:rsid w:val="002D353F"/>
    <w:rsid w:val="002D358E"/>
    <w:rsid w:val="002D3815"/>
    <w:rsid w:val="002D3997"/>
    <w:rsid w:val="002D39AC"/>
    <w:rsid w:val="002D3A05"/>
    <w:rsid w:val="002D3AB0"/>
    <w:rsid w:val="002D3ACB"/>
    <w:rsid w:val="002D3ACC"/>
    <w:rsid w:val="002D3DE5"/>
    <w:rsid w:val="002D3E80"/>
    <w:rsid w:val="002D3F13"/>
    <w:rsid w:val="002D3F52"/>
    <w:rsid w:val="002D3FF4"/>
    <w:rsid w:val="002D4088"/>
    <w:rsid w:val="002D4218"/>
    <w:rsid w:val="002D4235"/>
    <w:rsid w:val="002D44CB"/>
    <w:rsid w:val="002D45BD"/>
    <w:rsid w:val="002D48EF"/>
    <w:rsid w:val="002D490B"/>
    <w:rsid w:val="002D4A4D"/>
    <w:rsid w:val="002D4DA6"/>
    <w:rsid w:val="002D4EDE"/>
    <w:rsid w:val="002D5200"/>
    <w:rsid w:val="002D52A5"/>
    <w:rsid w:val="002D5320"/>
    <w:rsid w:val="002D57B5"/>
    <w:rsid w:val="002D593A"/>
    <w:rsid w:val="002D59A8"/>
    <w:rsid w:val="002D5DBD"/>
    <w:rsid w:val="002D6071"/>
    <w:rsid w:val="002D61AA"/>
    <w:rsid w:val="002D631E"/>
    <w:rsid w:val="002D6320"/>
    <w:rsid w:val="002D6383"/>
    <w:rsid w:val="002D6468"/>
    <w:rsid w:val="002D64CF"/>
    <w:rsid w:val="002D65B3"/>
    <w:rsid w:val="002D67A2"/>
    <w:rsid w:val="002D6BCB"/>
    <w:rsid w:val="002D6C7E"/>
    <w:rsid w:val="002D6C89"/>
    <w:rsid w:val="002D6D2A"/>
    <w:rsid w:val="002D6E9C"/>
    <w:rsid w:val="002D6EA5"/>
    <w:rsid w:val="002D6EB8"/>
    <w:rsid w:val="002D72D5"/>
    <w:rsid w:val="002D7376"/>
    <w:rsid w:val="002D74C6"/>
    <w:rsid w:val="002D74F4"/>
    <w:rsid w:val="002D7698"/>
    <w:rsid w:val="002D76A1"/>
    <w:rsid w:val="002D76E1"/>
    <w:rsid w:val="002D770A"/>
    <w:rsid w:val="002D777E"/>
    <w:rsid w:val="002D7841"/>
    <w:rsid w:val="002D7D6B"/>
    <w:rsid w:val="002D7EA5"/>
    <w:rsid w:val="002D7F0A"/>
    <w:rsid w:val="002D7FC2"/>
    <w:rsid w:val="002E00C1"/>
    <w:rsid w:val="002E00FE"/>
    <w:rsid w:val="002E01B4"/>
    <w:rsid w:val="002E0307"/>
    <w:rsid w:val="002E05D7"/>
    <w:rsid w:val="002E0682"/>
    <w:rsid w:val="002E06FA"/>
    <w:rsid w:val="002E08EF"/>
    <w:rsid w:val="002E0949"/>
    <w:rsid w:val="002E09FD"/>
    <w:rsid w:val="002E0A45"/>
    <w:rsid w:val="002E0A95"/>
    <w:rsid w:val="002E0D6C"/>
    <w:rsid w:val="002E110D"/>
    <w:rsid w:val="002E1168"/>
    <w:rsid w:val="002E1548"/>
    <w:rsid w:val="002E175F"/>
    <w:rsid w:val="002E17CE"/>
    <w:rsid w:val="002E18DA"/>
    <w:rsid w:val="002E193A"/>
    <w:rsid w:val="002E1BE6"/>
    <w:rsid w:val="002E1C13"/>
    <w:rsid w:val="002E1D80"/>
    <w:rsid w:val="002E1E59"/>
    <w:rsid w:val="002E1ECD"/>
    <w:rsid w:val="002E2135"/>
    <w:rsid w:val="002E2313"/>
    <w:rsid w:val="002E27BA"/>
    <w:rsid w:val="002E27D8"/>
    <w:rsid w:val="002E27F0"/>
    <w:rsid w:val="002E2A7D"/>
    <w:rsid w:val="002E2ABF"/>
    <w:rsid w:val="002E2C58"/>
    <w:rsid w:val="002E2D1A"/>
    <w:rsid w:val="002E309C"/>
    <w:rsid w:val="002E30A1"/>
    <w:rsid w:val="002E3283"/>
    <w:rsid w:val="002E33C2"/>
    <w:rsid w:val="002E3498"/>
    <w:rsid w:val="002E35A2"/>
    <w:rsid w:val="002E362E"/>
    <w:rsid w:val="002E394A"/>
    <w:rsid w:val="002E399E"/>
    <w:rsid w:val="002E39FF"/>
    <w:rsid w:val="002E3A78"/>
    <w:rsid w:val="002E3DAB"/>
    <w:rsid w:val="002E3E31"/>
    <w:rsid w:val="002E3EE3"/>
    <w:rsid w:val="002E40A8"/>
    <w:rsid w:val="002E4313"/>
    <w:rsid w:val="002E4499"/>
    <w:rsid w:val="002E4680"/>
    <w:rsid w:val="002E46B3"/>
    <w:rsid w:val="002E485F"/>
    <w:rsid w:val="002E4898"/>
    <w:rsid w:val="002E4964"/>
    <w:rsid w:val="002E4E8A"/>
    <w:rsid w:val="002E508B"/>
    <w:rsid w:val="002E520D"/>
    <w:rsid w:val="002E552C"/>
    <w:rsid w:val="002E55EB"/>
    <w:rsid w:val="002E5ADD"/>
    <w:rsid w:val="002E5BE0"/>
    <w:rsid w:val="002E5C0C"/>
    <w:rsid w:val="002E5CFE"/>
    <w:rsid w:val="002E6015"/>
    <w:rsid w:val="002E60D3"/>
    <w:rsid w:val="002E60FD"/>
    <w:rsid w:val="002E614A"/>
    <w:rsid w:val="002E627D"/>
    <w:rsid w:val="002E6466"/>
    <w:rsid w:val="002E64BF"/>
    <w:rsid w:val="002E6686"/>
    <w:rsid w:val="002E6763"/>
    <w:rsid w:val="002E68CF"/>
    <w:rsid w:val="002E6967"/>
    <w:rsid w:val="002E69A6"/>
    <w:rsid w:val="002E6A0D"/>
    <w:rsid w:val="002E6A0F"/>
    <w:rsid w:val="002E6AC0"/>
    <w:rsid w:val="002E6B35"/>
    <w:rsid w:val="002E6B3B"/>
    <w:rsid w:val="002E6B56"/>
    <w:rsid w:val="002E6C45"/>
    <w:rsid w:val="002E6C84"/>
    <w:rsid w:val="002E6CD0"/>
    <w:rsid w:val="002E6E65"/>
    <w:rsid w:val="002E6FEA"/>
    <w:rsid w:val="002E6FFD"/>
    <w:rsid w:val="002E71B3"/>
    <w:rsid w:val="002E7393"/>
    <w:rsid w:val="002E7520"/>
    <w:rsid w:val="002E7634"/>
    <w:rsid w:val="002E76FC"/>
    <w:rsid w:val="002E772F"/>
    <w:rsid w:val="002E7801"/>
    <w:rsid w:val="002E78D2"/>
    <w:rsid w:val="002E79FC"/>
    <w:rsid w:val="002E7CC4"/>
    <w:rsid w:val="002E7DF2"/>
    <w:rsid w:val="002E7E48"/>
    <w:rsid w:val="002E7F4D"/>
    <w:rsid w:val="002E7FCF"/>
    <w:rsid w:val="002F0043"/>
    <w:rsid w:val="002F0075"/>
    <w:rsid w:val="002F01A9"/>
    <w:rsid w:val="002F027C"/>
    <w:rsid w:val="002F0292"/>
    <w:rsid w:val="002F0446"/>
    <w:rsid w:val="002F068A"/>
    <w:rsid w:val="002F0694"/>
    <w:rsid w:val="002F06C5"/>
    <w:rsid w:val="002F0872"/>
    <w:rsid w:val="002F0AAB"/>
    <w:rsid w:val="002F0E28"/>
    <w:rsid w:val="002F0F77"/>
    <w:rsid w:val="002F10B8"/>
    <w:rsid w:val="002F129A"/>
    <w:rsid w:val="002F12A4"/>
    <w:rsid w:val="002F1385"/>
    <w:rsid w:val="002F1403"/>
    <w:rsid w:val="002F14E3"/>
    <w:rsid w:val="002F154B"/>
    <w:rsid w:val="002F16B2"/>
    <w:rsid w:val="002F1913"/>
    <w:rsid w:val="002F1D23"/>
    <w:rsid w:val="002F206C"/>
    <w:rsid w:val="002F212F"/>
    <w:rsid w:val="002F214C"/>
    <w:rsid w:val="002F21B9"/>
    <w:rsid w:val="002F22A9"/>
    <w:rsid w:val="002F22FF"/>
    <w:rsid w:val="002F2322"/>
    <w:rsid w:val="002F2AFF"/>
    <w:rsid w:val="002F2DDA"/>
    <w:rsid w:val="002F2E06"/>
    <w:rsid w:val="002F2F6F"/>
    <w:rsid w:val="002F30A9"/>
    <w:rsid w:val="002F30C3"/>
    <w:rsid w:val="002F31BA"/>
    <w:rsid w:val="002F327F"/>
    <w:rsid w:val="002F3411"/>
    <w:rsid w:val="002F35FC"/>
    <w:rsid w:val="002F36A2"/>
    <w:rsid w:val="002F3AD4"/>
    <w:rsid w:val="002F3D6E"/>
    <w:rsid w:val="002F401B"/>
    <w:rsid w:val="002F4289"/>
    <w:rsid w:val="002F429B"/>
    <w:rsid w:val="002F42BE"/>
    <w:rsid w:val="002F4396"/>
    <w:rsid w:val="002F4414"/>
    <w:rsid w:val="002F4483"/>
    <w:rsid w:val="002F4505"/>
    <w:rsid w:val="002F4606"/>
    <w:rsid w:val="002F46CC"/>
    <w:rsid w:val="002F4810"/>
    <w:rsid w:val="002F49DE"/>
    <w:rsid w:val="002F4B2B"/>
    <w:rsid w:val="002F4C5A"/>
    <w:rsid w:val="002F4CBF"/>
    <w:rsid w:val="002F4DCD"/>
    <w:rsid w:val="002F4F78"/>
    <w:rsid w:val="002F5027"/>
    <w:rsid w:val="002F5156"/>
    <w:rsid w:val="002F528E"/>
    <w:rsid w:val="002F52A2"/>
    <w:rsid w:val="002F52A9"/>
    <w:rsid w:val="002F55CD"/>
    <w:rsid w:val="002F56EC"/>
    <w:rsid w:val="002F5791"/>
    <w:rsid w:val="002F59A0"/>
    <w:rsid w:val="002F59ED"/>
    <w:rsid w:val="002F5B4D"/>
    <w:rsid w:val="002F613C"/>
    <w:rsid w:val="002F6319"/>
    <w:rsid w:val="002F648E"/>
    <w:rsid w:val="002F64EF"/>
    <w:rsid w:val="002F686E"/>
    <w:rsid w:val="002F68B0"/>
    <w:rsid w:val="002F6B02"/>
    <w:rsid w:val="002F6CD8"/>
    <w:rsid w:val="002F6DF3"/>
    <w:rsid w:val="002F6E17"/>
    <w:rsid w:val="002F6E2F"/>
    <w:rsid w:val="002F6E7A"/>
    <w:rsid w:val="002F6EC8"/>
    <w:rsid w:val="002F6F01"/>
    <w:rsid w:val="002F7949"/>
    <w:rsid w:val="002F7AAC"/>
    <w:rsid w:val="002F7AB6"/>
    <w:rsid w:val="002F7C3A"/>
    <w:rsid w:val="002F7C79"/>
    <w:rsid w:val="002F7F23"/>
    <w:rsid w:val="0030027D"/>
    <w:rsid w:val="003006BC"/>
    <w:rsid w:val="00300845"/>
    <w:rsid w:val="003008A9"/>
    <w:rsid w:val="00300BE0"/>
    <w:rsid w:val="00300F9D"/>
    <w:rsid w:val="003010E8"/>
    <w:rsid w:val="00301420"/>
    <w:rsid w:val="0030147E"/>
    <w:rsid w:val="0030184F"/>
    <w:rsid w:val="003018AE"/>
    <w:rsid w:val="00301CA3"/>
    <w:rsid w:val="00301CF7"/>
    <w:rsid w:val="00301D68"/>
    <w:rsid w:val="00301D94"/>
    <w:rsid w:val="00301D95"/>
    <w:rsid w:val="00301E27"/>
    <w:rsid w:val="00302379"/>
    <w:rsid w:val="00302395"/>
    <w:rsid w:val="003023FB"/>
    <w:rsid w:val="00302545"/>
    <w:rsid w:val="003025B2"/>
    <w:rsid w:val="00302666"/>
    <w:rsid w:val="0030273B"/>
    <w:rsid w:val="00302836"/>
    <w:rsid w:val="00302ACB"/>
    <w:rsid w:val="00302F1F"/>
    <w:rsid w:val="003031DA"/>
    <w:rsid w:val="00303303"/>
    <w:rsid w:val="003037CE"/>
    <w:rsid w:val="00303912"/>
    <w:rsid w:val="00303948"/>
    <w:rsid w:val="00303969"/>
    <w:rsid w:val="003039A5"/>
    <w:rsid w:val="00303A13"/>
    <w:rsid w:val="00303B82"/>
    <w:rsid w:val="00303B96"/>
    <w:rsid w:val="00303C1D"/>
    <w:rsid w:val="00303EB1"/>
    <w:rsid w:val="00304009"/>
    <w:rsid w:val="003042C6"/>
    <w:rsid w:val="003043EE"/>
    <w:rsid w:val="003044A9"/>
    <w:rsid w:val="00304613"/>
    <w:rsid w:val="00304787"/>
    <w:rsid w:val="00304B4D"/>
    <w:rsid w:val="00304D05"/>
    <w:rsid w:val="00304F1E"/>
    <w:rsid w:val="00304FBC"/>
    <w:rsid w:val="003051DD"/>
    <w:rsid w:val="0030533A"/>
    <w:rsid w:val="0030545B"/>
    <w:rsid w:val="003055B6"/>
    <w:rsid w:val="003055DF"/>
    <w:rsid w:val="00305AF0"/>
    <w:rsid w:val="00305BFD"/>
    <w:rsid w:val="00305D30"/>
    <w:rsid w:val="00305FD8"/>
    <w:rsid w:val="0030615F"/>
    <w:rsid w:val="003062BC"/>
    <w:rsid w:val="003063E5"/>
    <w:rsid w:val="003065B7"/>
    <w:rsid w:val="00306790"/>
    <w:rsid w:val="003068E5"/>
    <w:rsid w:val="00306979"/>
    <w:rsid w:val="00306B6F"/>
    <w:rsid w:val="00306C81"/>
    <w:rsid w:val="00306D22"/>
    <w:rsid w:val="00306F09"/>
    <w:rsid w:val="00306F42"/>
    <w:rsid w:val="00307105"/>
    <w:rsid w:val="0030722E"/>
    <w:rsid w:val="003074BD"/>
    <w:rsid w:val="00307620"/>
    <w:rsid w:val="003077A5"/>
    <w:rsid w:val="003077F9"/>
    <w:rsid w:val="003078BA"/>
    <w:rsid w:val="00307A0B"/>
    <w:rsid w:val="00307C0B"/>
    <w:rsid w:val="00307E35"/>
    <w:rsid w:val="00307EC9"/>
    <w:rsid w:val="00310075"/>
    <w:rsid w:val="00310182"/>
    <w:rsid w:val="0031025D"/>
    <w:rsid w:val="003102D1"/>
    <w:rsid w:val="00310386"/>
    <w:rsid w:val="00310434"/>
    <w:rsid w:val="003105DD"/>
    <w:rsid w:val="0031080C"/>
    <w:rsid w:val="0031081B"/>
    <w:rsid w:val="00310846"/>
    <w:rsid w:val="00310A32"/>
    <w:rsid w:val="00310A9F"/>
    <w:rsid w:val="00310B0B"/>
    <w:rsid w:val="00310C13"/>
    <w:rsid w:val="00310E51"/>
    <w:rsid w:val="00310FE1"/>
    <w:rsid w:val="003110E2"/>
    <w:rsid w:val="003111A0"/>
    <w:rsid w:val="00311261"/>
    <w:rsid w:val="0031129F"/>
    <w:rsid w:val="003112B0"/>
    <w:rsid w:val="00311510"/>
    <w:rsid w:val="003116E1"/>
    <w:rsid w:val="0031199C"/>
    <w:rsid w:val="003121CF"/>
    <w:rsid w:val="00312270"/>
    <w:rsid w:val="00312293"/>
    <w:rsid w:val="003122AB"/>
    <w:rsid w:val="003124AD"/>
    <w:rsid w:val="00312512"/>
    <w:rsid w:val="00312599"/>
    <w:rsid w:val="00312651"/>
    <w:rsid w:val="00312746"/>
    <w:rsid w:val="003128CB"/>
    <w:rsid w:val="00312981"/>
    <w:rsid w:val="00312C8D"/>
    <w:rsid w:val="00312DC7"/>
    <w:rsid w:val="00312EB4"/>
    <w:rsid w:val="0031302A"/>
    <w:rsid w:val="0031305C"/>
    <w:rsid w:val="003130AD"/>
    <w:rsid w:val="00313172"/>
    <w:rsid w:val="00313374"/>
    <w:rsid w:val="00313471"/>
    <w:rsid w:val="00313634"/>
    <w:rsid w:val="00313726"/>
    <w:rsid w:val="003137F1"/>
    <w:rsid w:val="00313971"/>
    <w:rsid w:val="00313D96"/>
    <w:rsid w:val="003140D3"/>
    <w:rsid w:val="003140EE"/>
    <w:rsid w:val="0031411D"/>
    <w:rsid w:val="003141C2"/>
    <w:rsid w:val="003141D3"/>
    <w:rsid w:val="00314278"/>
    <w:rsid w:val="003142F4"/>
    <w:rsid w:val="00314538"/>
    <w:rsid w:val="00314639"/>
    <w:rsid w:val="003146C8"/>
    <w:rsid w:val="00314967"/>
    <w:rsid w:val="00314987"/>
    <w:rsid w:val="00314BF9"/>
    <w:rsid w:val="00314E47"/>
    <w:rsid w:val="00314F30"/>
    <w:rsid w:val="00315390"/>
    <w:rsid w:val="0031544E"/>
    <w:rsid w:val="00315500"/>
    <w:rsid w:val="003157CB"/>
    <w:rsid w:val="00315A90"/>
    <w:rsid w:val="00315BFF"/>
    <w:rsid w:val="00315F93"/>
    <w:rsid w:val="00315FBB"/>
    <w:rsid w:val="00316169"/>
    <w:rsid w:val="003161BD"/>
    <w:rsid w:val="00316309"/>
    <w:rsid w:val="0031635A"/>
    <w:rsid w:val="0031658D"/>
    <w:rsid w:val="003165BB"/>
    <w:rsid w:val="003167DB"/>
    <w:rsid w:val="003168B2"/>
    <w:rsid w:val="00316941"/>
    <w:rsid w:val="00316ACF"/>
    <w:rsid w:val="00316B75"/>
    <w:rsid w:val="00316BCB"/>
    <w:rsid w:val="00316C5C"/>
    <w:rsid w:val="00316E92"/>
    <w:rsid w:val="00316EAC"/>
    <w:rsid w:val="0031736D"/>
    <w:rsid w:val="00317396"/>
    <w:rsid w:val="003173BC"/>
    <w:rsid w:val="00317424"/>
    <w:rsid w:val="00317488"/>
    <w:rsid w:val="00317496"/>
    <w:rsid w:val="00317550"/>
    <w:rsid w:val="00317731"/>
    <w:rsid w:val="00317A34"/>
    <w:rsid w:val="00317EB2"/>
    <w:rsid w:val="0032009F"/>
    <w:rsid w:val="00320162"/>
    <w:rsid w:val="00320245"/>
    <w:rsid w:val="0032031A"/>
    <w:rsid w:val="00320358"/>
    <w:rsid w:val="00320428"/>
    <w:rsid w:val="00320477"/>
    <w:rsid w:val="00320581"/>
    <w:rsid w:val="003205F6"/>
    <w:rsid w:val="00320630"/>
    <w:rsid w:val="00320919"/>
    <w:rsid w:val="0032091C"/>
    <w:rsid w:val="00320934"/>
    <w:rsid w:val="00320A62"/>
    <w:rsid w:val="00320A98"/>
    <w:rsid w:val="00320AF2"/>
    <w:rsid w:val="00320DBF"/>
    <w:rsid w:val="00320F63"/>
    <w:rsid w:val="00320F75"/>
    <w:rsid w:val="003210FE"/>
    <w:rsid w:val="00321276"/>
    <w:rsid w:val="0032140A"/>
    <w:rsid w:val="00321622"/>
    <w:rsid w:val="00321686"/>
    <w:rsid w:val="0032179F"/>
    <w:rsid w:val="003218DD"/>
    <w:rsid w:val="00321914"/>
    <w:rsid w:val="003219ED"/>
    <w:rsid w:val="00321ACA"/>
    <w:rsid w:val="00321CE6"/>
    <w:rsid w:val="00321F7D"/>
    <w:rsid w:val="00321FD6"/>
    <w:rsid w:val="00321FF7"/>
    <w:rsid w:val="00322054"/>
    <w:rsid w:val="00322155"/>
    <w:rsid w:val="00322423"/>
    <w:rsid w:val="00322472"/>
    <w:rsid w:val="00322811"/>
    <w:rsid w:val="003228DC"/>
    <w:rsid w:val="003229AE"/>
    <w:rsid w:val="00322A8C"/>
    <w:rsid w:val="00322BFA"/>
    <w:rsid w:val="00322F05"/>
    <w:rsid w:val="0032303F"/>
    <w:rsid w:val="003234EC"/>
    <w:rsid w:val="00323640"/>
    <w:rsid w:val="00323716"/>
    <w:rsid w:val="0032391F"/>
    <w:rsid w:val="00323BCE"/>
    <w:rsid w:val="00323D6D"/>
    <w:rsid w:val="00323DB9"/>
    <w:rsid w:val="0032413F"/>
    <w:rsid w:val="00324272"/>
    <w:rsid w:val="003242AE"/>
    <w:rsid w:val="003245B7"/>
    <w:rsid w:val="00324614"/>
    <w:rsid w:val="003246AD"/>
    <w:rsid w:val="0032472E"/>
    <w:rsid w:val="003247D3"/>
    <w:rsid w:val="00324856"/>
    <w:rsid w:val="00324869"/>
    <w:rsid w:val="00324B45"/>
    <w:rsid w:val="00324B95"/>
    <w:rsid w:val="00324BFD"/>
    <w:rsid w:val="00324D90"/>
    <w:rsid w:val="00324DEE"/>
    <w:rsid w:val="00324E0E"/>
    <w:rsid w:val="00324F79"/>
    <w:rsid w:val="00324FAA"/>
    <w:rsid w:val="00325231"/>
    <w:rsid w:val="003252AF"/>
    <w:rsid w:val="0032530E"/>
    <w:rsid w:val="00325346"/>
    <w:rsid w:val="003253C2"/>
    <w:rsid w:val="003254EC"/>
    <w:rsid w:val="0032573F"/>
    <w:rsid w:val="0032589F"/>
    <w:rsid w:val="003258AC"/>
    <w:rsid w:val="00325D9F"/>
    <w:rsid w:val="003263F3"/>
    <w:rsid w:val="0032645A"/>
    <w:rsid w:val="00326489"/>
    <w:rsid w:val="003266C0"/>
    <w:rsid w:val="0032688F"/>
    <w:rsid w:val="003268CB"/>
    <w:rsid w:val="003268E4"/>
    <w:rsid w:val="00326A86"/>
    <w:rsid w:val="00326B90"/>
    <w:rsid w:val="0032716D"/>
    <w:rsid w:val="003273C4"/>
    <w:rsid w:val="003273C6"/>
    <w:rsid w:val="00327401"/>
    <w:rsid w:val="0032749E"/>
    <w:rsid w:val="00327623"/>
    <w:rsid w:val="00327782"/>
    <w:rsid w:val="00327881"/>
    <w:rsid w:val="003279BC"/>
    <w:rsid w:val="00327B95"/>
    <w:rsid w:val="00327F5E"/>
    <w:rsid w:val="003300C3"/>
    <w:rsid w:val="003300F9"/>
    <w:rsid w:val="0033017B"/>
    <w:rsid w:val="003304E0"/>
    <w:rsid w:val="003306BF"/>
    <w:rsid w:val="0033085F"/>
    <w:rsid w:val="003308DC"/>
    <w:rsid w:val="00330A32"/>
    <w:rsid w:val="00330C7B"/>
    <w:rsid w:val="00330CEB"/>
    <w:rsid w:val="00330D12"/>
    <w:rsid w:val="00330DDB"/>
    <w:rsid w:val="00331053"/>
    <w:rsid w:val="00331088"/>
    <w:rsid w:val="00331269"/>
    <w:rsid w:val="003312A3"/>
    <w:rsid w:val="003312AB"/>
    <w:rsid w:val="0033140D"/>
    <w:rsid w:val="0033165E"/>
    <w:rsid w:val="00331680"/>
    <w:rsid w:val="003317FB"/>
    <w:rsid w:val="00331D5A"/>
    <w:rsid w:val="00331F10"/>
    <w:rsid w:val="00331F77"/>
    <w:rsid w:val="0033251C"/>
    <w:rsid w:val="00332618"/>
    <w:rsid w:val="00332792"/>
    <w:rsid w:val="00332AA0"/>
    <w:rsid w:val="00332B86"/>
    <w:rsid w:val="00332CAB"/>
    <w:rsid w:val="00332CAE"/>
    <w:rsid w:val="00332F04"/>
    <w:rsid w:val="00333048"/>
    <w:rsid w:val="00333246"/>
    <w:rsid w:val="00333370"/>
    <w:rsid w:val="00333598"/>
    <w:rsid w:val="003336E9"/>
    <w:rsid w:val="00333899"/>
    <w:rsid w:val="0033395F"/>
    <w:rsid w:val="00333BA0"/>
    <w:rsid w:val="00333CED"/>
    <w:rsid w:val="00333DFE"/>
    <w:rsid w:val="00333E5E"/>
    <w:rsid w:val="00333E96"/>
    <w:rsid w:val="003342C2"/>
    <w:rsid w:val="00334339"/>
    <w:rsid w:val="003343DC"/>
    <w:rsid w:val="00334401"/>
    <w:rsid w:val="00334463"/>
    <w:rsid w:val="003345A4"/>
    <w:rsid w:val="003346EB"/>
    <w:rsid w:val="00334842"/>
    <w:rsid w:val="00334936"/>
    <w:rsid w:val="00334A4E"/>
    <w:rsid w:val="00334B80"/>
    <w:rsid w:val="00334CE1"/>
    <w:rsid w:val="00334F79"/>
    <w:rsid w:val="00334F96"/>
    <w:rsid w:val="003350B4"/>
    <w:rsid w:val="0033520B"/>
    <w:rsid w:val="00335270"/>
    <w:rsid w:val="00335717"/>
    <w:rsid w:val="00335750"/>
    <w:rsid w:val="0033587B"/>
    <w:rsid w:val="003358E1"/>
    <w:rsid w:val="00335933"/>
    <w:rsid w:val="003359ED"/>
    <w:rsid w:val="00335B24"/>
    <w:rsid w:val="00335B25"/>
    <w:rsid w:val="00335B56"/>
    <w:rsid w:val="00335BEE"/>
    <w:rsid w:val="00335C1C"/>
    <w:rsid w:val="00335C58"/>
    <w:rsid w:val="00335C71"/>
    <w:rsid w:val="00335E58"/>
    <w:rsid w:val="00336026"/>
    <w:rsid w:val="0033630F"/>
    <w:rsid w:val="00336510"/>
    <w:rsid w:val="0033654F"/>
    <w:rsid w:val="00336620"/>
    <w:rsid w:val="003368EF"/>
    <w:rsid w:val="00336BB6"/>
    <w:rsid w:val="00336BF7"/>
    <w:rsid w:val="00336FED"/>
    <w:rsid w:val="00337027"/>
    <w:rsid w:val="003370E4"/>
    <w:rsid w:val="003370EE"/>
    <w:rsid w:val="00337473"/>
    <w:rsid w:val="003374CF"/>
    <w:rsid w:val="003376D8"/>
    <w:rsid w:val="00337973"/>
    <w:rsid w:val="00337C00"/>
    <w:rsid w:val="00337C5F"/>
    <w:rsid w:val="00337CF3"/>
    <w:rsid w:val="00337EF6"/>
    <w:rsid w:val="00340054"/>
    <w:rsid w:val="003402CA"/>
    <w:rsid w:val="003403BB"/>
    <w:rsid w:val="00340463"/>
    <w:rsid w:val="0034063D"/>
    <w:rsid w:val="00340672"/>
    <w:rsid w:val="0034070B"/>
    <w:rsid w:val="00340783"/>
    <w:rsid w:val="003407B5"/>
    <w:rsid w:val="00340816"/>
    <w:rsid w:val="00340911"/>
    <w:rsid w:val="00340A02"/>
    <w:rsid w:val="00340C3E"/>
    <w:rsid w:val="00340D9D"/>
    <w:rsid w:val="00340E5B"/>
    <w:rsid w:val="00340EB7"/>
    <w:rsid w:val="00340F17"/>
    <w:rsid w:val="00340F36"/>
    <w:rsid w:val="00341060"/>
    <w:rsid w:val="00341128"/>
    <w:rsid w:val="003412AC"/>
    <w:rsid w:val="003412CB"/>
    <w:rsid w:val="003413F9"/>
    <w:rsid w:val="003415B1"/>
    <w:rsid w:val="003418AE"/>
    <w:rsid w:val="00341AE4"/>
    <w:rsid w:val="00341AEA"/>
    <w:rsid w:val="00341C6A"/>
    <w:rsid w:val="00341DD1"/>
    <w:rsid w:val="00341F9B"/>
    <w:rsid w:val="003420E7"/>
    <w:rsid w:val="00342178"/>
    <w:rsid w:val="003423AE"/>
    <w:rsid w:val="003424F3"/>
    <w:rsid w:val="00342522"/>
    <w:rsid w:val="003425FC"/>
    <w:rsid w:val="0034283A"/>
    <w:rsid w:val="003428EA"/>
    <w:rsid w:val="0034299C"/>
    <w:rsid w:val="00342A06"/>
    <w:rsid w:val="00342A31"/>
    <w:rsid w:val="00342A9A"/>
    <w:rsid w:val="00342B71"/>
    <w:rsid w:val="00342C2D"/>
    <w:rsid w:val="00342D64"/>
    <w:rsid w:val="00342DF6"/>
    <w:rsid w:val="00342EAF"/>
    <w:rsid w:val="00342F24"/>
    <w:rsid w:val="0034300F"/>
    <w:rsid w:val="00343052"/>
    <w:rsid w:val="00343249"/>
    <w:rsid w:val="0034332D"/>
    <w:rsid w:val="003433F0"/>
    <w:rsid w:val="003434BF"/>
    <w:rsid w:val="0034354A"/>
    <w:rsid w:val="003437BD"/>
    <w:rsid w:val="00343910"/>
    <w:rsid w:val="00343933"/>
    <w:rsid w:val="00343959"/>
    <w:rsid w:val="00343973"/>
    <w:rsid w:val="00343BC5"/>
    <w:rsid w:val="00343D21"/>
    <w:rsid w:val="00343D67"/>
    <w:rsid w:val="00343E6D"/>
    <w:rsid w:val="003441EA"/>
    <w:rsid w:val="00344467"/>
    <w:rsid w:val="00344473"/>
    <w:rsid w:val="003444CC"/>
    <w:rsid w:val="00344541"/>
    <w:rsid w:val="00344622"/>
    <w:rsid w:val="0034486F"/>
    <w:rsid w:val="003448F0"/>
    <w:rsid w:val="00344949"/>
    <w:rsid w:val="00344A11"/>
    <w:rsid w:val="00344A7E"/>
    <w:rsid w:val="00344AB0"/>
    <w:rsid w:val="00344B51"/>
    <w:rsid w:val="00344DD6"/>
    <w:rsid w:val="00344FBE"/>
    <w:rsid w:val="0034506B"/>
    <w:rsid w:val="003452C1"/>
    <w:rsid w:val="00345319"/>
    <w:rsid w:val="003457EB"/>
    <w:rsid w:val="003457EF"/>
    <w:rsid w:val="00345AA1"/>
    <w:rsid w:val="00345D1D"/>
    <w:rsid w:val="00345D29"/>
    <w:rsid w:val="00345DFC"/>
    <w:rsid w:val="00345F99"/>
    <w:rsid w:val="00346314"/>
    <w:rsid w:val="003465D6"/>
    <w:rsid w:val="0034664C"/>
    <w:rsid w:val="003466C7"/>
    <w:rsid w:val="003468DB"/>
    <w:rsid w:val="00346AC1"/>
    <w:rsid w:val="00346BBB"/>
    <w:rsid w:val="00346BE0"/>
    <w:rsid w:val="00346C64"/>
    <w:rsid w:val="00346FFB"/>
    <w:rsid w:val="00347098"/>
    <w:rsid w:val="00347203"/>
    <w:rsid w:val="00347542"/>
    <w:rsid w:val="003475A5"/>
    <w:rsid w:val="003475D2"/>
    <w:rsid w:val="00347645"/>
    <w:rsid w:val="003478BC"/>
    <w:rsid w:val="003478CF"/>
    <w:rsid w:val="00347947"/>
    <w:rsid w:val="00347B58"/>
    <w:rsid w:val="00347E96"/>
    <w:rsid w:val="00347F01"/>
    <w:rsid w:val="00347FCD"/>
    <w:rsid w:val="00347FDA"/>
    <w:rsid w:val="00347FE1"/>
    <w:rsid w:val="003501A1"/>
    <w:rsid w:val="0035040C"/>
    <w:rsid w:val="00350412"/>
    <w:rsid w:val="00350433"/>
    <w:rsid w:val="0035049D"/>
    <w:rsid w:val="0035052B"/>
    <w:rsid w:val="00350843"/>
    <w:rsid w:val="00350CE8"/>
    <w:rsid w:val="00350D56"/>
    <w:rsid w:val="00350E4F"/>
    <w:rsid w:val="00350E98"/>
    <w:rsid w:val="00350E9D"/>
    <w:rsid w:val="00350EE4"/>
    <w:rsid w:val="00350EF3"/>
    <w:rsid w:val="00350FC8"/>
    <w:rsid w:val="00351253"/>
    <w:rsid w:val="003512FD"/>
    <w:rsid w:val="00351393"/>
    <w:rsid w:val="0035154E"/>
    <w:rsid w:val="003515D5"/>
    <w:rsid w:val="00351930"/>
    <w:rsid w:val="00351A93"/>
    <w:rsid w:val="00351C4C"/>
    <w:rsid w:val="00351CA3"/>
    <w:rsid w:val="00351D38"/>
    <w:rsid w:val="00351D8B"/>
    <w:rsid w:val="00351DBD"/>
    <w:rsid w:val="00351E50"/>
    <w:rsid w:val="003520AD"/>
    <w:rsid w:val="0035218D"/>
    <w:rsid w:val="00352255"/>
    <w:rsid w:val="00352607"/>
    <w:rsid w:val="00352635"/>
    <w:rsid w:val="0035268C"/>
    <w:rsid w:val="003529A7"/>
    <w:rsid w:val="003529EC"/>
    <w:rsid w:val="00352D33"/>
    <w:rsid w:val="00352EAE"/>
    <w:rsid w:val="00352FE7"/>
    <w:rsid w:val="003531C8"/>
    <w:rsid w:val="0035323A"/>
    <w:rsid w:val="00353323"/>
    <w:rsid w:val="003534E0"/>
    <w:rsid w:val="00353569"/>
    <w:rsid w:val="00353916"/>
    <w:rsid w:val="00353932"/>
    <w:rsid w:val="00353BDB"/>
    <w:rsid w:val="00353D0D"/>
    <w:rsid w:val="00353D24"/>
    <w:rsid w:val="00353FD6"/>
    <w:rsid w:val="003544F1"/>
    <w:rsid w:val="00354679"/>
    <w:rsid w:val="003546F4"/>
    <w:rsid w:val="003547DB"/>
    <w:rsid w:val="00354BFD"/>
    <w:rsid w:val="00354C7C"/>
    <w:rsid w:val="00354CB8"/>
    <w:rsid w:val="00354D63"/>
    <w:rsid w:val="00354D92"/>
    <w:rsid w:val="00354E3D"/>
    <w:rsid w:val="0035528B"/>
    <w:rsid w:val="003553BF"/>
    <w:rsid w:val="00355421"/>
    <w:rsid w:val="003555BF"/>
    <w:rsid w:val="0035588D"/>
    <w:rsid w:val="003559BA"/>
    <w:rsid w:val="00355A0D"/>
    <w:rsid w:val="00355B13"/>
    <w:rsid w:val="00355C79"/>
    <w:rsid w:val="0035604F"/>
    <w:rsid w:val="00356233"/>
    <w:rsid w:val="00356506"/>
    <w:rsid w:val="00356621"/>
    <w:rsid w:val="0035664D"/>
    <w:rsid w:val="0035666D"/>
    <w:rsid w:val="00356733"/>
    <w:rsid w:val="00356AA9"/>
    <w:rsid w:val="00356B06"/>
    <w:rsid w:val="00356B79"/>
    <w:rsid w:val="00356BA8"/>
    <w:rsid w:val="00356D02"/>
    <w:rsid w:val="00356E50"/>
    <w:rsid w:val="00356E96"/>
    <w:rsid w:val="00356F34"/>
    <w:rsid w:val="0035723F"/>
    <w:rsid w:val="003574F5"/>
    <w:rsid w:val="00357565"/>
    <w:rsid w:val="00357815"/>
    <w:rsid w:val="0035783D"/>
    <w:rsid w:val="00357989"/>
    <w:rsid w:val="003579A9"/>
    <w:rsid w:val="003579D0"/>
    <w:rsid w:val="00357AD3"/>
    <w:rsid w:val="00357B04"/>
    <w:rsid w:val="00357BBC"/>
    <w:rsid w:val="003600A0"/>
    <w:rsid w:val="003600AA"/>
    <w:rsid w:val="003601D0"/>
    <w:rsid w:val="0036034C"/>
    <w:rsid w:val="0036045B"/>
    <w:rsid w:val="00360529"/>
    <w:rsid w:val="00360564"/>
    <w:rsid w:val="00360605"/>
    <w:rsid w:val="00360710"/>
    <w:rsid w:val="00360AA1"/>
    <w:rsid w:val="00360AE5"/>
    <w:rsid w:val="003610FB"/>
    <w:rsid w:val="00361232"/>
    <w:rsid w:val="00361338"/>
    <w:rsid w:val="00361521"/>
    <w:rsid w:val="0036187A"/>
    <w:rsid w:val="0036193B"/>
    <w:rsid w:val="003619F4"/>
    <w:rsid w:val="00361A2A"/>
    <w:rsid w:val="00361D92"/>
    <w:rsid w:val="00361DD5"/>
    <w:rsid w:val="0036201E"/>
    <w:rsid w:val="003620D0"/>
    <w:rsid w:val="00362154"/>
    <w:rsid w:val="003621D2"/>
    <w:rsid w:val="00362262"/>
    <w:rsid w:val="00362338"/>
    <w:rsid w:val="00362375"/>
    <w:rsid w:val="00362395"/>
    <w:rsid w:val="003624DA"/>
    <w:rsid w:val="00362595"/>
    <w:rsid w:val="003625CC"/>
    <w:rsid w:val="00362639"/>
    <w:rsid w:val="003628CD"/>
    <w:rsid w:val="00362AD6"/>
    <w:rsid w:val="00362EAF"/>
    <w:rsid w:val="00362F86"/>
    <w:rsid w:val="00362FEA"/>
    <w:rsid w:val="00362FF5"/>
    <w:rsid w:val="00363489"/>
    <w:rsid w:val="0036381D"/>
    <w:rsid w:val="0036385E"/>
    <w:rsid w:val="0036400B"/>
    <w:rsid w:val="0036402F"/>
    <w:rsid w:val="0036411F"/>
    <w:rsid w:val="00364167"/>
    <w:rsid w:val="0036420F"/>
    <w:rsid w:val="00364316"/>
    <w:rsid w:val="00364339"/>
    <w:rsid w:val="00364344"/>
    <w:rsid w:val="00364387"/>
    <w:rsid w:val="003644F0"/>
    <w:rsid w:val="003644F7"/>
    <w:rsid w:val="00364844"/>
    <w:rsid w:val="00364890"/>
    <w:rsid w:val="00364BE4"/>
    <w:rsid w:val="00364DA8"/>
    <w:rsid w:val="00364E6F"/>
    <w:rsid w:val="0036500A"/>
    <w:rsid w:val="00365029"/>
    <w:rsid w:val="003650FA"/>
    <w:rsid w:val="0036517D"/>
    <w:rsid w:val="00365369"/>
    <w:rsid w:val="00365490"/>
    <w:rsid w:val="00365645"/>
    <w:rsid w:val="003657F8"/>
    <w:rsid w:val="00365AD2"/>
    <w:rsid w:val="00365DF5"/>
    <w:rsid w:val="00365F3C"/>
    <w:rsid w:val="00365F4B"/>
    <w:rsid w:val="00365FF4"/>
    <w:rsid w:val="00366004"/>
    <w:rsid w:val="00366089"/>
    <w:rsid w:val="00366163"/>
    <w:rsid w:val="00366185"/>
    <w:rsid w:val="00366412"/>
    <w:rsid w:val="0036648C"/>
    <w:rsid w:val="003665A0"/>
    <w:rsid w:val="00366632"/>
    <w:rsid w:val="00366700"/>
    <w:rsid w:val="00366913"/>
    <w:rsid w:val="00366AA9"/>
    <w:rsid w:val="00366BA2"/>
    <w:rsid w:val="00366C9D"/>
    <w:rsid w:val="00366DA8"/>
    <w:rsid w:val="00366DAA"/>
    <w:rsid w:val="00366E1F"/>
    <w:rsid w:val="00367353"/>
    <w:rsid w:val="00367595"/>
    <w:rsid w:val="003676D0"/>
    <w:rsid w:val="003677EC"/>
    <w:rsid w:val="00367854"/>
    <w:rsid w:val="0036791A"/>
    <w:rsid w:val="00367B71"/>
    <w:rsid w:val="00367E64"/>
    <w:rsid w:val="00367F46"/>
    <w:rsid w:val="003700F9"/>
    <w:rsid w:val="0037012C"/>
    <w:rsid w:val="003701A7"/>
    <w:rsid w:val="00370240"/>
    <w:rsid w:val="0037031B"/>
    <w:rsid w:val="00370379"/>
    <w:rsid w:val="00370563"/>
    <w:rsid w:val="003705BD"/>
    <w:rsid w:val="00370629"/>
    <w:rsid w:val="00370668"/>
    <w:rsid w:val="00370805"/>
    <w:rsid w:val="00370A91"/>
    <w:rsid w:val="00370C4B"/>
    <w:rsid w:val="00370D7C"/>
    <w:rsid w:val="00370DF3"/>
    <w:rsid w:val="00370F91"/>
    <w:rsid w:val="003713AC"/>
    <w:rsid w:val="0037152B"/>
    <w:rsid w:val="0037159C"/>
    <w:rsid w:val="00371703"/>
    <w:rsid w:val="00371800"/>
    <w:rsid w:val="00371ADC"/>
    <w:rsid w:val="00371C06"/>
    <w:rsid w:val="00371CB4"/>
    <w:rsid w:val="00371D66"/>
    <w:rsid w:val="00371F0B"/>
    <w:rsid w:val="00371F3B"/>
    <w:rsid w:val="00371FD5"/>
    <w:rsid w:val="00371FE3"/>
    <w:rsid w:val="0037227A"/>
    <w:rsid w:val="00372295"/>
    <w:rsid w:val="003723FD"/>
    <w:rsid w:val="0037242E"/>
    <w:rsid w:val="00372481"/>
    <w:rsid w:val="00372552"/>
    <w:rsid w:val="003728FF"/>
    <w:rsid w:val="00372909"/>
    <w:rsid w:val="00372A9B"/>
    <w:rsid w:val="00372E85"/>
    <w:rsid w:val="00372F24"/>
    <w:rsid w:val="00373023"/>
    <w:rsid w:val="00373154"/>
    <w:rsid w:val="00373342"/>
    <w:rsid w:val="00373768"/>
    <w:rsid w:val="00373A07"/>
    <w:rsid w:val="00373AE9"/>
    <w:rsid w:val="00373B78"/>
    <w:rsid w:val="00373C15"/>
    <w:rsid w:val="00373C4C"/>
    <w:rsid w:val="00373E52"/>
    <w:rsid w:val="00373FF2"/>
    <w:rsid w:val="003740C2"/>
    <w:rsid w:val="00374274"/>
    <w:rsid w:val="00374532"/>
    <w:rsid w:val="00374651"/>
    <w:rsid w:val="0037470B"/>
    <w:rsid w:val="003747E2"/>
    <w:rsid w:val="00374868"/>
    <w:rsid w:val="00374A8E"/>
    <w:rsid w:val="00374B7E"/>
    <w:rsid w:val="00374BA5"/>
    <w:rsid w:val="00374C43"/>
    <w:rsid w:val="00374E2C"/>
    <w:rsid w:val="00374E2F"/>
    <w:rsid w:val="00374EDE"/>
    <w:rsid w:val="00375820"/>
    <w:rsid w:val="00375AE0"/>
    <w:rsid w:val="00375DF4"/>
    <w:rsid w:val="0037608D"/>
    <w:rsid w:val="003760BF"/>
    <w:rsid w:val="003760D6"/>
    <w:rsid w:val="0037620D"/>
    <w:rsid w:val="00376313"/>
    <w:rsid w:val="00376410"/>
    <w:rsid w:val="0037648D"/>
    <w:rsid w:val="0037652A"/>
    <w:rsid w:val="0037661A"/>
    <w:rsid w:val="00376670"/>
    <w:rsid w:val="003767E3"/>
    <w:rsid w:val="0037684F"/>
    <w:rsid w:val="00376BED"/>
    <w:rsid w:val="00376D04"/>
    <w:rsid w:val="00376EC0"/>
    <w:rsid w:val="00376F16"/>
    <w:rsid w:val="00376F43"/>
    <w:rsid w:val="003772C9"/>
    <w:rsid w:val="0037748C"/>
    <w:rsid w:val="00377A05"/>
    <w:rsid w:val="00377A69"/>
    <w:rsid w:val="00377AD9"/>
    <w:rsid w:val="00377B3D"/>
    <w:rsid w:val="00377CEC"/>
    <w:rsid w:val="00380069"/>
    <w:rsid w:val="003801D2"/>
    <w:rsid w:val="00380283"/>
    <w:rsid w:val="0038074F"/>
    <w:rsid w:val="00380989"/>
    <w:rsid w:val="00380B2D"/>
    <w:rsid w:val="00381000"/>
    <w:rsid w:val="0038104B"/>
    <w:rsid w:val="0038120A"/>
    <w:rsid w:val="0038170C"/>
    <w:rsid w:val="00381D29"/>
    <w:rsid w:val="0038208C"/>
    <w:rsid w:val="00382129"/>
    <w:rsid w:val="0038235A"/>
    <w:rsid w:val="003823B2"/>
    <w:rsid w:val="003823C0"/>
    <w:rsid w:val="00382763"/>
    <w:rsid w:val="00382900"/>
    <w:rsid w:val="00382A83"/>
    <w:rsid w:val="00382B10"/>
    <w:rsid w:val="00382D5B"/>
    <w:rsid w:val="00382EB9"/>
    <w:rsid w:val="00382EF5"/>
    <w:rsid w:val="00383004"/>
    <w:rsid w:val="0038301A"/>
    <w:rsid w:val="003830B6"/>
    <w:rsid w:val="003830CE"/>
    <w:rsid w:val="003831D7"/>
    <w:rsid w:val="003832C4"/>
    <w:rsid w:val="003833A3"/>
    <w:rsid w:val="003834C5"/>
    <w:rsid w:val="003834DE"/>
    <w:rsid w:val="00383745"/>
    <w:rsid w:val="00383768"/>
    <w:rsid w:val="00383986"/>
    <w:rsid w:val="003839F5"/>
    <w:rsid w:val="00383AD6"/>
    <w:rsid w:val="00383BE8"/>
    <w:rsid w:val="00383C3E"/>
    <w:rsid w:val="00383E1C"/>
    <w:rsid w:val="00383E48"/>
    <w:rsid w:val="00383E96"/>
    <w:rsid w:val="00384223"/>
    <w:rsid w:val="0038422E"/>
    <w:rsid w:val="00384255"/>
    <w:rsid w:val="00384288"/>
    <w:rsid w:val="003844E3"/>
    <w:rsid w:val="003844F8"/>
    <w:rsid w:val="003847F1"/>
    <w:rsid w:val="00384833"/>
    <w:rsid w:val="0038492C"/>
    <w:rsid w:val="00384A2D"/>
    <w:rsid w:val="00384B6D"/>
    <w:rsid w:val="0038517C"/>
    <w:rsid w:val="00385186"/>
    <w:rsid w:val="003852E3"/>
    <w:rsid w:val="003854D8"/>
    <w:rsid w:val="0038550A"/>
    <w:rsid w:val="003855AA"/>
    <w:rsid w:val="003855FF"/>
    <w:rsid w:val="00385890"/>
    <w:rsid w:val="00385924"/>
    <w:rsid w:val="0038593E"/>
    <w:rsid w:val="003859F8"/>
    <w:rsid w:val="00385B33"/>
    <w:rsid w:val="00385E1E"/>
    <w:rsid w:val="00385E2D"/>
    <w:rsid w:val="00385E80"/>
    <w:rsid w:val="00385FD8"/>
    <w:rsid w:val="0038623D"/>
    <w:rsid w:val="0038623F"/>
    <w:rsid w:val="0038637D"/>
    <w:rsid w:val="0038639A"/>
    <w:rsid w:val="00386539"/>
    <w:rsid w:val="003867DF"/>
    <w:rsid w:val="00386C59"/>
    <w:rsid w:val="00386DC6"/>
    <w:rsid w:val="00386E1D"/>
    <w:rsid w:val="0038716B"/>
    <w:rsid w:val="003874AA"/>
    <w:rsid w:val="00387900"/>
    <w:rsid w:val="00387BA9"/>
    <w:rsid w:val="00387DAA"/>
    <w:rsid w:val="00387DB4"/>
    <w:rsid w:val="00387E14"/>
    <w:rsid w:val="00387E21"/>
    <w:rsid w:val="00387F42"/>
    <w:rsid w:val="00387FB2"/>
    <w:rsid w:val="00390220"/>
    <w:rsid w:val="0039024E"/>
    <w:rsid w:val="0039035D"/>
    <w:rsid w:val="003903E0"/>
    <w:rsid w:val="0039042A"/>
    <w:rsid w:val="00390560"/>
    <w:rsid w:val="00390761"/>
    <w:rsid w:val="00390829"/>
    <w:rsid w:val="00390872"/>
    <w:rsid w:val="00390E2C"/>
    <w:rsid w:val="00390E74"/>
    <w:rsid w:val="00390FB3"/>
    <w:rsid w:val="003912E2"/>
    <w:rsid w:val="003912EB"/>
    <w:rsid w:val="0039167C"/>
    <w:rsid w:val="00391682"/>
    <w:rsid w:val="003918A1"/>
    <w:rsid w:val="00391A64"/>
    <w:rsid w:val="00391C79"/>
    <w:rsid w:val="0039215B"/>
    <w:rsid w:val="00392168"/>
    <w:rsid w:val="00392204"/>
    <w:rsid w:val="00392251"/>
    <w:rsid w:val="00392444"/>
    <w:rsid w:val="00392590"/>
    <w:rsid w:val="0039262E"/>
    <w:rsid w:val="003927B5"/>
    <w:rsid w:val="003929B4"/>
    <w:rsid w:val="00392C49"/>
    <w:rsid w:val="00392E6C"/>
    <w:rsid w:val="003930F2"/>
    <w:rsid w:val="00393305"/>
    <w:rsid w:val="00393450"/>
    <w:rsid w:val="00393527"/>
    <w:rsid w:val="003936CD"/>
    <w:rsid w:val="0039370E"/>
    <w:rsid w:val="003937F3"/>
    <w:rsid w:val="003938CB"/>
    <w:rsid w:val="0039391B"/>
    <w:rsid w:val="00393A7B"/>
    <w:rsid w:val="00393C59"/>
    <w:rsid w:val="00393D46"/>
    <w:rsid w:val="00393DE1"/>
    <w:rsid w:val="00393E14"/>
    <w:rsid w:val="00393F95"/>
    <w:rsid w:val="00394829"/>
    <w:rsid w:val="00394944"/>
    <w:rsid w:val="00394A79"/>
    <w:rsid w:val="00394C99"/>
    <w:rsid w:val="00394E71"/>
    <w:rsid w:val="0039504F"/>
    <w:rsid w:val="00395088"/>
    <w:rsid w:val="0039556A"/>
    <w:rsid w:val="0039556B"/>
    <w:rsid w:val="00395588"/>
    <w:rsid w:val="00395728"/>
    <w:rsid w:val="003958D7"/>
    <w:rsid w:val="00395C5C"/>
    <w:rsid w:val="00395C66"/>
    <w:rsid w:val="00395C78"/>
    <w:rsid w:val="00396095"/>
    <w:rsid w:val="0039617D"/>
    <w:rsid w:val="00396370"/>
    <w:rsid w:val="003966C8"/>
    <w:rsid w:val="003966D1"/>
    <w:rsid w:val="00396744"/>
    <w:rsid w:val="00396930"/>
    <w:rsid w:val="00396BF5"/>
    <w:rsid w:val="00396BF6"/>
    <w:rsid w:val="00396C59"/>
    <w:rsid w:val="00396CA9"/>
    <w:rsid w:val="00396CD9"/>
    <w:rsid w:val="00396F4C"/>
    <w:rsid w:val="0039707D"/>
    <w:rsid w:val="003970BA"/>
    <w:rsid w:val="00397107"/>
    <w:rsid w:val="00397111"/>
    <w:rsid w:val="003972DB"/>
    <w:rsid w:val="003972E6"/>
    <w:rsid w:val="003972EA"/>
    <w:rsid w:val="0039751A"/>
    <w:rsid w:val="00397566"/>
    <w:rsid w:val="0039771C"/>
    <w:rsid w:val="0039787A"/>
    <w:rsid w:val="00397954"/>
    <w:rsid w:val="00397B5C"/>
    <w:rsid w:val="00397CB7"/>
    <w:rsid w:val="00397D42"/>
    <w:rsid w:val="00397D46"/>
    <w:rsid w:val="00397E36"/>
    <w:rsid w:val="00397EAE"/>
    <w:rsid w:val="00397EE5"/>
    <w:rsid w:val="003A0065"/>
    <w:rsid w:val="003A055F"/>
    <w:rsid w:val="003A0957"/>
    <w:rsid w:val="003A0A2D"/>
    <w:rsid w:val="003A0B98"/>
    <w:rsid w:val="003A0BAB"/>
    <w:rsid w:val="003A0FCF"/>
    <w:rsid w:val="003A103B"/>
    <w:rsid w:val="003A1198"/>
    <w:rsid w:val="003A11A2"/>
    <w:rsid w:val="003A12B6"/>
    <w:rsid w:val="003A15D6"/>
    <w:rsid w:val="003A1713"/>
    <w:rsid w:val="003A1732"/>
    <w:rsid w:val="003A17D1"/>
    <w:rsid w:val="003A1872"/>
    <w:rsid w:val="003A18B2"/>
    <w:rsid w:val="003A1A57"/>
    <w:rsid w:val="003A1BD0"/>
    <w:rsid w:val="003A1D43"/>
    <w:rsid w:val="003A1E4F"/>
    <w:rsid w:val="003A214D"/>
    <w:rsid w:val="003A2380"/>
    <w:rsid w:val="003A29CD"/>
    <w:rsid w:val="003A29CF"/>
    <w:rsid w:val="003A2CD4"/>
    <w:rsid w:val="003A2CF7"/>
    <w:rsid w:val="003A2CF9"/>
    <w:rsid w:val="003A2E0C"/>
    <w:rsid w:val="003A2E76"/>
    <w:rsid w:val="003A2F2B"/>
    <w:rsid w:val="003A2FC6"/>
    <w:rsid w:val="003A2FDB"/>
    <w:rsid w:val="003A30E1"/>
    <w:rsid w:val="003A3295"/>
    <w:rsid w:val="003A376C"/>
    <w:rsid w:val="003A3770"/>
    <w:rsid w:val="003A387C"/>
    <w:rsid w:val="003A3A13"/>
    <w:rsid w:val="003A3BD7"/>
    <w:rsid w:val="003A3F8B"/>
    <w:rsid w:val="003A4082"/>
    <w:rsid w:val="003A4120"/>
    <w:rsid w:val="003A4154"/>
    <w:rsid w:val="003A45F8"/>
    <w:rsid w:val="003A4678"/>
    <w:rsid w:val="003A46B3"/>
    <w:rsid w:val="003A46B7"/>
    <w:rsid w:val="003A4B4B"/>
    <w:rsid w:val="003A4BC9"/>
    <w:rsid w:val="003A4C2A"/>
    <w:rsid w:val="003A4E61"/>
    <w:rsid w:val="003A4E6F"/>
    <w:rsid w:val="003A5145"/>
    <w:rsid w:val="003A51D7"/>
    <w:rsid w:val="003A584D"/>
    <w:rsid w:val="003A586D"/>
    <w:rsid w:val="003A5A22"/>
    <w:rsid w:val="003A5A35"/>
    <w:rsid w:val="003A5C83"/>
    <w:rsid w:val="003A60B4"/>
    <w:rsid w:val="003A6212"/>
    <w:rsid w:val="003A6219"/>
    <w:rsid w:val="003A6395"/>
    <w:rsid w:val="003A6774"/>
    <w:rsid w:val="003A6996"/>
    <w:rsid w:val="003A6E32"/>
    <w:rsid w:val="003A6E73"/>
    <w:rsid w:val="003A6F89"/>
    <w:rsid w:val="003A6F8D"/>
    <w:rsid w:val="003A7001"/>
    <w:rsid w:val="003A7118"/>
    <w:rsid w:val="003A7138"/>
    <w:rsid w:val="003A7282"/>
    <w:rsid w:val="003A728E"/>
    <w:rsid w:val="003A735F"/>
    <w:rsid w:val="003A73EB"/>
    <w:rsid w:val="003A7A1A"/>
    <w:rsid w:val="003A7BBA"/>
    <w:rsid w:val="003A7BF3"/>
    <w:rsid w:val="003A7C1C"/>
    <w:rsid w:val="003A7D02"/>
    <w:rsid w:val="003A7D69"/>
    <w:rsid w:val="003A7FE0"/>
    <w:rsid w:val="003B0072"/>
    <w:rsid w:val="003B029D"/>
    <w:rsid w:val="003B043B"/>
    <w:rsid w:val="003B04B4"/>
    <w:rsid w:val="003B05E2"/>
    <w:rsid w:val="003B0762"/>
    <w:rsid w:val="003B07AF"/>
    <w:rsid w:val="003B084B"/>
    <w:rsid w:val="003B0867"/>
    <w:rsid w:val="003B0D2F"/>
    <w:rsid w:val="003B0DCD"/>
    <w:rsid w:val="003B115F"/>
    <w:rsid w:val="003B1206"/>
    <w:rsid w:val="003B1254"/>
    <w:rsid w:val="003B126D"/>
    <w:rsid w:val="003B1342"/>
    <w:rsid w:val="003B1417"/>
    <w:rsid w:val="003B142F"/>
    <w:rsid w:val="003B1526"/>
    <w:rsid w:val="003B15A1"/>
    <w:rsid w:val="003B18D1"/>
    <w:rsid w:val="003B1964"/>
    <w:rsid w:val="003B1BF1"/>
    <w:rsid w:val="003B1C63"/>
    <w:rsid w:val="003B1CE7"/>
    <w:rsid w:val="003B1E04"/>
    <w:rsid w:val="003B1E7C"/>
    <w:rsid w:val="003B1FAF"/>
    <w:rsid w:val="003B20FA"/>
    <w:rsid w:val="003B222C"/>
    <w:rsid w:val="003B2445"/>
    <w:rsid w:val="003B2768"/>
    <w:rsid w:val="003B285A"/>
    <w:rsid w:val="003B28FA"/>
    <w:rsid w:val="003B3177"/>
    <w:rsid w:val="003B359F"/>
    <w:rsid w:val="003B366C"/>
    <w:rsid w:val="003B396B"/>
    <w:rsid w:val="003B3C2D"/>
    <w:rsid w:val="003B3C97"/>
    <w:rsid w:val="003B3DFB"/>
    <w:rsid w:val="003B49D8"/>
    <w:rsid w:val="003B4ADE"/>
    <w:rsid w:val="003B4C0D"/>
    <w:rsid w:val="003B4DB7"/>
    <w:rsid w:val="003B4DF2"/>
    <w:rsid w:val="003B4E17"/>
    <w:rsid w:val="003B4EB9"/>
    <w:rsid w:val="003B5109"/>
    <w:rsid w:val="003B53E5"/>
    <w:rsid w:val="003B544F"/>
    <w:rsid w:val="003B5898"/>
    <w:rsid w:val="003B59CB"/>
    <w:rsid w:val="003B5A05"/>
    <w:rsid w:val="003B5A1A"/>
    <w:rsid w:val="003B61DB"/>
    <w:rsid w:val="003B61F1"/>
    <w:rsid w:val="003B62E0"/>
    <w:rsid w:val="003B64CC"/>
    <w:rsid w:val="003B66E7"/>
    <w:rsid w:val="003B6A67"/>
    <w:rsid w:val="003B6BA1"/>
    <w:rsid w:val="003B6CDD"/>
    <w:rsid w:val="003B6E3B"/>
    <w:rsid w:val="003B6F1C"/>
    <w:rsid w:val="003B7001"/>
    <w:rsid w:val="003B70FE"/>
    <w:rsid w:val="003B72BF"/>
    <w:rsid w:val="003B7367"/>
    <w:rsid w:val="003B74EF"/>
    <w:rsid w:val="003B785B"/>
    <w:rsid w:val="003B7E9A"/>
    <w:rsid w:val="003B7EE9"/>
    <w:rsid w:val="003B7F05"/>
    <w:rsid w:val="003B7F1C"/>
    <w:rsid w:val="003B7FE9"/>
    <w:rsid w:val="003C02C3"/>
    <w:rsid w:val="003C0309"/>
    <w:rsid w:val="003C03F6"/>
    <w:rsid w:val="003C0578"/>
    <w:rsid w:val="003C0613"/>
    <w:rsid w:val="003C064A"/>
    <w:rsid w:val="003C075E"/>
    <w:rsid w:val="003C0792"/>
    <w:rsid w:val="003C08A4"/>
    <w:rsid w:val="003C0943"/>
    <w:rsid w:val="003C0945"/>
    <w:rsid w:val="003C09C3"/>
    <w:rsid w:val="003C0D9E"/>
    <w:rsid w:val="003C0DF8"/>
    <w:rsid w:val="003C0F3F"/>
    <w:rsid w:val="003C118B"/>
    <w:rsid w:val="003C145F"/>
    <w:rsid w:val="003C14F5"/>
    <w:rsid w:val="003C1754"/>
    <w:rsid w:val="003C1883"/>
    <w:rsid w:val="003C1CCE"/>
    <w:rsid w:val="003C22AC"/>
    <w:rsid w:val="003C22F8"/>
    <w:rsid w:val="003C2432"/>
    <w:rsid w:val="003C2593"/>
    <w:rsid w:val="003C2636"/>
    <w:rsid w:val="003C28AC"/>
    <w:rsid w:val="003C28C7"/>
    <w:rsid w:val="003C29BC"/>
    <w:rsid w:val="003C2A56"/>
    <w:rsid w:val="003C2AAF"/>
    <w:rsid w:val="003C2B10"/>
    <w:rsid w:val="003C2BF9"/>
    <w:rsid w:val="003C2C0B"/>
    <w:rsid w:val="003C2CF3"/>
    <w:rsid w:val="003C2E03"/>
    <w:rsid w:val="003C2E0D"/>
    <w:rsid w:val="003C3006"/>
    <w:rsid w:val="003C30B2"/>
    <w:rsid w:val="003C31DC"/>
    <w:rsid w:val="003C3323"/>
    <w:rsid w:val="003C3447"/>
    <w:rsid w:val="003C3693"/>
    <w:rsid w:val="003C370E"/>
    <w:rsid w:val="003C39B7"/>
    <w:rsid w:val="003C3A01"/>
    <w:rsid w:val="003C3A1E"/>
    <w:rsid w:val="003C3BA3"/>
    <w:rsid w:val="003C3CC3"/>
    <w:rsid w:val="003C3E71"/>
    <w:rsid w:val="003C3F28"/>
    <w:rsid w:val="003C3FE7"/>
    <w:rsid w:val="003C4097"/>
    <w:rsid w:val="003C426B"/>
    <w:rsid w:val="003C444E"/>
    <w:rsid w:val="003C4658"/>
    <w:rsid w:val="003C479D"/>
    <w:rsid w:val="003C48C8"/>
    <w:rsid w:val="003C4BED"/>
    <w:rsid w:val="003C4D55"/>
    <w:rsid w:val="003C505B"/>
    <w:rsid w:val="003C540F"/>
    <w:rsid w:val="003C5699"/>
    <w:rsid w:val="003C5704"/>
    <w:rsid w:val="003C5814"/>
    <w:rsid w:val="003C5863"/>
    <w:rsid w:val="003C5873"/>
    <w:rsid w:val="003C59D7"/>
    <w:rsid w:val="003C5E93"/>
    <w:rsid w:val="003C5EFB"/>
    <w:rsid w:val="003C5FF6"/>
    <w:rsid w:val="003C63ED"/>
    <w:rsid w:val="003C6608"/>
    <w:rsid w:val="003C6826"/>
    <w:rsid w:val="003C684F"/>
    <w:rsid w:val="003C696E"/>
    <w:rsid w:val="003C6B71"/>
    <w:rsid w:val="003C6B7F"/>
    <w:rsid w:val="003C6C03"/>
    <w:rsid w:val="003C71CF"/>
    <w:rsid w:val="003C71D8"/>
    <w:rsid w:val="003C7456"/>
    <w:rsid w:val="003C749A"/>
    <w:rsid w:val="003C7541"/>
    <w:rsid w:val="003C76DC"/>
    <w:rsid w:val="003C7857"/>
    <w:rsid w:val="003C789D"/>
    <w:rsid w:val="003C7A38"/>
    <w:rsid w:val="003C7A67"/>
    <w:rsid w:val="003C7B95"/>
    <w:rsid w:val="003C7D95"/>
    <w:rsid w:val="003C7FB1"/>
    <w:rsid w:val="003D0043"/>
    <w:rsid w:val="003D0071"/>
    <w:rsid w:val="003D0087"/>
    <w:rsid w:val="003D03B4"/>
    <w:rsid w:val="003D07D4"/>
    <w:rsid w:val="003D087C"/>
    <w:rsid w:val="003D08B5"/>
    <w:rsid w:val="003D0BA5"/>
    <w:rsid w:val="003D0BCB"/>
    <w:rsid w:val="003D0BCC"/>
    <w:rsid w:val="003D0C78"/>
    <w:rsid w:val="003D0C7B"/>
    <w:rsid w:val="003D0FC9"/>
    <w:rsid w:val="003D105D"/>
    <w:rsid w:val="003D113F"/>
    <w:rsid w:val="003D12BF"/>
    <w:rsid w:val="003D1820"/>
    <w:rsid w:val="003D19C0"/>
    <w:rsid w:val="003D1A8B"/>
    <w:rsid w:val="003D1C23"/>
    <w:rsid w:val="003D1C74"/>
    <w:rsid w:val="003D1D4E"/>
    <w:rsid w:val="003D1EEC"/>
    <w:rsid w:val="003D1F40"/>
    <w:rsid w:val="003D1FF4"/>
    <w:rsid w:val="003D20FB"/>
    <w:rsid w:val="003D2127"/>
    <w:rsid w:val="003D215C"/>
    <w:rsid w:val="003D23CC"/>
    <w:rsid w:val="003D24C2"/>
    <w:rsid w:val="003D24C5"/>
    <w:rsid w:val="003D26E5"/>
    <w:rsid w:val="003D2780"/>
    <w:rsid w:val="003D2964"/>
    <w:rsid w:val="003D2B66"/>
    <w:rsid w:val="003D2C12"/>
    <w:rsid w:val="003D2D1C"/>
    <w:rsid w:val="003D30CC"/>
    <w:rsid w:val="003D31EF"/>
    <w:rsid w:val="003D34B6"/>
    <w:rsid w:val="003D3661"/>
    <w:rsid w:val="003D3842"/>
    <w:rsid w:val="003D3A33"/>
    <w:rsid w:val="003D3BE8"/>
    <w:rsid w:val="003D3C08"/>
    <w:rsid w:val="003D3DEF"/>
    <w:rsid w:val="003D3E80"/>
    <w:rsid w:val="003D416B"/>
    <w:rsid w:val="003D49E1"/>
    <w:rsid w:val="003D4A30"/>
    <w:rsid w:val="003D4A56"/>
    <w:rsid w:val="003D4C76"/>
    <w:rsid w:val="003D4CB7"/>
    <w:rsid w:val="003D50C0"/>
    <w:rsid w:val="003D5105"/>
    <w:rsid w:val="003D53D3"/>
    <w:rsid w:val="003D550A"/>
    <w:rsid w:val="003D5542"/>
    <w:rsid w:val="003D5619"/>
    <w:rsid w:val="003D5802"/>
    <w:rsid w:val="003D5827"/>
    <w:rsid w:val="003D5933"/>
    <w:rsid w:val="003D594F"/>
    <w:rsid w:val="003D5B23"/>
    <w:rsid w:val="003D5F77"/>
    <w:rsid w:val="003D604B"/>
    <w:rsid w:val="003D60CC"/>
    <w:rsid w:val="003D642A"/>
    <w:rsid w:val="003D6580"/>
    <w:rsid w:val="003D6A32"/>
    <w:rsid w:val="003D6B30"/>
    <w:rsid w:val="003D6C73"/>
    <w:rsid w:val="003D6F4C"/>
    <w:rsid w:val="003D77E9"/>
    <w:rsid w:val="003D7A55"/>
    <w:rsid w:val="003D7A95"/>
    <w:rsid w:val="003D7B2C"/>
    <w:rsid w:val="003D7DBF"/>
    <w:rsid w:val="003D7E8C"/>
    <w:rsid w:val="003D7F3A"/>
    <w:rsid w:val="003E0107"/>
    <w:rsid w:val="003E05E0"/>
    <w:rsid w:val="003E0608"/>
    <w:rsid w:val="003E063C"/>
    <w:rsid w:val="003E07B1"/>
    <w:rsid w:val="003E088E"/>
    <w:rsid w:val="003E09A9"/>
    <w:rsid w:val="003E0B3F"/>
    <w:rsid w:val="003E0BD0"/>
    <w:rsid w:val="003E0C7C"/>
    <w:rsid w:val="003E0DFA"/>
    <w:rsid w:val="003E0FDB"/>
    <w:rsid w:val="003E0FE0"/>
    <w:rsid w:val="003E1014"/>
    <w:rsid w:val="003E118D"/>
    <w:rsid w:val="003E1316"/>
    <w:rsid w:val="003E145B"/>
    <w:rsid w:val="003E156F"/>
    <w:rsid w:val="003E1605"/>
    <w:rsid w:val="003E16E2"/>
    <w:rsid w:val="003E18EC"/>
    <w:rsid w:val="003E1917"/>
    <w:rsid w:val="003E1AB6"/>
    <w:rsid w:val="003E1B35"/>
    <w:rsid w:val="003E1C07"/>
    <w:rsid w:val="003E1C2F"/>
    <w:rsid w:val="003E1D6D"/>
    <w:rsid w:val="003E1F0C"/>
    <w:rsid w:val="003E220F"/>
    <w:rsid w:val="003E2292"/>
    <w:rsid w:val="003E22B7"/>
    <w:rsid w:val="003E259A"/>
    <w:rsid w:val="003E25DE"/>
    <w:rsid w:val="003E27A6"/>
    <w:rsid w:val="003E283A"/>
    <w:rsid w:val="003E29BF"/>
    <w:rsid w:val="003E2B6C"/>
    <w:rsid w:val="003E2E76"/>
    <w:rsid w:val="003E2EDB"/>
    <w:rsid w:val="003E2F68"/>
    <w:rsid w:val="003E3389"/>
    <w:rsid w:val="003E347D"/>
    <w:rsid w:val="003E35CA"/>
    <w:rsid w:val="003E36A8"/>
    <w:rsid w:val="003E3740"/>
    <w:rsid w:val="003E3833"/>
    <w:rsid w:val="003E394D"/>
    <w:rsid w:val="003E3C77"/>
    <w:rsid w:val="003E3CB4"/>
    <w:rsid w:val="003E3D18"/>
    <w:rsid w:val="003E3DF5"/>
    <w:rsid w:val="003E4161"/>
    <w:rsid w:val="003E4185"/>
    <w:rsid w:val="003E418C"/>
    <w:rsid w:val="003E4305"/>
    <w:rsid w:val="003E462D"/>
    <w:rsid w:val="003E467F"/>
    <w:rsid w:val="003E468A"/>
    <w:rsid w:val="003E48F5"/>
    <w:rsid w:val="003E4B47"/>
    <w:rsid w:val="003E4B84"/>
    <w:rsid w:val="003E4DF2"/>
    <w:rsid w:val="003E4F5E"/>
    <w:rsid w:val="003E4FAB"/>
    <w:rsid w:val="003E5211"/>
    <w:rsid w:val="003E53CE"/>
    <w:rsid w:val="003E562A"/>
    <w:rsid w:val="003E58CF"/>
    <w:rsid w:val="003E592C"/>
    <w:rsid w:val="003E5A79"/>
    <w:rsid w:val="003E5BC0"/>
    <w:rsid w:val="003E5FFC"/>
    <w:rsid w:val="003E60CD"/>
    <w:rsid w:val="003E6297"/>
    <w:rsid w:val="003E6361"/>
    <w:rsid w:val="003E6731"/>
    <w:rsid w:val="003E674F"/>
    <w:rsid w:val="003E6765"/>
    <w:rsid w:val="003E6849"/>
    <w:rsid w:val="003E6981"/>
    <w:rsid w:val="003E69B9"/>
    <w:rsid w:val="003E6A7B"/>
    <w:rsid w:val="003E6BFF"/>
    <w:rsid w:val="003E6CD1"/>
    <w:rsid w:val="003E6F03"/>
    <w:rsid w:val="003E7009"/>
    <w:rsid w:val="003E708B"/>
    <w:rsid w:val="003E720E"/>
    <w:rsid w:val="003E73C4"/>
    <w:rsid w:val="003E7543"/>
    <w:rsid w:val="003E78B5"/>
    <w:rsid w:val="003E7911"/>
    <w:rsid w:val="003E7F9D"/>
    <w:rsid w:val="003F0021"/>
    <w:rsid w:val="003F0387"/>
    <w:rsid w:val="003F05D8"/>
    <w:rsid w:val="003F0755"/>
    <w:rsid w:val="003F07AC"/>
    <w:rsid w:val="003F07D0"/>
    <w:rsid w:val="003F0A6C"/>
    <w:rsid w:val="003F0B35"/>
    <w:rsid w:val="003F0D1D"/>
    <w:rsid w:val="003F0F05"/>
    <w:rsid w:val="003F0F81"/>
    <w:rsid w:val="003F0FAC"/>
    <w:rsid w:val="003F1002"/>
    <w:rsid w:val="003F1135"/>
    <w:rsid w:val="003F11CD"/>
    <w:rsid w:val="003F1239"/>
    <w:rsid w:val="003F1399"/>
    <w:rsid w:val="003F1670"/>
    <w:rsid w:val="003F16C3"/>
    <w:rsid w:val="003F19F3"/>
    <w:rsid w:val="003F1DA6"/>
    <w:rsid w:val="003F1F0B"/>
    <w:rsid w:val="003F1FDD"/>
    <w:rsid w:val="003F2190"/>
    <w:rsid w:val="003F2308"/>
    <w:rsid w:val="003F23D0"/>
    <w:rsid w:val="003F24ED"/>
    <w:rsid w:val="003F26FE"/>
    <w:rsid w:val="003F27B9"/>
    <w:rsid w:val="003F27D7"/>
    <w:rsid w:val="003F28C5"/>
    <w:rsid w:val="003F2A16"/>
    <w:rsid w:val="003F2DB9"/>
    <w:rsid w:val="003F2E32"/>
    <w:rsid w:val="003F2E3F"/>
    <w:rsid w:val="003F2F02"/>
    <w:rsid w:val="003F2FAC"/>
    <w:rsid w:val="003F3153"/>
    <w:rsid w:val="003F31B5"/>
    <w:rsid w:val="003F31D2"/>
    <w:rsid w:val="003F31EF"/>
    <w:rsid w:val="003F3534"/>
    <w:rsid w:val="003F3644"/>
    <w:rsid w:val="003F3716"/>
    <w:rsid w:val="003F392C"/>
    <w:rsid w:val="003F39D0"/>
    <w:rsid w:val="003F3DC0"/>
    <w:rsid w:val="003F4109"/>
    <w:rsid w:val="003F474A"/>
    <w:rsid w:val="003F4773"/>
    <w:rsid w:val="003F4845"/>
    <w:rsid w:val="003F4DBE"/>
    <w:rsid w:val="003F4EF5"/>
    <w:rsid w:val="003F4EFA"/>
    <w:rsid w:val="003F4F74"/>
    <w:rsid w:val="003F5096"/>
    <w:rsid w:val="003F52CF"/>
    <w:rsid w:val="003F557E"/>
    <w:rsid w:val="003F5585"/>
    <w:rsid w:val="003F591C"/>
    <w:rsid w:val="003F5983"/>
    <w:rsid w:val="003F5986"/>
    <w:rsid w:val="003F59DC"/>
    <w:rsid w:val="003F5B69"/>
    <w:rsid w:val="003F5D3A"/>
    <w:rsid w:val="003F5FCA"/>
    <w:rsid w:val="003F60DC"/>
    <w:rsid w:val="003F63B9"/>
    <w:rsid w:val="003F642D"/>
    <w:rsid w:val="003F64B3"/>
    <w:rsid w:val="003F6560"/>
    <w:rsid w:val="003F6716"/>
    <w:rsid w:val="003F6766"/>
    <w:rsid w:val="003F67AE"/>
    <w:rsid w:val="003F68B9"/>
    <w:rsid w:val="003F68BC"/>
    <w:rsid w:val="003F69FD"/>
    <w:rsid w:val="003F6AAD"/>
    <w:rsid w:val="003F6B38"/>
    <w:rsid w:val="003F6C6E"/>
    <w:rsid w:val="003F6E2E"/>
    <w:rsid w:val="003F6EE2"/>
    <w:rsid w:val="003F6F58"/>
    <w:rsid w:val="003F74DC"/>
    <w:rsid w:val="003F7534"/>
    <w:rsid w:val="003F7725"/>
    <w:rsid w:val="003F7864"/>
    <w:rsid w:val="003F78B1"/>
    <w:rsid w:val="003F7CC5"/>
    <w:rsid w:val="00400118"/>
    <w:rsid w:val="00400197"/>
    <w:rsid w:val="004001A1"/>
    <w:rsid w:val="004001CC"/>
    <w:rsid w:val="0040023C"/>
    <w:rsid w:val="0040033B"/>
    <w:rsid w:val="004007FE"/>
    <w:rsid w:val="00400878"/>
    <w:rsid w:val="0040096D"/>
    <w:rsid w:val="00400B8D"/>
    <w:rsid w:val="00400BDF"/>
    <w:rsid w:val="00400D4D"/>
    <w:rsid w:val="00400D68"/>
    <w:rsid w:val="004011A0"/>
    <w:rsid w:val="004011C3"/>
    <w:rsid w:val="004012EB"/>
    <w:rsid w:val="004013E3"/>
    <w:rsid w:val="004014CC"/>
    <w:rsid w:val="004017E2"/>
    <w:rsid w:val="00401A63"/>
    <w:rsid w:val="00401A8B"/>
    <w:rsid w:val="00401C66"/>
    <w:rsid w:val="00401CE0"/>
    <w:rsid w:val="00401D32"/>
    <w:rsid w:val="00401D38"/>
    <w:rsid w:val="00401F67"/>
    <w:rsid w:val="004021D1"/>
    <w:rsid w:val="00402210"/>
    <w:rsid w:val="00402273"/>
    <w:rsid w:val="0040229F"/>
    <w:rsid w:val="004024B7"/>
    <w:rsid w:val="0040276B"/>
    <w:rsid w:val="0040281B"/>
    <w:rsid w:val="00402852"/>
    <w:rsid w:val="00402910"/>
    <w:rsid w:val="004029E3"/>
    <w:rsid w:val="00402AC9"/>
    <w:rsid w:val="00402B76"/>
    <w:rsid w:val="00402E61"/>
    <w:rsid w:val="004031BC"/>
    <w:rsid w:val="00403328"/>
    <w:rsid w:val="00403330"/>
    <w:rsid w:val="004033D4"/>
    <w:rsid w:val="004034BF"/>
    <w:rsid w:val="004036C1"/>
    <w:rsid w:val="004036DF"/>
    <w:rsid w:val="00403734"/>
    <w:rsid w:val="0040381B"/>
    <w:rsid w:val="00403826"/>
    <w:rsid w:val="004038D7"/>
    <w:rsid w:val="004039ED"/>
    <w:rsid w:val="00403CEF"/>
    <w:rsid w:val="00403EFE"/>
    <w:rsid w:val="00404323"/>
    <w:rsid w:val="004046A2"/>
    <w:rsid w:val="004047A0"/>
    <w:rsid w:val="004048FF"/>
    <w:rsid w:val="00404A42"/>
    <w:rsid w:val="00404E76"/>
    <w:rsid w:val="004051E7"/>
    <w:rsid w:val="00405236"/>
    <w:rsid w:val="004052C5"/>
    <w:rsid w:val="0040548E"/>
    <w:rsid w:val="004055A4"/>
    <w:rsid w:val="004056AE"/>
    <w:rsid w:val="00405722"/>
    <w:rsid w:val="0040577C"/>
    <w:rsid w:val="0040577F"/>
    <w:rsid w:val="004057D8"/>
    <w:rsid w:val="00405A64"/>
    <w:rsid w:val="00405B0A"/>
    <w:rsid w:val="00405BBF"/>
    <w:rsid w:val="00405FD3"/>
    <w:rsid w:val="0040654E"/>
    <w:rsid w:val="004067AD"/>
    <w:rsid w:val="004069E4"/>
    <w:rsid w:val="00406B74"/>
    <w:rsid w:val="00406E59"/>
    <w:rsid w:val="00406F23"/>
    <w:rsid w:val="004071EB"/>
    <w:rsid w:val="004072B3"/>
    <w:rsid w:val="0040736B"/>
    <w:rsid w:val="00407512"/>
    <w:rsid w:val="00407585"/>
    <w:rsid w:val="00407631"/>
    <w:rsid w:val="00407783"/>
    <w:rsid w:val="004077E2"/>
    <w:rsid w:val="0040787F"/>
    <w:rsid w:val="00407905"/>
    <w:rsid w:val="004079A7"/>
    <w:rsid w:val="00407E56"/>
    <w:rsid w:val="00407EE0"/>
    <w:rsid w:val="00407F67"/>
    <w:rsid w:val="004101ED"/>
    <w:rsid w:val="00410206"/>
    <w:rsid w:val="004108CE"/>
    <w:rsid w:val="00410A9A"/>
    <w:rsid w:val="00410AE8"/>
    <w:rsid w:val="00410C88"/>
    <w:rsid w:val="00410DAB"/>
    <w:rsid w:val="00410F1F"/>
    <w:rsid w:val="00411479"/>
    <w:rsid w:val="00411559"/>
    <w:rsid w:val="00411690"/>
    <w:rsid w:val="004118A4"/>
    <w:rsid w:val="00411BF7"/>
    <w:rsid w:val="00411EB0"/>
    <w:rsid w:val="00411F92"/>
    <w:rsid w:val="00411FD0"/>
    <w:rsid w:val="00412033"/>
    <w:rsid w:val="0041213E"/>
    <w:rsid w:val="00412216"/>
    <w:rsid w:val="00412553"/>
    <w:rsid w:val="00412556"/>
    <w:rsid w:val="00412637"/>
    <w:rsid w:val="00412842"/>
    <w:rsid w:val="004128DD"/>
    <w:rsid w:val="0041298F"/>
    <w:rsid w:val="00412AD5"/>
    <w:rsid w:val="00412B88"/>
    <w:rsid w:val="0041301C"/>
    <w:rsid w:val="004130CA"/>
    <w:rsid w:val="00413352"/>
    <w:rsid w:val="0041344D"/>
    <w:rsid w:val="00413467"/>
    <w:rsid w:val="004134E0"/>
    <w:rsid w:val="0041358D"/>
    <w:rsid w:val="004135A9"/>
    <w:rsid w:val="004135AE"/>
    <w:rsid w:val="004136BB"/>
    <w:rsid w:val="00413A54"/>
    <w:rsid w:val="00413F27"/>
    <w:rsid w:val="00414050"/>
    <w:rsid w:val="004141F1"/>
    <w:rsid w:val="00414560"/>
    <w:rsid w:val="00414641"/>
    <w:rsid w:val="00414692"/>
    <w:rsid w:val="004146A4"/>
    <w:rsid w:val="00414806"/>
    <w:rsid w:val="00414AC8"/>
    <w:rsid w:val="00414D0F"/>
    <w:rsid w:val="00414D27"/>
    <w:rsid w:val="00414E6B"/>
    <w:rsid w:val="00414F9C"/>
    <w:rsid w:val="004150CB"/>
    <w:rsid w:val="004151EA"/>
    <w:rsid w:val="00415241"/>
    <w:rsid w:val="004153DB"/>
    <w:rsid w:val="00415447"/>
    <w:rsid w:val="004154D6"/>
    <w:rsid w:val="00415518"/>
    <w:rsid w:val="0041567A"/>
    <w:rsid w:val="004156D2"/>
    <w:rsid w:val="0041572B"/>
    <w:rsid w:val="00415A16"/>
    <w:rsid w:val="00415C23"/>
    <w:rsid w:val="00415D08"/>
    <w:rsid w:val="0041614C"/>
    <w:rsid w:val="0041645A"/>
    <w:rsid w:val="004167C3"/>
    <w:rsid w:val="00416823"/>
    <w:rsid w:val="00416C45"/>
    <w:rsid w:val="00416C4F"/>
    <w:rsid w:val="00416C56"/>
    <w:rsid w:val="00416E7D"/>
    <w:rsid w:val="00417594"/>
    <w:rsid w:val="004175E4"/>
    <w:rsid w:val="0041766A"/>
    <w:rsid w:val="00417935"/>
    <w:rsid w:val="00417EB3"/>
    <w:rsid w:val="004200A6"/>
    <w:rsid w:val="004203F2"/>
    <w:rsid w:val="0042094D"/>
    <w:rsid w:val="00420AE3"/>
    <w:rsid w:val="00420B1D"/>
    <w:rsid w:val="00420BDA"/>
    <w:rsid w:val="00420FF8"/>
    <w:rsid w:val="0042112F"/>
    <w:rsid w:val="00421142"/>
    <w:rsid w:val="004211E8"/>
    <w:rsid w:val="00421216"/>
    <w:rsid w:val="004212BF"/>
    <w:rsid w:val="00421309"/>
    <w:rsid w:val="0042157B"/>
    <w:rsid w:val="004218C8"/>
    <w:rsid w:val="00421A01"/>
    <w:rsid w:val="00421D08"/>
    <w:rsid w:val="00421E5F"/>
    <w:rsid w:val="00421F3F"/>
    <w:rsid w:val="00421F48"/>
    <w:rsid w:val="004220E9"/>
    <w:rsid w:val="0042219C"/>
    <w:rsid w:val="004221A7"/>
    <w:rsid w:val="0042248B"/>
    <w:rsid w:val="0042253C"/>
    <w:rsid w:val="00422867"/>
    <w:rsid w:val="00422869"/>
    <w:rsid w:val="00422B06"/>
    <w:rsid w:val="00422BCE"/>
    <w:rsid w:val="00422CE0"/>
    <w:rsid w:val="00422E66"/>
    <w:rsid w:val="00422FDC"/>
    <w:rsid w:val="00423124"/>
    <w:rsid w:val="0042318B"/>
    <w:rsid w:val="00423306"/>
    <w:rsid w:val="00423383"/>
    <w:rsid w:val="00423581"/>
    <w:rsid w:val="0042380D"/>
    <w:rsid w:val="00423815"/>
    <w:rsid w:val="0042385B"/>
    <w:rsid w:val="00423860"/>
    <w:rsid w:val="00423934"/>
    <w:rsid w:val="0042399F"/>
    <w:rsid w:val="00423A2A"/>
    <w:rsid w:val="00423B8C"/>
    <w:rsid w:val="00423CB8"/>
    <w:rsid w:val="0042400A"/>
    <w:rsid w:val="00424329"/>
    <w:rsid w:val="00424564"/>
    <w:rsid w:val="00424707"/>
    <w:rsid w:val="00424919"/>
    <w:rsid w:val="00424A1D"/>
    <w:rsid w:val="00424B78"/>
    <w:rsid w:val="00424E76"/>
    <w:rsid w:val="004250D4"/>
    <w:rsid w:val="0042529C"/>
    <w:rsid w:val="00425378"/>
    <w:rsid w:val="004253E8"/>
    <w:rsid w:val="00425590"/>
    <w:rsid w:val="004259DD"/>
    <w:rsid w:val="00425AE2"/>
    <w:rsid w:val="00425B12"/>
    <w:rsid w:val="00425B6C"/>
    <w:rsid w:val="00425CDC"/>
    <w:rsid w:val="00425FE0"/>
    <w:rsid w:val="00426723"/>
    <w:rsid w:val="00426757"/>
    <w:rsid w:val="004268D5"/>
    <w:rsid w:val="004268D8"/>
    <w:rsid w:val="00426A11"/>
    <w:rsid w:val="00426B10"/>
    <w:rsid w:val="00426C6F"/>
    <w:rsid w:val="00426DF0"/>
    <w:rsid w:val="00427019"/>
    <w:rsid w:val="004270E9"/>
    <w:rsid w:val="00427269"/>
    <w:rsid w:val="0042734C"/>
    <w:rsid w:val="0042749A"/>
    <w:rsid w:val="00427730"/>
    <w:rsid w:val="00430155"/>
    <w:rsid w:val="004304D5"/>
    <w:rsid w:val="004306E1"/>
    <w:rsid w:val="00430A99"/>
    <w:rsid w:val="00430AC5"/>
    <w:rsid w:val="00430B17"/>
    <w:rsid w:val="00430B3C"/>
    <w:rsid w:val="00430DD4"/>
    <w:rsid w:val="00430E08"/>
    <w:rsid w:val="00430F6A"/>
    <w:rsid w:val="00431095"/>
    <w:rsid w:val="0043169A"/>
    <w:rsid w:val="00431799"/>
    <w:rsid w:val="00431905"/>
    <w:rsid w:val="00431D4A"/>
    <w:rsid w:val="00431DB9"/>
    <w:rsid w:val="00431DFB"/>
    <w:rsid w:val="00431F4F"/>
    <w:rsid w:val="00432001"/>
    <w:rsid w:val="004320A0"/>
    <w:rsid w:val="00432124"/>
    <w:rsid w:val="004321B1"/>
    <w:rsid w:val="0043227A"/>
    <w:rsid w:val="0043227D"/>
    <w:rsid w:val="00432309"/>
    <w:rsid w:val="00432353"/>
    <w:rsid w:val="00432373"/>
    <w:rsid w:val="004325E0"/>
    <w:rsid w:val="004325EA"/>
    <w:rsid w:val="004327DA"/>
    <w:rsid w:val="00432849"/>
    <w:rsid w:val="00432924"/>
    <w:rsid w:val="00432DAA"/>
    <w:rsid w:val="00432DC0"/>
    <w:rsid w:val="00432DCC"/>
    <w:rsid w:val="00432FEF"/>
    <w:rsid w:val="00433092"/>
    <w:rsid w:val="00433123"/>
    <w:rsid w:val="00433143"/>
    <w:rsid w:val="00433157"/>
    <w:rsid w:val="004335E8"/>
    <w:rsid w:val="004335F3"/>
    <w:rsid w:val="0043363C"/>
    <w:rsid w:val="00433846"/>
    <w:rsid w:val="00433B74"/>
    <w:rsid w:val="00433CD8"/>
    <w:rsid w:val="004341A2"/>
    <w:rsid w:val="00434387"/>
    <w:rsid w:val="0043439C"/>
    <w:rsid w:val="00434462"/>
    <w:rsid w:val="00434588"/>
    <w:rsid w:val="00434C72"/>
    <w:rsid w:val="00434E68"/>
    <w:rsid w:val="00434E69"/>
    <w:rsid w:val="00435242"/>
    <w:rsid w:val="004354DA"/>
    <w:rsid w:val="0043551F"/>
    <w:rsid w:val="00435779"/>
    <w:rsid w:val="0043584E"/>
    <w:rsid w:val="0043592E"/>
    <w:rsid w:val="00435CC9"/>
    <w:rsid w:val="00435E5E"/>
    <w:rsid w:val="00435EF3"/>
    <w:rsid w:val="00435F88"/>
    <w:rsid w:val="0043605B"/>
    <w:rsid w:val="00436212"/>
    <w:rsid w:val="004368AA"/>
    <w:rsid w:val="00436924"/>
    <w:rsid w:val="00436A3E"/>
    <w:rsid w:val="00436AB9"/>
    <w:rsid w:val="00436B1C"/>
    <w:rsid w:val="00436B3F"/>
    <w:rsid w:val="00436C1C"/>
    <w:rsid w:val="00436FC8"/>
    <w:rsid w:val="00437196"/>
    <w:rsid w:val="004371E3"/>
    <w:rsid w:val="00437337"/>
    <w:rsid w:val="004373D2"/>
    <w:rsid w:val="0043741B"/>
    <w:rsid w:val="0043747F"/>
    <w:rsid w:val="004375B8"/>
    <w:rsid w:val="004375BB"/>
    <w:rsid w:val="00437926"/>
    <w:rsid w:val="00437D22"/>
    <w:rsid w:val="00437D69"/>
    <w:rsid w:val="00437F7B"/>
    <w:rsid w:val="00437F8F"/>
    <w:rsid w:val="00440309"/>
    <w:rsid w:val="004404CD"/>
    <w:rsid w:val="004404EB"/>
    <w:rsid w:val="004407E5"/>
    <w:rsid w:val="00440D78"/>
    <w:rsid w:val="00440DFB"/>
    <w:rsid w:val="00440EC6"/>
    <w:rsid w:val="00440F7C"/>
    <w:rsid w:val="004415E1"/>
    <w:rsid w:val="00441618"/>
    <w:rsid w:val="004417BA"/>
    <w:rsid w:val="00441808"/>
    <w:rsid w:val="00441828"/>
    <w:rsid w:val="004418F7"/>
    <w:rsid w:val="00441A2A"/>
    <w:rsid w:val="00441E6B"/>
    <w:rsid w:val="00441F3D"/>
    <w:rsid w:val="004420F6"/>
    <w:rsid w:val="004421DA"/>
    <w:rsid w:val="00442253"/>
    <w:rsid w:val="004422D7"/>
    <w:rsid w:val="00442595"/>
    <w:rsid w:val="004426F9"/>
    <w:rsid w:val="00442895"/>
    <w:rsid w:val="00442A0C"/>
    <w:rsid w:val="00442C30"/>
    <w:rsid w:val="00442C51"/>
    <w:rsid w:val="00442C87"/>
    <w:rsid w:val="00442CA1"/>
    <w:rsid w:val="00442D26"/>
    <w:rsid w:val="00442EB4"/>
    <w:rsid w:val="00442F25"/>
    <w:rsid w:val="00442FAF"/>
    <w:rsid w:val="00443079"/>
    <w:rsid w:val="00443223"/>
    <w:rsid w:val="004432E2"/>
    <w:rsid w:val="00443364"/>
    <w:rsid w:val="0044343C"/>
    <w:rsid w:val="0044359A"/>
    <w:rsid w:val="00443828"/>
    <w:rsid w:val="0044431B"/>
    <w:rsid w:val="00444AA0"/>
    <w:rsid w:val="00444BD2"/>
    <w:rsid w:val="00444C39"/>
    <w:rsid w:val="00444D3F"/>
    <w:rsid w:val="00444E7D"/>
    <w:rsid w:val="00444F65"/>
    <w:rsid w:val="00444FBC"/>
    <w:rsid w:val="00445071"/>
    <w:rsid w:val="004450D7"/>
    <w:rsid w:val="0044510F"/>
    <w:rsid w:val="00445185"/>
    <w:rsid w:val="00445196"/>
    <w:rsid w:val="00445360"/>
    <w:rsid w:val="004454EF"/>
    <w:rsid w:val="004455AF"/>
    <w:rsid w:val="004455BD"/>
    <w:rsid w:val="004455EC"/>
    <w:rsid w:val="0044570E"/>
    <w:rsid w:val="0044574D"/>
    <w:rsid w:val="004459CB"/>
    <w:rsid w:val="004459DA"/>
    <w:rsid w:val="00445A11"/>
    <w:rsid w:val="00445BDD"/>
    <w:rsid w:val="00445CFB"/>
    <w:rsid w:val="00445D00"/>
    <w:rsid w:val="004460DC"/>
    <w:rsid w:val="0044622B"/>
    <w:rsid w:val="0044649A"/>
    <w:rsid w:val="00446636"/>
    <w:rsid w:val="00446904"/>
    <w:rsid w:val="0044696A"/>
    <w:rsid w:val="00446A87"/>
    <w:rsid w:val="00446B3C"/>
    <w:rsid w:val="00446B42"/>
    <w:rsid w:val="00446BD8"/>
    <w:rsid w:val="00446E45"/>
    <w:rsid w:val="0044708F"/>
    <w:rsid w:val="00447147"/>
    <w:rsid w:val="0044717C"/>
    <w:rsid w:val="00447495"/>
    <w:rsid w:val="004474D0"/>
    <w:rsid w:val="0044756C"/>
    <w:rsid w:val="00447603"/>
    <w:rsid w:val="004476AC"/>
    <w:rsid w:val="004476C6"/>
    <w:rsid w:val="00447870"/>
    <w:rsid w:val="00447A1D"/>
    <w:rsid w:val="00447ADD"/>
    <w:rsid w:val="00447CB3"/>
    <w:rsid w:val="004504BF"/>
    <w:rsid w:val="00450627"/>
    <w:rsid w:val="0045073B"/>
    <w:rsid w:val="00450747"/>
    <w:rsid w:val="0045076A"/>
    <w:rsid w:val="004508E0"/>
    <w:rsid w:val="00450B01"/>
    <w:rsid w:val="00450B6B"/>
    <w:rsid w:val="00450D55"/>
    <w:rsid w:val="00450DCE"/>
    <w:rsid w:val="00450DE7"/>
    <w:rsid w:val="0045103C"/>
    <w:rsid w:val="00451141"/>
    <w:rsid w:val="004511E0"/>
    <w:rsid w:val="0045130C"/>
    <w:rsid w:val="00451336"/>
    <w:rsid w:val="0045133C"/>
    <w:rsid w:val="004514EF"/>
    <w:rsid w:val="00451581"/>
    <w:rsid w:val="004515A2"/>
    <w:rsid w:val="0045160D"/>
    <w:rsid w:val="0045166B"/>
    <w:rsid w:val="004517A7"/>
    <w:rsid w:val="00451848"/>
    <w:rsid w:val="00451875"/>
    <w:rsid w:val="00451A06"/>
    <w:rsid w:val="00451A18"/>
    <w:rsid w:val="00451AD7"/>
    <w:rsid w:val="00451CD6"/>
    <w:rsid w:val="004521FA"/>
    <w:rsid w:val="00452506"/>
    <w:rsid w:val="00452572"/>
    <w:rsid w:val="0045260E"/>
    <w:rsid w:val="004529D2"/>
    <w:rsid w:val="00452A7A"/>
    <w:rsid w:val="00452B4E"/>
    <w:rsid w:val="00452B70"/>
    <w:rsid w:val="00452DA2"/>
    <w:rsid w:val="0045332B"/>
    <w:rsid w:val="00453578"/>
    <w:rsid w:val="004536C1"/>
    <w:rsid w:val="00453A98"/>
    <w:rsid w:val="00453B02"/>
    <w:rsid w:val="00453BBD"/>
    <w:rsid w:val="00453C5F"/>
    <w:rsid w:val="00453CE3"/>
    <w:rsid w:val="00453D08"/>
    <w:rsid w:val="00453D75"/>
    <w:rsid w:val="00453EDD"/>
    <w:rsid w:val="00453F4C"/>
    <w:rsid w:val="004542CA"/>
    <w:rsid w:val="004544D5"/>
    <w:rsid w:val="00454A08"/>
    <w:rsid w:val="00454A58"/>
    <w:rsid w:val="00454AB0"/>
    <w:rsid w:val="00454B86"/>
    <w:rsid w:val="00454C52"/>
    <w:rsid w:val="00454FA8"/>
    <w:rsid w:val="004550CA"/>
    <w:rsid w:val="004551BF"/>
    <w:rsid w:val="00455214"/>
    <w:rsid w:val="004552AA"/>
    <w:rsid w:val="0045530E"/>
    <w:rsid w:val="004553A8"/>
    <w:rsid w:val="00455405"/>
    <w:rsid w:val="004554BB"/>
    <w:rsid w:val="00455555"/>
    <w:rsid w:val="0045558D"/>
    <w:rsid w:val="0045574F"/>
    <w:rsid w:val="00455AFB"/>
    <w:rsid w:val="00455BCE"/>
    <w:rsid w:val="00455E90"/>
    <w:rsid w:val="00455EFD"/>
    <w:rsid w:val="0045620B"/>
    <w:rsid w:val="00456820"/>
    <w:rsid w:val="00456B46"/>
    <w:rsid w:val="00456B7F"/>
    <w:rsid w:val="00456BF6"/>
    <w:rsid w:val="00456D5A"/>
    <w:rsid w:val="00456F8B"/>
    <w:rsid w:val="004571DE"/>
    <w:rsid w:val="00457427"/>
    <w:rsid w:val="00457700"/>
    <w:rsid w:val="0045780B"/>
    <w:rsid w:val="004578BF"/>
    <w:rsid w:val="00457BEC"/>
    <w:rsid w:val="00457C9E"/>
    <w:rsid w:val="00457E56"/>
    <w:rsid w:val="00457FA5"/>
    <w:rsid w:val="00457FDF"/>
    <w:rsid w:val="00460024"/>
    <w:rsid w:val="0046015E"/>
    <w:rsid w:val="004601EA"/>
    <w:rsid w:val="0046027A"/>
    <w:rsid w:val="0046037E"/>
    <w:rsid w:val="00460454"/>
    <w:rsid w:val="00460717"/>
    <w:rsid w:val="004607BC"/>
    <w:rsid w:val="004608A5"/>
    <w:rsid w:val="004608B0"/>
    <w:rsid w:val="00460A21"/>
    <w:rsid w:val="0046133D"/>
    <w:rsid w:val="0046159D"/>
    <w:rsid w:val="004615E2"/>
    <w:rsid w:val="0046172D"/>
    <w:rsid w:val="0046180C"/>
    <w:rsid w:val="00461838"/>
    <w:rsid w:val="00461893"/>
    <w:rsid w:val="0046198D"/>
    <w:rsid w:val="0046199E"/>
    <w:rsid w:val="00461AFA"/>
    <w:rsid w:val="00461CBD"/>
    <w:rsid w:val="0046210C"/>
    <w:rsid w:val="00462240"/>
    <w:rsid w:val="0046239F"/>
    <w:rsid w:val="00462505"/>
    <w:rsid w:val="0046278E"/>
    <w:rsid w:val="00462858"/>
    <w:rsid w:val="00462B7A"/>
    <w:rsid w:val="00462C9D"/>
    <w:rsid w:val="0046310B"/>
    <w:rsid w:val="004632C9"/>
    <w:rsid w:val="004633F5"/>
    <w:rsid w:val="004636E9"/>
    <w:rsid w:val="0046397C"/>
    <w:rsid w:val="004639E0"/>
    <w:rsid w:val="00463A56"/>
    <w:rsid w:val="00463B5F"/>
    <w:rsid w:val="00463B90"/>
    <w:rsid w:val="00463BA7"/>
    <w:rsid w:val="00463C03"/>
    <w:rsid w:val="00463F21"/>
    <w:rsid w:val="0046408D"/>
    <w:rsid w:val="004640FF"/>
    <w:rsid w:val="00464204"/>
    <w:rsid w:val="0046432B"/>
    <w:rsid w:val="0046443D"/>
    <w:rsid w:val="00464446"/>
    <w:rsid w:val="00464483"/>
    <w:rsid w:val="004644BF"/>
    <w:rsid w:val="004646B7"/>
    <w:rsid w:val="004646D4"/>
    <w:rsid w:val="0046483D"/>
    <w:rsid w:val="00464899"/>
    <w:rsid w:val="00464C4A"/>
    <w:rsid w:val="00464E6C"/>
    <w:rsid w:val="00464FF1"/>
    <w:rsid w:val="004650FD"/>
    <w:rsid w:val="004651C2"/>
    <w:rsid w:val="00465407"/>
    <w:rsid w:val="0046548A"/>
    <w:rsid w:val="00465524"/>
    <w:rsid w:val="004655A2"/>
    <w:rsid w:val="00465697"/>
    <w:rsid w:val="004658FD"/>
    <w:rsid w:val="00465F4F"/>
    <w:rsid w:val="004661C3"/>
    <w:rsid w:val="00466437"/>
    <w:rsid w:val="00466456"/>
    <w:rsid w:val="004668C3"/>
    <w:rsid w:val="004668F3"/>
    <w:rsid w:val="00466991"/>
    <w:rsid w:val="00466A72"/>
    <w:rsid w:val="00466B42"/>
    <w:rsid w:val="00466B56"/>
    <w:rsid w:val="00466DEE"/>
    <w:rsid w:val="00467048"/>
    <w:rsid w:val="004671A4"/>
    <w:rsid w:val="0046725D"/>
    <w:rsid w:val="00467260"/>
    <w:rsid w:val="00467531"/>
    <w:rsid w:val="0046771E"/>
    <w:rsid w:val="0046775C"/>
    <w:rsid w:val="0046780E"/>
    <w:rsid w:val="00467A41"/>
    <w:rsid w:val="00467AE0"/>
    <w:rsid w:val="00467B97"/>
    <w:rsid w:val="00467CD7"/>
    <w:rsid w:val="00467D37"/>
    <w:rsid w:val="00467EC3"/>
    <w:rsid w:val="00470028"/>
    <w:rsid w:val="00470038"/>
    <w:rsid w:val="00470281"/>
    <w:rsid w:val="004703B9"/>
    <w:rsid w:val="0047050D"/>
    <w:rsid w:val="004705D9"/>
    <w:rsid w:val="00470722"/>
    <w:rsid w:val="00470835"/>
    <w:rsid w:val="00470992"/>
    <w:rsid w:val="004709D6"/>
    <w:rsid w:val="00470C74"/>
    <w:rsid w:val="00470EA8"/>
    <w:rsid w:val="00470FF5"/>
    <w:rsid w:val="00470FF9"/>
    <w:rsid w:val="00471227"/>
    <w:rsid w:val="004712F2"/>
    <w:rsid w:val="00471518"/>
    <w:rsid w:val="004715F0"/>
    <w:rsid w:val="00471680"/>
    <w:rsid w:val="00471692"/>
    <w:rsid w:val="004716F7"/>
    <w:rsid w:val="004716FC"/>
    <w:rsid w:val="00471733"/>
    <w:rsid w:val="00471948"/>
    <w:rsid w:val="00471A23"/>
    <w:rsid w:val="00471AEE"/>
    <w:rsid w:val="00471EB8"/>
    <w:rsid w:val="00472450"/>
    <w:rsid w:val="0047270D"/>
    <w:rsid w:val="004727BE"/>
    <w:rsid w:val="00472951"/>
    <w:rsid w:val="00472B0D"/>
    <w:rsid w:val="00472B8A"/>
    <w:rsid w:val="00472BCC"/>
    <w:rsid w:val="00472C75"/>
    <w:rsid w:val="00472C9B"/>
    <w:rsid w:val="00472F3E"/>
    <w:rsid w:val="00472FD9"/>
    <w:rsid w:val="004731E1"/>
    <w:rsid w:val="00473371"/>
    <w:rsid w:val="004734A4"/>
    <w:rsid w:val="00473710"/>
    <w:rsid w:val="0047387A"/>
    <w:rsid w:val="00473A5E"/>
    <w:rsid w:val="00473B49"/>
    <w:rsid w:val="00473D86"/>
    <w:rsid w:val="00473E14"/>
    <w:rsid w:val="00473F05"/>
    <w:rsid w:val="00474019"/>
    <w:rsid w:val="004742A5"/>
    <w:rsid w:val="0047468A"/>
    <w:rsid w:val="004747C2"/>
    <w:rsid w:val="004747DA"/>
    <w:rsid w:val="00474978"/>
    <w:rsid w:val="00474B79"/>
    <w:rsid w:val="00474E35"/>
    <w:rsid w:val="00474F5E"/>
    <w:rsid w:val="00474F95"/>
    <w:rsid w:val="004750AD"/>
    <w:rsid w:val="0047512D"/>
    <w:rsid w:val="00475371"/>
    <w:rsid w:val="004754FA"/>
    <w:rsid w:val="00475633"/>
    <w:rsid w:val="00475714"/>
    <w:rsid w:val="00475730"/>
    <w:rsid w:val="004758A9"/>
    <w:rsid w:val="00475A83"/>
    <w:rsid w:val="00475DAA"/>
    <w:rsid w:val="00475E65"/>
    <w:rsid w:val="00475EFD"/>
    <w:rsid w:val="00476273"/>
    <w:rsid w:val="004762FE"/>
    <w:rsid w:val="0047642C"/>
    <w:rsid w:val="00476860"/>
    <w:rsid w:val="004768B7"/>
    <w:rsid w:val="00476A65"/>
    <w:rsid w:val="00476BAE"/>
    <w:rsid w:val="00476C71"/>
    <w:rsid w:val="00476DCC"/>
    <w:rsid w:val="00476E30"/>
    <w:rsid w:val="00476E68"/>
    <w:rsid w:val="00476ED5"/>
    <w:rsid w:val="00476F25"/>
    <w:rsid w:val="00477399"/>
    <w:rsid w:val="004774CB"/>
    <w:rsid w:val="004778EB"/>
    <w:rsid w:val="00477B2B"/>
    <w:rsid w:val="00477C1E"/>
    <w:rsid w:val="00477D18"/>
    <w:rsid w:val="00477DA2"/>
    <w:rsid w:val="00480077"/>
    <w:rsid w:val="0048020B"/>
    <w:rsid w:val="00480429"/>
    <w:rsid w:val="0048044E"/>
    <w:rsid w:val="004805A4"/>
    <w:rsid w:val="004807FB"/>
    <w:rsid w:val="004809AC"/>
    <w:rsid w:val="00480BA4"/>
    <w:rsid w:val="00480C01"/>
    <w:rsid w:val="00481000"/>
    <w:rsid w:val="00481177"/>
    <w:rsid w:val="00481230"/>
    <w:rsid w:val="00481411"/>
    <w:rsid w:val="004815E2"/>
    <w:rsid w:val="004816E3"/>
    <w:rsid w:val="004817A8"/>
    <w:rsid w:val="00481B2C"/>
    <w:rsid w:val="00482188"/>
    <w:rsid w:val="004823D0"/>
    <w:rsid w:val="0048249D"/>
    <w:rsid w:val="00482564"/>
    <w:rsid w:val="004826A6"/>
    <w:rsid w:val="00482929"/>
    <w:rsid w:val="00482B4A"/>
    <w:rsid w:val="00482B88"/>
    <w:rsid w:val="00482BE5"/>
    <w:rsid w:val="00482C44"/>
    <w:rsid w:val="00482C50"/>
    <w:rsid w:val="00482C5E"/>
    <w:rsid w:val="00482CBA"/>
    <w:rsid w:val="00482D04"/>
    <w:rsid w:val="00482FBA"/>
    <w:rsid w:val="00483298"/>
    <w:rsid w:val="004832FA"/>
    <w:rsid w:val="00483312"/>
    <w:rsid w:val="00483388"/>
    <w:rsid w:val="004834B2"/>
    <w:rsid w:val="004836B9"/>
    <w:rsid w:val="004838F1"/>
    <w:rsid w:val="004839E0"/>
    <w:rsid w:val="00483A6B"/>
    <w:rsid w:val="00483EA8"/>
    <w:rsid w:val="00483F7B"/>
    <w:rsid w:val="0048418D"/>
    <w:rsid w:val="00484221"/>
    <w:rsid w:val="004842C2"/>
    <w:rsid w:val="00484455"/>
    <w:rsid w:val="0048449B"/>
    <w:rsid w:val="004844D3"/>
    <w:rsid w:val="0048457E"/>
    <w:rsid w:val="004845F3"/>
    <w:rsid w:val="0048464E"/>
    <w:rsid w:val="004846FA"/>
    <w:rsid w:val="004847E2"/>
    <w:rsid w:val="004848E5"/>
    <w:rsid w:val="00484B38"/>
    <w:rsid w:val="00484C3F"/>
    <w:rsid w:val="00484E7B"/>
    <w:rsid w:val="00484ED3"/>
    <w:rsid w:val="00484F90"/>
    <w:rsid w:val="00485115"/>
    <w:rsid w:val="00485269"/>
    <w:rsid w:val="004854FB"/>
    <w:rsid w:val="00485583"/>
    <w:rsid w:val="00485A09"/>
    <w:rsid w:val="00485A98"/>
    <w:rsid w:val="00485D1A"/>
    <w:rsid w:val="004860AE"/>
    <w:rsid w:val="004860BB"/>
    <w:rsid w:val="0048616E"/>
    <w:rsid w:val="00486215"/>
    <w:rsid w:val="00486241"/>
    <w:rsid w:val="004864C3"/>
    <w:rsid w:val="004864DA"/>
    <w:rsid w:val="004866FB"/>
    <w:rsid w:val="0048672E"/>
    <w:rsid w:val="00486897"/>
    <w:rsid w:val="00486A4C"/>
    <w:rsid w:val="00486C2E"/>
    <w:rsid w:val="00486CBE"/>
    <w:rsid w:val="00486D68"/>
    <w:rsid w:val="00486D6E"/>
    <w:rsid w:val="00486EBB"/>
    <w:rsid w:val="00486F17"/>
    <w:rsid w:val="00486F87"/>
    <w:rsid w:val="00487078"/>
    <w:rsid w:val="0048714C"/>
    <w:rsid w:val="0048715A"/>
    <w:rsid w:val="004872BC"/>
    <w:rsid w:val="004872EC"/>
    <w:rsid w:val="00487341"/>
    <w:rsid w:val="004874A4"/>
    <w:rsid w:val="00487558"/>
    <w:rsid w:val="004875EE"/>
    <w:rsid w:val="00487802"/>
    <w:rsid w:val="0048791B"/>
    <w:rsid w:val="00487AED"/>
    <w:rsid w:val="00487D18"/>
    <w:rsid w:val="00487D4D"/>
    <w:rsid w:val="00487DE4"/>
    <w:rsid w:val="0049002B"/>
    <w:rsid w:val="0049015B"/>
    <w:rsid w:val="004901D8"/>
    <w:rsid w:val="004901FD"/>
    <w:rsid w:val="00490273"/>
    <w:rsid w:val="004904DD"/>
    <w:rsid w:val="0049072B"/>
    <w:rsid w:val="0049077F"/>
    <w:rsid w:val="004907E4"/>
    <w:rsid w:val="00490EF3"/>
    <w:rsid w:val="00490EF7"/>
    <w:rsid w:val="00491117"/>
    <w:rsid w:val="00491133"/>
    <w:rsid w:val="004911AA"/>
    <w:rsid w:val="00491264"/>
    <w:rsid w:val="004912F1"/>
    <w:rsid w:val="004913E2"/>
    <w:rsid w:val="0049143C"/>
    <w:rsid w:val="00491833"/>
    <w:rsid w:val="00491974"/>
    <w:rsid w:val="00491B78"/>
    <w:rsid w:val="00491DB2"/>
    <w:rsid w:val="0049209C"/>
    <w:rsid w:val="004923E8"/>
    <w:rsid w:val="0049282B"/>
    <w:rsid w:val="00492977"/>
    <w:rsid w:val="00492B04"/>
    <w:rsid w:val="00492DBD"/>
    <w:rsid w:val="00492E6B"/>
    <w:rsid w:val="00492F8E"/>
    <w:rsid w:val="00493105"/>
    <w:rsid w:val="00493873"/>
    <w:rsid w:val="00493CB7"/>
    <w:rsid w:val="00493D6B"/>
    <w:rsid w:val="004940CD"/>
    <w:rsid w:val="004941E9"/>
    <w:rsid w:val="00494355"/>
    <w:rsid w:val="00494447"/>
    <w:rsid w:val="004944D5"/>
    <w:rsid w:val="00494545"/>
    <w:rsid w:val="004945F8"/>
    <w:rsid w:val="00494646"/>
    <w:rsid w:val="004948CB"/>
    <w:rsid w:val="00494945"/>
    <w:rsid w:val="00494C7D"/>
    <w:rsid w:val="00494CB8"/>
    <w:rsid w:val="00495247"/>
    <w:rsid w:val="0049529C"/>
    <w:rsid w:val="0049554A"/>
    <w:rsid w:val="004956E1"/>
    <w:rsid w:val="00495783"/>
    <w:rsid w:val="0049585B"/>
    <w:rsid w:val="004958BE"/>
    <w:rsid w:val="00495A5E"/>
    <w:rsid w:val="00495BC2"/>
    <w:rsid w:val="00495BC8"/>
    <w:rsid w:val="00495C0F"/>
    <w:rsid w:val="00495D53"/>
    <w:rsid w:val="00495E07"/>
    <w:rsid w:val="00495E0C"/>
    <w:rsid w:val="00495F94"/>
    <w:rsid w:val="004960B8"/>
    <w:rsid w:val="00496182"/>
    <w:rsid w:val="004961F5"/>
    <w:rsid w:val="00496234"/>
    <w:rsid w:val="004964ED"/>
    <w:rsid w:val="00496508"/>
    <w:rsid w:val="004965C0"/>
    <w:rsid w:val="00496691"/>
    <w:rsid w:val="00496913"/>
    <w:rsid w:val="00496C63"/>
    <w:rsid w:val="00496D7C"/>
    <w:rsid w:val="00496DA8"/>
    <w:rsid w:val="00496DE7"/>
    <w:rsid w:val="00496E02"/>
    <w:rsid w:val="00496E05"/>
    <w:rsid w:val="00497212"/>
    <w:rsid w:val="00497257"/>
    <w:rsid w:val="004973B7"/>
    <w:rsid w:val="004974AC"/>
    <w:rsid w:val="004975DB"/>
    <w:rsid w:val="00497750"/>
    <w:rsid w:val="00497BEF"/>
    <w:rsid w:val="00497D19"/>
    <w:rsid w:val="00497D4A"/>
    <w:rsid w:val="00497F70"/>
    <w:rsid w:val="004A03E5"/>
    <w:rsid w:val="004A04AC"/>
    <w:rsid w:val="004A05C4"/>
    <w:rsid w:val="004A05C6"/>
    <w:rsid w:val="004A0644"/>
    <w:rsid w:val="004A08CE"/>
    <w:rsid w:val="004A0B70"/>
    <w:rsid w:val="004A0DFE"/>
    <w:rsid w:val="004A0EC2"/>
    <w:rsid w:val="004A10F5"/>
    <w:rsid w:val="004A1144"/>
    <w:rsid w:val="004A11DF"/>
    <w:rsid w:val="004A1371"/>
    <w:rsid w:val="004A13C8"/>
    <w:rsid w:val="004A1754"/>
    <w:rsid w:val="004A1903"/>
    <w:rsid w:val="004A1907"/>
    <w:rsid w:val="004A1A33"/>
    <w:rsid w:val="004A1C77"/>
    <w:rsid w:val="004A1E97"/>
    <w:rsid w:val="004A2072"/>
    <w:rsid w:val="004A20A3"/>
    <w:rsid w:val="004A2167"/>
    <w:rsid w:val="004A2733"/>
    <w:rsid w:val="004A28D1"/>
    <w:rsid w:val="004A2B4F"/>
    <w:rsid w:val="004A2BBB"/>
    <w:rsid w:val="004A2DB4"/>
    <w:rsid w:val="004A2F9A"/>
    <w:rsid w:val="004A303B"/>
    <w:rsid w:val="004A30A9"/>
    <w:rsid w:val="004A33E3"/>
    <w:rsid w:val="004A34D5"/>
    <w:rsid w:val="004A37C4"/>
    <w:rsid w:val="004A37FF"/>
    <w:rsid w:val="004A411C"/>
    <w:rsid w:val="004A41A6"/>
    <w:rsid w:val="004A4427"/>
    <w:rsid w:val="004A44E1"/>
    <w:rsid w:val="004A4623"/>
    <w:rsid w:val="004A47A8"/>
    <w:rsid w:val="004A4883"/>
    <w:rsid w:val="004A4981"/>
    <w:rsid w:val="004A49EE"/>
    <w:rsid w:val="004A4A89"/>
    <w:rsid w:val="004A4C20"/>
    <w:rsid w:val="004A4E89"/>
    <w:rsid w:val="004A503D"/>
    <w:rsid w:val="004A511D"/>
    <w:rsid w:val="004A53A0"/>
    <w:rsid w:val="004A546C"/>
    <w:rsid w:val="004A5571"/>
    <w:rsid w:val="004A589C"/>
    <w:rsid w:val="004A5956"/>
    <w:rsid w:val="004A5A47"/>
    <w:rsid w:val="004A5C19"/>
    <w:rsid w:val="004A5F4C"/>
    <w:rsid w:val="004A60AD"/>
    <w:rsid w:val="004A60F5"/>
    <w:rsid w:val="004A61B5"/>
    <w:rsid w:val="004A6229"/>
    <w:rsid w:val="004A623C"/>
    <w:rsid w:val="004A6296"/>
    <w:rsid w:val="004A6481"/>
    <w:rsid w:val="004A64D3"/>
    <w:rsid w:val="004A658D"/>
    <w:rsid w:val="004A6723"/>
    <w:rsid w:val="004A6732"/>
    <w:rsid w:val="004A6867"/>
    <w:rsid w:val="004A6AC6"/>
    <w:rsid w:val="004A6C59"/>
    <w:rsid w:val="004A6C9A"/>
    <w:rsid w:val="004A6E8D"/>
    <w:rsid w:val="004A70C2"/>
    <w:rsid w:val="004A72F1"/>
    <w:rsid w:val="004A7360"/>
    <w:rsid w:val="004A765A"/>
    <w:rsid w:val="004A7662"/>
    <w:rsid w:val="004A7673"/>
    <w:rsid w:val="004A7957"/>
    <w:rsid w:val="004A7A98"/>
    <w:rsid w:val="004A7B96"/>
    <w:rsid w:val="004A7CC7"/>
    <w:rsid w:val="004A7D10"/>
    <w:rsid w:val="004A7E3B"/>
    <w:rsid w:val="004A7E7B"/>
    <w:rsid w:val="004A7FD7"/>
    <w:rsid w:val="004B016D"/>
    <w:rsid w:val="004B0196"/>
    <w:rsid w:val="004B03B2"/>
    <w:rsid w:val="004B03F3"/>
    <w:rsid w:val="004B0578"/>
    <w:rsid w:val="004B0645"/>
    <w:rsid w:val="004B06F6"/>
    <w:rsid w:val="004B0800"/>
    <w:rsid w:val="004B0A7C"/>
    <w:rsid w:val="004B0D44"/>
    <w:rsid w:val="004B0D81"/>
    <w:rsid w:val="004B1195"/>
    <w:rsid w:val="004B141F"/>
    <w:rsid w:val="004B1516"/>
    <w:rsid w:val="004B1585"/>
    <w:rsid w:val="004B183A"/>
    <w:rsid w:val="004B1923"/>
    <w:rsid w:val="004B1987"/>
    <w:rsid w:val="004B1EBC"/>
    <w:rsid w:val="004B22E9"/>
    <w:rsid w:val="004B242C"/>
    <w:rsid w:val="004B24E3"/>
    <w:rsid w:val="004B2625"/>
    <w:rsid w:val="004B2BC7"/>
    <w:rsid w:val="004B2CC8"/>
    <w:rsid w:val="004B2E44"/>
    <w:rsid w:val="004B2FFF"/>
    <w:rsid w:val="004B31B4"/>
    <w:rsid w:val="004B3235"/>
    <w:rsid w:val="004B32B7"/>
    <w:rsid w:val="004B331B"/>
    <w:rsid w:val="004B3342"/>
    <w:rsid w:val="004B3608"/>
    <w:rsid w:val="004B3660"/>
    <w:rsid w:val="004B37E3"/>
    <w:rsid w:val="004B38EE"/>
    <w:rsid w:val="004B392B"/>
    <w:rsid w:val="004B3B00"/>
    <w:rsid w:val="004B3B20"/>
    <w:rsid w:val="004B3BF3"/>
    <w:rsid w:val="004B3FAA"/>
    <w:rsid w:val="004B416D"/>
    <w:rsid w:val="004B44B8"/>
    <w:rsid w:val="004B44FD"/>
    <w:rsid w:val="004B45A7"/>
    <w:rsid w:val="004B467A"/>
    <w:rsid w:val="004B4A09"/>
    <w:rsid w:val="004B4A25"/>
    <w:rsid w:val="004B4A5D"/>
    <w:rsid w:val="004B4A8D"/>
    <w:rsid w:val="004B4A96"/>
    <w:rsid w:val="004B4C4E"/>
    <w:rsid w:val="004B4C97"/>
    <w:rsid w:val="004B4EF8"/>
    <w:rsid w:val="004B5212"/>
    <w:rsid w:val="004B5501"/>
    <w:rsid w:val="004B55BD"/>
    <w:rsid w:val="004B56B9"/>
    <w:rsid w:val="004B5799"/>
    <w:rsid w:val="004B5922"/>
    <w:rsid w:val="004B59F2"/>
    <w:rsid w:val="004B6172"/>
    <w:rsid w:val="004B65A5"/>
    <w:rsid w:val="004B69E6"/>
    <w:rsid w:val="004B6A2C"/>
    <w:rsid w:val="004B6A9E"/>
    <w:rsid w:val="004B6C71"/>
    <w:rsid w:val="004B6E4F"/>
    <w:rsid w:val="004B6E9B"/>
    <w:rsid w:val="004B6F49"/>
    <w:rsid w:val="004B7001"/>
    <w:rsid w:val="004B703B"/>
    <w:rsid w:val="004B705D"/>
    <w:rsid w:val="004B71E7"/>
    <w:rsid w:val="004B7726"/>
    <w:rsid w:val="004B777D"/>
    <w:rsid w:val="004B7916"/>
    <w:rsid w:val="004B7917"/>
    <w:rsid w:val="004B79F9"/>
    <w:rsid w:val="004B7A2B"/>
    <w:rsid w:val="004B7B4A"/>
    <w:rsid w:val="004B7CF4"/>
    <w:rsid w:val="004B7EF8"/>
    <w:rsid w:val="004B7F56"/>
    <w:rsid w:val="004C002A"/>
    <w:rsid w:val="004C0137"/>
    <w:rsid w:val="004C0236"/>
    <w:rsid w:val="004C0434"/>
    <w:rsid w:val="004C0549"/>
    <w:rsid w:val="004C0695"/>
    <w:rsid w:val="004C071C"/>
    <w:rsid w:val="004C0730"/>
    <w:rsid w:val="004C08AD"/>
    <w:rsid w:val="004C0A12"/>
    <w:rsid w:val="004C0BEB"/>
    <w:rsid w:val="004C0CFD"/>
    <w:rsid w:val="004C0E28"/>
    <w:rsid w:val="004C0EA7"/>
    <w:rsid w:val="004C0EE6"/>
    <w:rsid w:val="004C11A7"/>
    <w:rsid w:val="004C11C3"/>
    <w:rsid w:val="004C11D0"/>
    <w:rsid w:val="004C124F"/>
    <w:rsid w:val="004C143A"/>
    <w:rsid w:val="004C1557"/>
    <w:rsid w:val="004C15EA"/>
    <w:rsid w:val="004C1636"/>
    <w:rsid w:val="004C180A"/>
    <w:rsid w:val="004C1810"/>
    <w:rsid w:val="004C190E"/>
    <w:rsid w:val="004C1AC0"/>
    <w:rsid w:val="004C1CB6"/>
    <w:rsid w:val="004C1D02"/>
    <w:rsid w:val="004C1D45"/>
    <w:rsid w:val="004C1DCE"/>
    <w:rsid w:val="004C1E2A"/>
    <w:rsid w:val="004C2014"/>
    <w:rsid w:val="004C20AD"/>
    <w:rsid w:val="004C2175"/>
    <w:rsid w:val="004C2367"/>
    <w:rsid w:val="004C23C6"/>
    <w:rsid w:val="004C2658"/>
    <w:rsid w:val="004C278A"/>
    <w:rsid w:val="004C27B6"/>
    <w:rsid w:val="004C27FF"/>
    <w:rsid w:val="004C2881"/>
    <w:rsid w:val="004C29C9"/>
    <w:rsid w:val="004C2E86"/>
    <w:rsid w:val="004C2F5B"/>
    <w:rsid w:val="004C30E4"/>
    <w:rsid w:val="004C32CD"/>
    <w:rsid w:val="004C330E"/>
    <w:rsid w:val="004C33C4"/>
    <w:rsid w:val="004C3605"/>
    <w:rsid w:val="004C3675"/>
    <w:rsid w:val="004C36E9"/>
    <w:rsid w:val="004C37A7"/>
    <w:rsid w:val="004C39C0"/>
    <w:rsid w:val="004C39F3"/>
    <w:rsid w:val="004C3A85"/>
    <w:rsid w:val="004C3E7C"/>
    <w:rsid w:val="004C3F1C"/>
    <w:rsid w:val="004C3F5B"/>
    <w:rsid w:val="004C3FCA"/>
    <w:rsid w:val="004C4049"/>
    <w:rsid w:val="004C4054"/>
    <w:rsid w:val="004C408F"/>
    <w:rsid w:val="004C40EA"/>
    <w:rsid w:val="004C4485"/>
    <w:rsid w:val="004C454B"/>
    <w:rsid w:val="004C456B"/>
    <w:rsid w:val="004C4603"/>
    <w:rsid w:val="004C47B3"/>
    <w:rsid w:val="004C480F"/>
    <w:rsid w:val="004C490A"/>
    <w:rsid w:val="004C4958"/>
    <w:rsid w:val="004C498E"/>
    <w:rsid w:val="004C49B2"/>
    <w:rsid w:val="004C49CF"/>
    <w:rsid w:val="004C4CEC"/>
    <w:rsid w:val="004C4D5F"/>
    <w:rsid w:val="004C4FF1"/>
    <w:rsid w:val="004C5022"/>
    <w:rsid w:val="004C5139"/>
    <w:rsid w:val="004C550D"/>
    <w:rsid w:val="004C553C"/>
    <w:rsid w:val="004C5579"/>
    <w:rsid w:val="004C5645"/>
    <w:rsid w:val="004C5799"/>
    <w:rsid w:val="004C59CA"/>
    <w:rsid w:val="004C5BD0"/>
    <w:rsid w:val="004C5D0C"/>
    <w:rsid w:val="004C5DEA"/>
    <w:rsid w:val="004C602E"/>
    <w:rsid w:val="004C6132"/>
    <w:rsid w:val="004C619A"/>
    <w:rsid w:val="004C621B"/>
    <w:rsid w:val="004C62AC"/>
    <w:rsid w:val="004C6457"/>
    <w:rsid w:val="004C6519"/>
    <w:rsid w:val="004C6538"/>
    <w:rsid w:val="004C65D9"/>
    <w:rsid w:val="004C67C0"/>
    <w:rsid w:val="004C6875"/>
    <w:rsid w:val="004C68AF"/>
    <w:rsid w:val="004C69F6"/>
    <w:rsid w:val="004C6A0E"/>
    <w:rsid w:val="004C6D98"/>
    <w:rsid w:val="004C6FBC"/>
    <w:rsid w:val="004C7047"/>
    <w:rsid w:val="004C7171"/>
    <w:rsid w:val="004C73DD"/>
    <w:rsid w:val="004C776F"/>
    <w:rsid w:val="004C78CE"/>
    <w:rsid w:val="004C7A36"/>
    <w:rsid w:val="004C7A8D"/>
    <w:rsid w:val="004C7AA5"/>
    <w:rsid w:val="004C7BC1"/>
    <w:rsid w:val="004C7D9B"/>
    <w:rsid w:val="004C7DF9"/>
    <w:rsid w:val="004D01D0"/>
    <w:rsid w:val="004D039F"/>
    <w:rsid w:val="004D03E5"/>
    <w:rsid w:val="004D045F"/>
    <w:rsid w:val="004D0A79"/>
    <w:rsid w:val="004D0A7E"/>
    <w:rsid w:val="004D0ACE"/>
    <w:rsid w:val="004D1232"/>
    <w:rsid w:val="004D1257"/>
    <w:rsid w:val="004D149D"/>
    <w:rsid w:val="004D1546"/>
    <w:rsid w:val="004D15F7"/>
    <w:rsid w:val="004D1680"/>
    <w:rsid w:val="004D1698"/>
    <w:rsid w:val="004D198B"/>
    <w:rsid w:val="004D19D2"/>
    <w:rsid w:val="004D1B01"/>
    <w:rsid w:val="004D1B64"/>
    <w:rsid w:val="004D1BCB"/>
    <w:rsid w:val="004D1D2B"/>
    <w:rsid w:val="004D1DEA"/>
    <w:rsid w:val="004D1FA2"/>
    <w:rsid w:val="004D2206"/>
    <w:rsid w:val="004D23B6"/>
    <w:rsid w:val="004D2541"/>
    <w:rsid w:val="004D25A5"/>
    <w:rsid w:val="004D2777"/>
    <w:rsid w:val="004D29BA"/>
    <w:rsid w:val="004D2A20"/>
    <w:rsid w:val="004D2D81"/>
    <w:rsid w:val="004D2D93"/>
    <w:rsid w:val="004D3108"/>
    <w:rsid w:val="004D3369"/>
    <w:rsid w:val="004D3389"/>
    <w:rsid w:val="004D3533"/>
    <w:rsid w:val="004D35E8"/>
    <w:rsid w:val="004D3666"/>
    <w:rsid w:val="004D3770"/>
    <w:rsid w:val="004D37D9"/>
    <w:rsid w:val="004D4070"/>
    <w:rsid w:val="004D414C"/>
    <w:rsid w:val="004D41C1"/>
    <w:rsid w:val="004D41EE"/>
    <w:rsid w:val="004D4436"/>
    <w:rsid w:val="004D44D1"/>
    <w:rsid w:val="004D483F"/>
    <w:rsid w:val="004D4920"/>
    <w:rsid w:val="004D492E"/>
    <w:rsid w:val="004D4955"/>
    <w:rsid w:val="004D4A7E"/>
    <w:rsid w:val="004D4AC5"/>
    <w:rsid w:val="004D4B43"/>
    <w:rsid w:val="004D4C0E"/>
    <w:rsid w:val="004D4EFB"/>
    <w:rsid w:val="004D4F3A"/>
    <w:rsid w:val="004D52D6"/>
    <w:rsid w:val="004D53A5"/>
    <w:rsid w:val="004D53F2"/>
    <w:rsid w:val="004D5558"/>
    <w:rsid w:val="004D5AED"/>
    <w:rsid w:val="004D5EE3"/>
    <w:rsid w:val="004D5F26"/>
    <w:rsid w:val="004D600D"/>
    <w:rsid w:val="004D6048"/>
    <w:rsid w:val="004D614C"/>
    <w:rsid w:val="004D6162"/>
    <w:rsid w:val="004D62D8"/>
    <w:rsid w:val="004D64F8"/>
    <w:rsid w:val="004D67B4"/>
    <w:rsid w:val="004D6959"/>
    <w:rsid w:val="004D69E7"/>
    <w:rsid w:val="004D6A2F"/>
    <w:rsid w:val="004D6BCB"/>
    <w:rsid w:val="004D6CB7"/>
    <w:rsid w:val="004D6E33"/>
    <w:rsid w:val="004D7135"/>
    <w:rsid w:val="004D72FF"/>
    <w:rsid w:val="004D7570"/>
    <w:rsid w:val="004D7735"/>
    <w:rsid w:val="004D7800"/>
    <w:rsid w:val="004D7B07"/>
    <w:rsid w:val="004D7B4C"/>
    <w:rsid w:val="004D7C18"/>
    <w:rsid w:val="004D7CE9"/>
    <w:rsid w:val="004D7D2E"/>
    <w:rsid w:val="004E009D"/>
    <w:rsid w:val="004E00D3"/>
    <w:rsid w:val="004E0251"/>
    <w:rsid w:val="004E0289"/>
    <w:rsid w:val="004E06DE"/>
    <w:rsid w:val="004E0BEA"/>
    <w:rsid w:val="004E0D37"/>
    <w:rsid w:val="004E10FD"/>
    <w:rsid w:val="004E12B6"/>
    <w:rsid w:val="004E1345"/>
    <w:rsid w:val="004E1A03"/>
    <w:rsid w:val="004E1D43"/>
    <w:rsid w:val="004E1DAE"/>
    <w:rsid w:val="004E1F91"/>
    <w:rsid w:val="004E204B"/>
    <w:rsid w:val="004E218B"/>
    <w:rsid w:val="004E218F"/>
    <w:rsid w:val="004E21C3"/>
    <w:rsid w:val="004E250C"/>
    <w:rsid w:val="004E2540"/>
    <w:rsid w:val="004E25A6"/>
    <w:rsid w:val="004E25CA"/>
    <w:rsid w:val="004E2675"/>
    <w:rsid w:val="004E29C1"/>
    <w:rsid w:val="004E2A31"/>
    <w:rsid w:val="004E2ADB"/>
    <w:rsid w:val="004E2D44"/>
    <w:rsid w:val="004E2DC2"/>
    <w:rsid w:val="004E30BB"/>
    <w:rsid w:val="004E30E2"/>
    <w:rsid w:val="004E33F8"/>
    <w:rsid w:val="004E345B"/>
    <w:rsid w:val="004E3475"/>
    <w:rsid w:val="004E3496"/>
    <w:rsid w:val="004E351D"/>
    <w:rsid w:val="004E3644"/>
    <w:rsid w:val="004E374A"/>
    <w:rsid w:val="004E38EB"/>
    <w:rsid w:val="004E3911"/>
    <w:rsid w:val="004E3932"/>
    <w:rsid w:val="004E39CF"/>
    <w:rsid w:val="004E3AC3"/>
    <w:rsid w:val="004E4224"/>
    <w:rsid w:val="004E4587"/>
    <w:rsid w:val="004E4803"/>
    <w:rsid w:val="004E48CB"/>
    <w:rsid w:val="004E49CB"/>
    <w:rsid w:val="004E4BEC"/>
    <w:rsid w:val="004E4D35"/>
    <w:rsid w:val="004E51BB"/>
    <w:rsid w:val="004E52D5"/>
    <w:rsid w:val="004E5425"/>
    <w:rsid w:val="004E546E"/>
    <w:rsid w:val="004E58AC"/>
    <w:rsid w:val="004E58FC"/>
    <w:rsid w:val="004E5CE2"/>
    <w:rsid w:val="004E5DAA"/>
    <w:rsid w:val="004E5EE5"/>
    <w:rsid w:val="004E5FC6"/>
    <w:rsid w:val="004E6203"/>
    <w:rsid w:val="004E6300"/>
    <w:rsid w:val="004E643A"/>
    <w:rsid w:val="004E66FF"/>
    <w:rsid w:val="004E67ED"/>
    <w:rsid w:val="004E67F5"/>
    <w:rsid w:val="004E6913"/>
    <w:rsid w:val="004E69A7"/>
    <w:rsid w:val="004E6C6A"/>
    <w:rsid w:val="004E6C9D"/>
    <w:rsid w:val="004E6E95"/>
    <w:rsid w:val="004E6E99"/>
    <w:rsid w:val="004E7154"/>
    <w:rsid w:val="004E7219"/>
    <w:rsid w:val="004E735B"/>
    <w:rsid w:val="004E7492"/>
    <w:rsid w:val="004E74C0"/>
    <w:rsid w:val="004E7681"/>
    <w:rsid w:val="004E78B2"/>
    <w:rsid w:val="004E796C"/>
    <w:rsid w:val="004E7B89"/>
    <w:rsid w:val="004E7CA2"/>
    <w:rsid w:val="004E7E40"/>
    <w:rsid w:val="004E7ED0"/>
    <w:rsid w:val="004E7F10"/>
    <w:rsid w:val="004E7FD1"/>
    <w:rsid w:val="004F02E4"/>
    <w:rsid w:val="004F0324"/>
    <w:rsid w:val="004F0420"/>
    <w:rsid w:val="004F0532"/>
    <w:rsid w:val="004F0727"/>
    <w:rsid w:val="004F075F"/>
    <w:rsid w:val="004F086C"/>
    <w:rsid w:val="004F08B9"/>
    <w:rsid w:val="004F0A83"/>
    <w:rsid w:val="004F0CF9"/>
    <w:rsid w:val="004F0DCA"/>
    <w:rsid w:val="004F0EF1"/>
    <w:rsid w:val="004F0F9C"/>
    <w:rsid w:val="004F1045"/>
    <w:rsid w:val="004F11AB"/>
    <w:rsid w:val="004F148D"/>
    <w:rsid w:val="004F14E1"/>
    <w:rsid w:val="004F14F3"/>
    <w:rsid w:val="004F1564"/>
    <w:rsid w:val="004F16D9"/>
    <w:rsid w:val="004F1996"/>
    <w:rsid w:val="004F19AC"/>
    <w:rsid w:val="004F1A80"/>
    <w:rsid w:val="004F1C70"/>
    <w:rsid w:val="004F1CA6"/>
    <w:rsid w:val="004F1F19"/>
    <w:rsid w:val="004F1FB0"/>
    <w:rsid w:val="004F22CB"/>
    <w:rsid w:val="004F2306"/>
    <w:rsid w:val="004F2365"/>
    <w:rsid w:val="004F24D7"/>
    <w:rsid w:val="004F24E2"/>
    <w:rsid w:val="004F2540"/>
    <w:rsid w:val="004F2829"/>
    <w:rsid w:val="004F2C83"/>
    <w:rsid w:val="004F2E75"/>
    <w:rsid w:val="004F2F6A"/>
    <w:rsid w:val="004F32DB"/>
    <w:rsid w:val="004F35AE"/>
    <w:rsid w:val="004F35E5"/>
    <w:rsid w:val="004F3C5B"/>
    <w:rsid w:val="004F3CA7"/>
    <w:rsid w:val="004F3CDA"/>
    <w:rsid w:val="004F3E65"/>
    <w:rsid w:val="004F3EB7"/>
    <w:rsid w:val="004F4007"/>
    <w:rsid w:val="004F4188"/>
    <w:rsid w:val="004F4219"/>
    <w:rsid w:val="004F4265"/>
    <w:rsid w:val="004F4537"/>
    <w:rsid w:val="004F46D5"/>
    <w:rsid w:val="004F46F0"/>
    <w:rsid w:val="004F4B6F"/>
    <w:rsid w:val="004F4BAD"/>
    <w:rsid w:val="004F4D80"/>
    <w:rsid w:val="004F4E33"/>
    <w:rsid w:val="004F4FF9"/>
    <w:rsid w:val="004F5000"/>
    <w:rsid w:val="004F5040"/>
    <w:rsid w:val="004F5195"/>
    <w:rsid w:val="004F525E"/>
    <w:rsid w:val="004F5383"/>
    <w:rsid w:val="004F55AE"/>
    <w:rsid w:val="004F5640"/>
    <w:rsid w:val="004F59B6"/>
    <w:rsid w:val="004F5BD6"/>
    <w:rsid w:val="004F5F1B"/>
    <w:rsid w:val="004F5F89"/>
    <w:rsid w:val="004F60B2"/>
    <w:rsid w:val="004F60D9"/>
    <w:rsid w:val="004F60EC"/>
    <w:rsid w:val="004F61CA"/>
    <w:rsid w:val="004F63A7"/>
    <w:rsid w:val="004F6475"/>
    <w:rsid w:val="004F65EA"/>
    <w:rsid w:val="004F6686"/>
    <w:rsid w:val="004F6B28"/>
    <w:rsid w:val="004F6B5A"/>
    <w:rsid w:val="004F6BD3"/>
    <w:rsid w:val="004F6D4F"/>
    <w:rsid w:val="004F7256"/>
    <w:rsid w:val="004F744A"/>
    <w:rsid w:val="004F747E"/>
    <w:rsid w:val="004F74FE"/>
    <w:rsid w:val="004F756C"/>
    <w:rsid w:val="004F75B5"/>
    <w:rsid w:val="004F7706"/>
    <w:rsid w:val="004F77E5"/>
    <w:rsid w:val="004F78CF"/>
    <w:rsid w:val="004F7902"/>
    <w:rsid w:val="004F7DF3"/>
    <w:rsid w:val="004F7FBE"/>
    <w:rsid w:val="0050001C"/>
    <w:rsid w:val="00500177"/>
    <w:rsid w:val="0050057B"/>
    <w:rsid w:val="00500635"/>
    <w:rsid w:val="00500974"/>
    <w:rsid w:val="005009BA"/>
    <w:rsid w:val="00500C77"/>
    <w:rsid w:val="00500CD0"/>
    <w:rsid w:val="005010EB"/>
    <w:rsid w:val="0050121E"/>
    <w:rsid w:val="00501484"/>
    <w:rsid w:val="005016B4"/>
    <w:rsid w:val="00501836"/>
    <w:rsid w:val="00501A54"/>
    <w:rsid w:val="00501BCD"/>
    <w:rsid w:val="00501CD3"/>
    <w:rsid w:val="00501EF5"/>
    <w:rsid w:val="00501EF8"/>
    <w:rsid w:val="00501EFC"/>
    <w:rsid w:val="0050206A"/>
    <w:rsid w:val="0050214A"/>
    <w:rsid w:val="005022A8"/>
    <w:rsid w:val="0050233A"/>
    <w:rsid w:val="00502396"/>
    <w:rsid w:val="00502410"/>
    <w:rsid w:val="00502435"/>
    <w:rsid w:val="005025F6"/>
    <w:rsid w:val="005026BF"/>
    <w:rsid w:val="0050287D"/>
    <w:rsid w:val="00502D28"/>
    <w:rsid w:val="00502E4A"/>
    <w:rsid w:val="00502FA2"/>
    <w:rsid w:val="00502FEB"/>
    <w:rsid w:val="0050340A"/>
    <w:rsid w:val="00503480"/>
    <w:rsid w:val="00503669"/>
    <w:rsid w:val="00503733"/>
    <w:rsid w:val="0050376E"/>
    <w:rsid w:val="005039BC"/>
    <w:rsid w:val="00503BFB"/>
    <w:rsid w:val="00503C63"/>
    <w:rsid w:val="00503D5B"/>
    <w:rsid w:val="00503F40"/>
    <w:rsid w:val="00503F67"/>
    <w:rsid w:val="00504087"/>
    <w:rsid w:val="00504183"/>
    <w:rsid w:val="0050468A"/>
    <w:rsid w:val="005046E4"/>
    <w:rsid w:val="005046E5"/>
    <w:rsid w:val="00504744"/>
    <w:rsid w:val="00504771"/>
    <w:rsid w:val="00504DC9"/>
    <w:rsid w:val="00504E6E"/>
    <w:rsid w:val="005053A3"/>
    <w:rsid w:val="005053CF"/>
    <w:rsid w:val="00505499"/>
    <w:rsid w:val="005056B9"/>
    <w:rsid w:val="005059C8"/>
    <w:rsid w:val="00505D73"/>
    <w:rsid w:val="00505E4C"/>
    <w:rsid w:val="005060E8"/>
    <w:rsid w:val="005063C8"/>
    <w:rsid w:val="00506659"/>
    <w:rsid w:val="005066D8"/>
    <w:rsid w:val="00506AD4"/>
    <w:rsid w:val="00506BB4"/>
    <w:rsid w:val="00506C2A"/>
    <w:rsid w:val="00506D17"/>
    <w:rsid w:val="00506DEE"/>
    <w:rsid w:val="0050790F"/>
    <w:rsid w:val="00507916"/>
    <w:rsid w:val="00507D3E"/>
    <w:rsid w:val="00507FDC"/>
    <w:rsid w:val="0051008B"/>
    <w:rsid w:val="00510343"/>
    <w:rsid w:val="005104FA"/>
    <w:rsid w:val="0051057D"/>
    <w:rsid w:val="00510710"/>
    <w:rsid w:val="0051076B"/>
    <w:rsid w:val="005107D2"/>
    <w:rsid w:val="005107DD"/>
    <w:rsid w:val="005109AA"/>
    <w:rsid w:val="00510C76"/>
    <w:rsid w:val="00510C81"/>
    <w:rsid w:val="00510F88"/>
    <w:rsid w:val="0051136B"/>
    <w:rsid w:val="005114AE"/>
    <w:rsid w:val="005114B4"/>
    <w:rsid w:val="005114E6"/>
    <w:rsid w:val="0051163C"/>
    <w:rsid w:val="00511648"/>
    <w:rsid w:val="005117ED"/>
    <w:rsid w:val="0051186A"/>
    <w:rsid w:val="0051193F"/>
    <w:rsid w:val="00511A8E"/>
    <w:rsid w:val="00511AF4"/>
    <w:rsid w:val="00511E64"/>
    <w:rsid w:val="00511E8E"/>
    <w:rsid w:val="0051213C"/>
    <w:rsid w:val="0051253B"/>
    <w:rsid w:val="0051253F"/>
    <w:rsid w:val="005125A4"/>
    <w:rsid w:val="00512698"/>
    <w:rsid w:val="00512768"/>
    <w:rsid w:val="005127AB"/>
    <w:rsid w:val="00512ABF"/>
    <w:rsid w:val="00512BBF"/>
    <w:rsid w:val="00512C4B"/>
    <w:rsid w:val="00512FF5"/>
    <w:rsid w:val="00513194"/>
    <w:rsid w:val="005138F4"/>
    <w:rsid w:val="00513944"/>
    <w:rsid w:val="005139C1"/>
    <w:rsid w:val="00513A74"/>
    <w:rsid w:val="00513A7E"/>
    <w:rsid w:val="00513ACC"/>
    <w:rsid w:val="00513E14"/>
    <w:rsid w:val="00513E36"/>
    <w:rsid w:val="00513E87"/>
    <w:rsid w:val="00513E89"/>
    <w:rsid w:val="00514061"/>
    <w:rsid w:val="005140E1"/>
    <w:rsid w:val="005141F9"/>
    <w:rsid w:val="005142BB"/>
    <w:rsid w:val="005143D9"/>
    <w:rsid w:val="00514760"/>
    <w:rsid w:val="0051477F"/>
    <w:rsid w:val="00514939"/>
    <w:rsid w:val="00514A5E"/>
    <w:rsid w:val="00514B70"/>
    <w:rsid w:val="00514D7C"/>
    <w:rsid w:val="005151BE"/>
    <w:rsid w:val="005153DA"/>
    <w:rsid w:val="005154C1"/>
    <w:rsid w:val="00515523"/>
    <w:rsid w:val="00515556"/>
    <w:rsid w:val="0051557C"/>
    <w:rsid w:val="00515706"/>
    <w:rsid w:val="0051585E"/>
    <w:rsid w:val="00515958"/>
    <w:rsid w:val="005159CD"/>
    <w:rsid w:val="00515B54"/>
    <w:rsid w:val="00515B73"/>
    <w:rsid w:val="00515BBF"/>
    <w:rsid w:val="00515F13"/>
    <w:rsid w:val="005162AB"/>
    <w:rsid w:val="00516487"/>
    <w:rsid w:val="005166D3"/>
    <w:rsid w:val="00516794"/>
    <w:rsid w:val="00516821"/>
    <w:rsid w:val="005168A2"/>
    <w:rsid w:val="00516B37"/>
    <w:rsid w:val="00516BE8"/>
    <w:rsid w:val="00516BEE"/>
    <w:rsid w:val="00516C04"/>
    <w:rsid w:val="00516DE0"/>
    <w:rsid w:val="00516EDA"/>
    <w:rsid w:val="0051704E"/>
    <w:rsid w:val="0051719C"/>
    <w:rsid w:val="005171B0"/>
    <w:rsid w:val="00517593"/>
    <w:rsid w:val="005175AC"/>
    <w:rsid w:val="0051761A"/>
    <w:rsid w:val="0051771C"/>
    <w:rsid w:val="0051771F"/>
    <w:rsid w:val="005177A7"/>
    <w:rsid w:val="00517C7B"/>
    <w:rsid w:val="00517CC3"/>
    <w:rsid w:val="00517E6F"/>
    <w:rsid w:val="00517EB5"/>
    <w:rsid w:val="00517EE8"/>
    <w:rsid w:val="00520062"/>
    <w:rsid w:val="005202A2"/>
    <w:rsid w:val="0052094A"/>
    <w:rsid w:val="00520B78"/>
    <w:rsid w:val="00520D78"/>
    <w:rsid w:val="00520DD6"/>
    <w:rsid w:val="00520E33"/>
    <w:rsid w:val="00520F0D"/>
    <w:rsid w:val="00520FFC"/>
    <w:rsid w:val="00521122"/>
    <w:rsid w:val="0052115E"/>
    <w:rsid w:val="00521172"/>
    <w:rsid w:val="00521210"/>
    <w:rsid w:val="005212DE"/>
    <w:rsid w:val="0052132F"/>
    <w:rsid w:val="0052148E"/>
    <w:rsid w:val="00521584"/>
    <w:rsid w:val="0052166A"/>
    <w:rsid w:val="005216AF"/>
    <w:rsid w:val="005216D6"/>
    <w:rsid w:val="00521863"/>
    <w:rsid w:val="00521D3B"/>
    <w:rsid w:val="00521FBA"/>
    <w:rsid w:val="00521FD6"/>
    <w:rsid w:val="00522580"/>
    <w:rsid w:val="0052292B"/>
    <w:rsid w:val="00522972"/>
    <w:rsid w:val="0052299B"/>
    <w:rsid w:val="00522B47"/>
    <w:rsid w:val="00522C81"/>
    <w:rsid w:val="00522D1E"/>
    <w:rsid w:val="00522F28"/>
    <w:rsid w:val="005231BF"/>
    <w:rsid w:val="005232B3"/>
    <w:rsid w:val="005232CD"/>
    <w:rsid w:val="00523394"/>
    <w:rsid w:val="005233A0"/>
    <w:rsid w:val="005233F7"/>
    <w:rsid w:val="00523506"/>
    <w:rsid w:val="0052351B"/>
    <w:rsid w:val="005237C9"/>
    <w:rsid w:val="005238B5"/>
    <w:rsid w:val="005239B1"/>
    <w:rsid w:val="00523A0B"/>
    <w:rsid w:val="00523B04"/>
    <w:rsid w:val="00523DD7"/>
    <w:rsid w:val="00523E60"/>
    <w:rsid w:val="00523E88"/>
    <w:rsid w:val="00523F0F"/>
    <w:rsid w:val="005243A9"/>
    <w:rsid w:val="00524701"/>
    <w:rsid w:val="005247F6"/>
    <w:rsid w:val="005249FD"/>
    <w:rsid w:val="00524A16"/>
    <w:rsid w:val="00524B2A"/>
    <w:rsid w:val="00524DFC"/>
    <w:rsid w:val="00524E47"/>
    <w:rsid w:val="00524F63"/>
    <w:rsid w:val="00524FA5"/>
    <w:rsid w:val="00524FB7"/>
    <w:rsid w:val="00524FCA"/>
    <w:rsid w:val="005250A6"/>
    <w:rsid w:val="005250AA"/>
    <w:rsid w:val="00525379"/>
    <w:rsid w:val="0052546D"/>
    <w:rsid w:val="005254F6"/>
    <w:rsid w:val="005255DE"/>
    <w:rsid w:val="005255FB"/>
    <w:rsid w:val="005256E1"/>
    <w:rsid w:val="0052572D"/>
    <w:rsid w:val="00525916"/>
    <w:rsid w:val="00525A21"/>
    <w:rsid w:val="00525C4B"/>
    <w:rsid w:val="00525D90"/>
    <w:rsid w:val="00525EC8"/>
    <w:rsid w:val="00525F65"/>
    <w:rsid w:val="005260AD"/>
    <w:rsid w:val="00526486"/>
    <w:rsid w:val="0052648F"/>
    <w:rsid w:val="005267EB"/>
    <w:rsid w:val="00526842"/>
    <w:rsid w:val="00526A4D"/>
    <w:rsid w:val="00526A76"/>
    <w:rsid w:val="00526AE3"/>
    <w:rsid w:val="00526C0B"/>
    <w:rsid w:val="00526CA6"/>
    <w:rsid w:val="00526DC5"/>
    <w:rsid w:val="00526E7C"/>
    <w:rsid w:val="00526F3A"/>
    <w:rsid w:val="005270DF"/>
    <w:rsid w:val="00527130"/>
    <w:rsid w:val="00527496"/>
    <w:rsid w:val="00527711"/>
    <w:rsid w:val="005277E3"/>
    <w:rsid w:val="00527814"/>
    <w:rsid w:val="0052787C"/>
    <w:rsid w:val="005278D3"/>
    <w:rsid w:val="005278F4"/>
    <w:rsid w:val="005279E7"/>
    <w:rsid w:val="00527C45"/>
    <w:rsid w:val="00527EB6"/>
    <w:rsid w:val="00527FE1"/>
    <w:rsid w:val="0053007B"/>
    <w:rsid w:val="00530463"/>
    <w:rsid w:val="005304C4"/>
    <w:rsid w:val="005305D5"/>
    <w:rsid w:val="005306DD"/>
    <w:rsid w:val="00530756"/>
    <w:rsid w:val="00530A82"/>
    <w:rsid w:val="00530ACF"/>
    <w:rsid w:val="00530B34"/>
    <w:rsid w:val="00530B95"/>
    <w:rsid w:val="00530D30"/>
    <w:rsid w:val="00530EA3"/>
    <w:rsid w:val="00530F3F"/>
    <w:rsid w:val="00530F60"/>
    <w:rsid w:val="00531191"/>
    <w:rsid w:val="005311A9"/>
    <w:rsid w:val="00531291"/>
    <w:rsid w:val="005314F0"/>
    <w:rsid w:val="00531B4A"/>
    <w:rsid w:val="00531D9F"/>
    <w:rsid w:val="00531FED"/>
    <w:rsid w:val="00532655"/>
    <w:rsid w:val="00532BB4"/>
    <w:rsid w:val="00533049"/>
    <w:rsid w:val="0053320E"/>
    <w:rsid w:val="005337DC"/>
    <w:rsid w:val="00533911"/>
    <w:rsid w:val="00533AA4"/>
    <w:rsid w:val="00533F2E"/>
    <w:rsid w:val="00534281"/>
    <w:rsid w:val="0053429E"/>
    <w:rsid w:val="005342A2"/>
    <w:rsid w:val="00534522"/>
    <w:rsid w:val="005346CF"/>
    <w:rsid w:val="005346E6"/>
    <w:rsid w:val="005346EA"/>
    <w:rsid w:val="00534779"/>
    <w:rsid w:val="005348D8"/>
    <w:rsid w:val="00534AA2"/>
    <w:rsid w:val="00534AA3"/>
    <w:rsid w:val="00534B39"/>
    <w:rsid w:val="00534D09"/>
    <w:rsid w:val="0053518D"/>
    <w:rsid w:val="00535354"/>
    <w:rsid w:val="00535497"/>
    <w:rsid w:val="005355C0"/>
    <w:rsid w:val="005356E0"/>
    <w:rsid w:val="00535827"/>
    <w:rsid w:val="005358A7"/>
    <w:rsid w:val="005359AD"/>
    <w:rsid w:val="00535A22"/>
    <w:rsid w:val="0053612B"/>
    <w:rsid w:val="00536252"/>
    <w:rsid w:val="0053636A"/>
    <w:rsid w:val="00536399"/>
    <w:rsid w:val="00536626"/>
    <w:rsid w:val="00536769"/>
    <w:rsid w:val="00536975"/>
    <w:rsid w:val="00536B84"/>
    <w:rsid w:val="00536CC2"/>
    <w:rsid w:val="00536D6C"/>
    <w:rsid w:val="00536ED7"/>
    <w:rsid w:val="00536FD9"/>
    <w:rsid w:val="00537020"/>
    <w:rsid w:val="00537481"/>
    <w:rsid w:val="005375D5"/>
    <w:rsid w:val="00537605"/>
    <w:rsid w:val="00537695"/>
    <w:rsid w:val="0053795B"/>
    <w:rsid w:val="005379E9"/>
    <w:rsid w:val="00537EA3"/>
    <w:rsid w:val="0054006D"/>
    <w:rsid w:val="005400EA"/>
    <w:rsid w:val="0054011D"/>
    <w:rsid w:val="005401FF"/>
    <w:rsid w:val="00540445"/>
    <w:rsid w:val="00540614"/>
    <w:rsid w:val="00540789"/>
    <w:rsid w:val="005408AA"/>
    <w:rsid w:val="00540A54"/>
    <w:rsid w:val="00540DCC"/>
    <w:rsid w:val="00541082"/>
    <w:rsid w:val="00541144"/>
    <w:rsid w:val="00541146"/>
    <w:rsid w:val="00541168"/>
    <w:rsid w:val="00541196"/>
    <w:rsid w:val="005412E4"/>
    <w:rsid w:val="0054136B"/>
    <w:rsid w:val="00541438"/>
    <w:rsid w:val="00541464"/>
    <w:rsid w:val="0054176F"/>
    <w:rsid w:val="00541846"/>
    <w:rsid w:val="005419E8"/>
    <w:rsid w:val="00541B5C"/>
    <w:rsid w:val="00541DB9"/>
    <w:rsid w:val="00541F7A"/>
    <w:rsid w:val="00542036"/>
    <w:rsid w:val="0054215D"/>
    <w:rsid w:val="005421FF"/>
    <w:rsid w:val="00542249"/>
    <w:rsid w:val="005423A4"/>
    <w:rsid w:val="005425DD"/>
    <w:rsid w:val="00542715"/>
    <w:rsid w:val="00542814"/>
    <w:rsid w:val="00542901"/>
    <w:rsid w:val="00542AB7"/>
    <w:rsid w:val="00542B97"/>
    <w:rsid w:val="00542C7E"/>
    <w:rsid w:val="00542DE5"/>
    <w:rsid w:val="00543045"/>
    <w:rsid w:val="00543048"/>
    <w:rsid w:val="005431FB"/>
    <w:rsid w:val="00543316"/>
    <w:rsid w:val="0054340E"/>
    <w:rsid w:val="005434F3"/>
    <w:rsid w:val="00543600"/>
    <w:rsid w:val="00543773"/>
    <w:rsid w:val="005438E6"/>
    <w:rsid w:val="00543C71"/>
    <w:rsid w:val="00543D5A"/>
    <w:rsid w:val="00543DE8"/>
    <w:rsid w:val="00544065"/>
    <w:rsid w:val="00544254"/>
    <w:rsid w:val="00544377"/>
    <w:rsid w:val="0054444B"/>
    <w:rsid w:val="0054449F"/>
    <w:rsid w:val="005444B9"/>
    <w:rsid w:val="005445EC"/>
    <w:rsid w:val="00544608"/>
    <w:rsid w:val="00544701"/>
    <w:rsid w:val="005448BE"/>
    <w:rsid w:val="00544A76"/>
    <w:rsid w:val="00544B0B"/>
    <w:rsid w:val="00544BD1"/>
    <w:rsid w:val="00544C6E"/>
    <w:rsid w:val="00544D12"/>
    <w:rsid w:val="00544F79"/>
    <w:rsid w:val="00544FEF"/>
    <w:rsid w:val="00545065"/>
    <w:rsid w:val="00545302"/>
    <w:rsid w:val="00545354"/>
    <w:rsid w:val="00545385"/>
    <w:rsid w:val="00545473"/>
    <w:rsid w:val="0054562B"/>
    <w:rsid w:val="0054568D"/>
    <w:rsid w:val="005456C6"/>
    <w:rsid w:val="00545A04"/>
    <w:rsid w:val="00545A10"/>
    <w:rsid w:val="00545CC2"/>
    <w:rsid w:val="00545D09"/>
    <w:rsid w:val="00545D5F"/>
    <w:rsid w:val="00545DB8"/>
    <w:rsid w:val="00545F3A"/>
    <w:rsid w:val="00545F98"/>
    <w:rsid w:val="00546089"/>
    <w:rsid w:val="005461F2"/>
    <w:rsid w:val="00546221"/>
    <w:rsid w:val="00546238"/>
    <w:rsid w:val="00546309"/>
    <w:rsid w:val="00546327"/>
    <w:rsid w:val="005463F4"/>
    <w:rsid w:val="00546701"/>
    <w:rsid w:val="005467ED"/>
    <w:rsid w:val="00546C7D"/>
    <w:rsid w:val="00546E22"/>
    <w:rsid w:val="00546F1C"/>
    <w:rsid w:val="00547339"/>
    <w:rsid w:val="0054761E"/>
    <w:rsid w:val="00547666"/>
    <w:rsid w:val="005479E2"/>
    <w:rsid w:val="00547AE4"/>
    <w:rsid w:val="00547B24"/>
    <w:rsid w:val="00547BFF"/>
    <w:rsid w:val="00547D3F"/>
    <w:rsid w:val="00547D6A"/>
    <w:rsid w:val="00547EFE"/>
    <w:rsid w:val="00547F0F"/>
    <w:rsid w:val="00550012"/>
    <w:rsid w:val="0055027F"/>
    <w:rsid w:val="00550297"/>
    <w:rsid w:val="005502FB"/>
    <w:rsid w:val="00550312"/>
    <w:rsid w:val="00550588"/>
    <w:rsid w:val="00550795"/>
    <w:rsid w:val="00550B89"/>
    <w:rsid w:val="00550DC2"/>
    <w:rsid w:val="0055106E"/>
    <w:rsid w:val="00551418"/>
    <w:rsid w:val="00551434"/>
    <w:rsid w:val="00551479"/>
    <w:rsid w:val="00551516"/>
    <w:rsid w:val="0055159E"/>
    <w:rsid w:val="005516B7"/>
    <w:rsid w:val="00551759"/>
    <w:rsid w:val="005518A5"/>
    <w:rsid w:val="00551B5C"/>
    <w:rsid w:val="00551BE8"/>
    <w:rsid w:val="00551D68"/>
    <w:rsid w:val="00551FC2"/>
    <w:rsid w:val="0055209C"/>
    <w:rsid w:val="0055211D"/>
    <w:rsid w:val="00552271"/>
    <w:rsid w:val="005524EB"/>
    <w:rsid w:val="005527C6"/>
    <w:rsid w:val="005527F0"/>
    <w:rsid w:val="00552899"/>
    <w:rsid w:val="00552A11"/>
    <w:rsid w:val="00552AAF"/>
    <w:rsid w:val="00552B7D"/>
    <w:rsid w:val="00552C95"/>
    <w:rsid w:val="00552D1A"/>
    <w:rsid w:val="00552F47"/>
    <w:rsid w:val="00553066"/>
    <w:rsid w:val="00553076"/>
    <w:rsid w:val="0055322C"/>
    <w:rsid w:val="005533CA"/>
    <w:rsid w:val="005535B8"/>
    <w:rsid w:val="005538F2"/>
    <w:rsid w:val="00553A10"/>
    <w:rsid w:val="00553C25"/>
    <w:rsid w:val="00553D21"/>
    <w:rsid w:val="00553F97"/>
    <w:rsid w:val="00554022"/>
    <w:rsid w:val="005544C7"/>
    <w:rsid w:val="005547C5"/>
    <w:rsid w:val="00554829"/>
    <w:rsid w:val="00554AD9"/>
    <w:rsid w:val="00554B66"/>
    <w:rsid w:val="00554CE7"/>
    <w:rsid w:val="00554D34"/>
    <w:rsid w:val="00554D81"/>
    <w:rsid w:val="00554DF2"/>
    <w:rsid w:val="00554E9F"/>
    <w:rsid w:val="00554EAC"/>
    <w:rsid w:val="00554F1D"/>
    <w:rsid w:val="00554FD5"/>
    <w:rsid w:val="00555146"/>
    <w:rsid w:val="0055514F"/>
    <w:rsid w:val="005551B0"/>
    <w:rsid w:val="005551BA"/>
    <w:rsid w:val="005553C7"/>
    <w:rsid w:val="00555548"/>
    <w:rsid w:val="00555619"/>
    <w:rsid w:val="005557A8"/>
    <w:rsid w:val="005559E5"/>
    <w:rsid w:val="00555A20"/>
    <w:rsid w:val="00555D6E"/>
    <w:rsid w:val="00555D86"/>
    <w:rsid w:val="0055614A"/>
    <w:rsid w:val="0055617D"/>
    <w:rsid w:val="005561A9"/>
    <w:rsid w:val="0055641A"/>
    <w:rsid w:val="00556708"/>
    <w:rsid w:val="00556798"/>
    <w:rsid w:val="00556B6A"/>
    <w:rsid w:val="00556B8B"/>
    <w:rsid w:val="00556BF1"/>
    <w:rsid w:val="00556C9C"/>
    <w:rsid w:val="00556CB8"/>
    <w:rsid w:val="00556F1C"/>
    <w:rsid w:val="00557107"/>
    <w:rsid w:val="00557153"/>
    <w:rsid w:val="0055725A"/>
    <w:rsid w:val="005572C3"/>
    <w:rsid w:val="00557396"/>
    <w:rsid w:val="00557620"/>
    <w:rsid w:val="005577D9"/>
    <w:rsid w:val="005578F0"/>
    <w:rsid w:val="005579EC"/>
    <w:rsid w:val="005579F3"/>
    <w:rsid w:val="00557A2F"/>
    <w:rsid w:val="00557A32"/>
    <w:rsid w:val="00557A59"/>
    <w:rsid w:val="00557B55"/>
    <w:rsid w:val="00557CDE"/>
    <w:rsid w:val="00557D8C"/>
    <w:rsid w:val="00557F3D"/>
    <w:rsid w:val="00560005"/>
    <w:rsid w:val="00560054"/>
    <w:rsid w:val="005601D0"/>
    <w:rsid w:val="005601EF"/>
    <w:rsid w:val="005601FB"/>
    <w:rsid w:val="00560215"/>
    <w:rsid w:val="00560341"/>
    <w:rsid w:val="005603DB"/>
    <w:rsid w:val="005606DC"/>
    <w:rsid w:val="00560925"/>
    <w:rsid w:val="00560BF4"/>
    <w:rsid w:val="00560C51"/>
    <w:rsid w:val="00560CE0"/>
    <w:rsid w:val="00560D2C"/>
    <w:rsid w:val="00560DD7"/>
    <w:rsid w:val="00561100"/>
    <w:rsid w:val="0056120C"/>
    <w:rsid w:val="005614B1"/>
    <w:rsid w:val="0056151F"/>
    <w:rsid w:val="005616AB"/>
    <w:rsid w:val="00561722"/>
    <w:rsid w:val="00561837"/>
    <w:rsid w:val="00561879"/>
    <w:rsid w:val="005619E8"/>
    <w:rsid w:val="005619F7"/>
    <w:rsid w:val="00561AF8"/>
    <w:rsid w:val="00561BFD"/>
    <w:rsid w:val="00561DA8"/>
    <w:rsid w:val="00561DA9"/>
    <w:rsid w:val="0056214E"/>
    <w:rsid w:val="0056218F"/>
    <w:rsid w:val="005624A4"/>
    <w:rsid w:val="0056261B"/>
    <w:rsid w:val="005626DE"/>
    <w:rsid w:val="00562766"/>
    <w:rsid w:val="005627A4"/>
    <w:rsid w:val="005627BF"/>
    <w:rsid w:val="005629FD"/>
    <w:rsid w:val="00562A1E"/>
    <w:rsid w:val="00562B3D"/>
    <w:rsid w:val="00562C59"/>
    <w:rsid w:val="00562CB2"/>
    <w:rsid w:val="00562E36"/>
    <w:rsid w:val="00563160"/>
    <w:rsid w:val="005631C9"/>
    <w:rsid w:val="005631DE"/>
    <w:rsid w:val="00563242"/>
    <w:rsid w:val="00563281"/>
    <w:rsid w:val="005632C3"/>
    <w:rsid w:val="00563369"/>
    <w:rsid w:val="005633E1"/>
    <w:rsid w:val="00563629"/>
    <w:rsid w:val="005637DE"/>
    <w:rsid w:val="00563833"/>
    <w:rsid w:val="005638EA"/>
    <w:rsid w:val="00563B2D"/>
    <w:rsid w:val="00563B2F"/>
    <w:rsid w:val="00563CD8"/>
    <w:rsid w:val="00563CDC"/>
    <w:rsid w:val="005640BF"/>
    <w:rsid w:val="0056415C"/>
    <w:rsid w:val="005643A0"/>
    <w:rsid w:val="00564653"/>
    <w:rsid w:val="00564715"/>
    <w:rsid w:val="00564917"/>
    <w:rsid w:val="0056497B"/>
    <w:rsid w:val="00564DBE"/>
    <w:rsid w:val="00564FFA"/>
    <w:rsid w:val="00564FFC"/>
    <w:rsid w:val="0056521D"/>
    <w:rsid w:val="00565611"/>
    <w:rsid w:val="00565787"/>
    <w:rsid w:val="005659C3"/>
    <w:rsid w:val="00565A7F"/>
    <w:rsid w:val="00565CA3"/>
    <w:rsid w:val="00565D49"/>
    <w:rsid w:val="00565DBD"/>
    <w:rsid w:val="00565DF3"/>
    <w:rsid w:val="00565F24"/>
    <w:rsid w:val="00565F2B"/>
    <w:rsid w:val="00565FFD"/>
    <w:rsid w:val="00566278"/>
    <w:rsid w:val="005663A2"/>
    <w:rsid w:val="005663DE"/>
    <w:rsid w:val="005669CB"/>
    <w:rsid w:val="00566D78"/>
    <w:rsid w:val="00566FC8"/>
    <w:rsid w:val="00567099"/>
    <w:rsid w:val="00567136"/>
    <w:rsid w:val="0056714D"/>
    <w:rsid w:val="005673F9"/>
    <w:rsid w:val="0056740A"/>
    <w:rsid w:val="00567547"/>
    <w:rsid w:val="005676ED"/>
    <w:rsid w:val="005677A9"/>
    <w:rsid w:val="00567827"/>
    <w:rsid w:val="00567949"/>
    <w:rsid w:val="005679BB"/>
    <w:rsid w:val="005679BE"/>
    <w:rsid w:val="00567C47"/>
    <w:rsid w:val="00567CC0"/>
    <w:rsid w:val="00567D63"/>
    <w:rsid w:val="00567D81"/>
    <w:rsid w:val="00567F16"/>
    <w:rsid w:val="00567FC1"/>
    <w:rsid w:val="005700B5"/>
    <w:rsid w:val="005702E6"/>
    <w:rsid w:val="00570412"/>
    <w:rsid w:val="00570759"/>
    <w:rsid w:val="005707FB"/>
    <w:rsid w:val="005709B0"/>
    <w:rsid w:val="005709B4"/>
    <w:rsid w:val="00570B38"/>
    <w:rsid w:val="00570E4B"/>
    <w:rsid w:val="005713E8"/>
    <w:rsid w:val="005713F5"/>
    <w:rsid w:val="00571477"/>
    <w:rsid w:val="00571520"/>
    <w:rsid w:val="005715B7"/>
    <w:rsid w:val="00571778"/>
    <w:rsid w:val="005717AB"/>
    <w:rsid w:val="005717D6"/>
    <w:rsid w:val="005718CF"/>
    <w:rsid w:val="005718D1"/>
    <w:rsid w:val="00571AF5"/>
    <w:rsid w:val="00571B2D"/>
    <w:rsid w:val="00571D6D"/>
    <w:rsid w:val="00571DFD"/>
    <w:rsid w:val="00571E69"/>
    <w:rsid w:val="00571E89"/>
    <w:rsid w:val="00571F36"/>
    <w:rsid w:val="00571F4B"/>
    <w:rsid w:val="00572157"/>
    <w:rsid w:val="005722B7"/>
    <w:rsid w:val="0057243A"/>
    <w:rsid w:val="0057244F"/>
    <w:rsid w:val="005725C9"/>
    <w:rsid w:val="005726FE"/>
    <w:rsid w:val="0057270A"/>
    <w:rsid w:val="00572717"/>
    <w:rsid w:val="00572753"/>
    <w:rsid w:val="00572808"/>
    <w:rsid w:val="00572988"/>
    <w:rsid w:val="005729B2"/>
    <w:rsid w:val="00572C89"/>
    <w:rsid w:val="00572F46"/>
    <w:rsid w:val="00573151"/>
    <w:rsid w:val="005731BC"/>
    <w:rsid w:val="005731FC"/>
    <w:rsid w:val="005731FF"/>
    <w:rsid w:val="00573242"/>
    <w:rsid w:val="0057329E"/>
    <w:rsid w:val="0057338C"/>
    <w:rsid w:val="00573584"/>
    <w:rsid w:val="005735E2"/>
    <w:rsid w:val="00573811"/>
    <w:rsid w:val="00573B80"/>
    <w:rsid w:val="00573E1F"/>
    <w:rsid w:val="00573EA3"/>
    <w:rsid w:val="0057410F"/>
    <w:rsid w:val="00574110"/>
    <w:rsid w:val="00574556"/>
    <w:rsid w:val="00574665"/>
    <w:rsid w:val="0057472E"/>
    <w:rsid w:val="0057478E"/>
    <w:rsid w:val="005747C0"/>
    <w:rsid w:val="0057482D"/>
    <w:rsid w:val="00574A02"/>
    <w:rsid w:val="00574CC2"/>
    <w:rsid w:val="00574E23"/>
    <w:rsid w:val="00574E84"/>
    <w:rsid w:val="00574F44"/>
    <w:rsid w:val="00574F87"/>
    <w:rsid w:val="0057519C"/>
    <w:rsid w:val="005751BB"/>
    <w:rsid w:val="005755CA"/>
    <w:rsid w:val="00575751"/>
    <w:rsid w:val="00575874"/>
    <w:rsid w:val="005758D1"/>
    <w:rsid w:val="0057598B"/>
    <w:rsid w:val="005759C2"/>
    <w:rsid w:val="00575B0F"/>
    <w:rsid w:val="00575B3E"/>
    <w:rsid w:val="00575F09"/>
    <w:rsid w:val="00575F0F"/>
    <w:rsid w:val="00575FA3"/>
    <w:rsid w:val="0057618F"/>
    <w:rsid w:val="00576309"/>
    <w:rsid w:val="0057637A"/>
    <w:rsid w:val="0057645E"/>
    <w:rsid w:val="00576524"/>
    <w:rsid w:val="005765F9"/>
    <w:rsid w:val="005765FC"/>
    <w:rsid w:val="005766BC"/>
    <w:rsid w:val="0057674F"/>
    <w:rsid w:val="00576887"/>
    <w:rsid w:val="00576A54"/>
    <w:rsid w:val="00576A77"/>
    <w:rsid w:val="00576B6A"/>
    <w:rsid w:val="00576C32"/>
    <w:rsid w:val="00576DE5"/>
    <w:rsid w:val="00576E99"/>
    <w:rsid w:val="00576EB7"/>
    <w:rsid w:val="00576F90"/>
    <w:rsid w:val="0057720B"/>
    <w:rsid w:val="0057740D"/>
    <w:rsid w:val="005774D5"/>
    <w:rsid w:val="005774FC"/>
    <w:rsid w:val="00577952"/>
    <w:rsid w:val="005779AD"/>
    <w:rsid w:val="00577C3F"/>
    <w:rsid w:val="00577DC6"/>
    <w:rsid w:val="00577EAC"/>
    <w:rsid w:val="00577EED"/>
    <w:rsid w:val="00577FA9"/>
    <w:rsid w:val="0058013A"/>
    <w:rsid w:val="00580244"/>
    <w:rsid w:val="00580272"/>
    <w:rsid w:val="00580523"/>
    <w:rsid w:val="00580754"/>
    <w:rsid w:val="005808F8"/>
    <w:rsid w:val="00580A5B"/>
    <w:rsid w:val="00580E61"/>
    <w:rsid w:val="0058106D"/>
    <w:rsid w:val="005811FC"/>
    <w:rsid w:val="005813CC"/>
    <w:rsid w:val="005816F4"/>
    <w:rsid w:val="00581A16"/>
    <w:rsid w:val="00581A6E"/>
    <w:rsid w:val="00581BDF"/>
    <w:rsid w:val="00581BF3"/>
    <w:rsid w:val="00581C1B"/>
    <w:rsid w:val="00581C8B"/>
    <w:rsid w:val="00581D06"/>
    <w:rsid w:val="00581D62"/>
    <w:rsid w:val="005820BC"/>
    <w:rsid w:val="005821DD"/>
    <w:rsid w:val="00582249"/>
    <w:rsid w:val="005822D5"/>
    <w:rsid w:val="00582330"/>
    <w:rsid w:val="005829A8"/>
    <w:rsid w:val="00582AB2"/>
    <w:rsid w:val="00582CD7"/>
    <w:rsid w:val="00582F6B"/>
    <w:rsid w:val="00582F98"/>
    <w:rsid w:val="00582FC5"/>
    <w:rsid w:val="0058304C"/>
    <w:rsid w:val="00583142"/>
    <w:rsid w:val="005831B2"/>
    <w:rsid w:val="00583213"/>
    <w:rsid w:val="005832E1"/>
    <w:rsid w:val="00583448"/>
    <w:rsid w:val="00583853"/>
    <w:rsid w:val="00583875"/>
    <w:rsid w:val="00583A34"/>
    <w:rsid w:val="00583A96"/>
    <w:rsid w:val="00583B26"/>
    <w:rsid w:val="00583BDF"/>
    <w:rsid w:val="00583C6E"/>
    <w:rsid w:val="00583EF7"/>
    <w:rsid w:val="00583EFB"/>
    <w:rsid w:val="00584063"/>
    <w:rsid w:val="005840D3"/>
    <w:rsid w:val="00584267"/>
    <w:rsid w:val="00584281"/>
    <w:rsid w:val="0058430A"/>
    <w:rsid w:val="005843E1"/>
    <w:rsid w:val="0058457E"/>
    <w:rsid w:val="0058473E"/>
    <w:rsid w:val="00584897"/>
    <w:rsid w:val="00584BD7"/>
    <w:rsid w:val="00584CEC"/>
    <w:rsid w:val="00584F45"/>
    <w:rsid w:val="0058509C"/>
    <w:rsid w:val="00585174"/>
    <w:rsid w:val="005853D7"/>
    <w:rsid w:val="005853F0"/>
    <w:rsid w:val="0058561A"/>
    <w:rsid w:val="00585645"/>
    <w:rsid w:val="00585738"/>
    <w:rsid w:val="00585935"/>
    <w:rsid w:val="00585A4F"/>
    <w:rsid w:val="00585B45"/>
    <w:rsid w:val="00585FC4"/>
    <w:rsid w:val="0058638C"/>
    <w:rsid w:val="00586442"/>
    <w:rsid w:val="00586486"/>
    <w:rsid w:val="005865AA"/>
    <w:rsid w:val="005866B8"/>
    <w:rsid w:val="005866EF"/>
    <w:rsid w:val="005869D8"/>
    <w:rsid w:val="00586A63"/>
    <w:rsid w:val="00586A6D"/>
    <w:rsid w:val="00586D40"/>
    <w:rsid w:val="00586DFD"/>
    <w:rsid w:val="00586E85"/>
    <w:rsid w:val="00586EA6"/>
    <w:rsid w:val="00586EE0"/>
    <w:rsid w:val="00586F83"/>
    <w:rsid w:val="00586F8D"/>
    <w:rsid w:val="0058714A"/>
    <w:rsid w:val="0058724F"/>
    <w:rsid w:val="005874FD"/>
    <w:rsid w:val="0058751F"/>
    <w:rsid w:val="00587979"/>
    <w:rsid w:val="00587AE9"/>
    <w:rsid w:val="00587DAD"/>
    <w:rsid w:val="00587DC3"/>
    <w:rsid w:val="0059016A"/>
    <w:rsid w:val="005901BD"/>
    <w:rsid w:val="005901F4"/>
    <w:rsid w:val="005902FE"/>
    <w:rsid w:val="0059038C"/>
    <w:rsid w:val="005903FC"/>
    <w:rsid w:val="005905A1"/>
    <w:rsid w:val="005905ED"/>
    <w:rsid w:val="005908BC"/>
    <w:rsid w:val="005908E9"/>
    <w:rsid w:val="00590A47"/>
    <w:rsid w:val="00590B8D"/>
    <w:rsid w:val="00590CD2"/>
    <w:rsid w:val="00590E32"/>
    <w:rsid w:val="00591028"/>
    <w:rsid w:val="0059109E"/>
    <w:rsid w:val="00591167"/>
    <w:rsid w:val="0059184A"/>
    <w:rsid w:val="005919B5"/>
    <w:rsid w:val="00591B62"/>
    <w:rsid w:val="00591B93"/>
    <w:rsid w:val="00591BB8"/>
    <w:rsid w:val="00591D22"/>
    <w:rsid w:val="00591DBD"/>
    <w:rsid w:val="00591F6E"/>
    <w:rsid w:val="00591F9D"/>
    <w:rsid w:val="00591FA9"/>
    <w:rsid w:val="00592009"/>
    <w:rsid w:val="0059207F"/>
    <w:rsid w:val="005920F4"/>
    <w:rsid w:val="005921E2"/>
    <w:rsid w:val="00592209"/>
    <w:rsid w:val="00592647"/>
    <w:rsid w:val="0059291D"/>
    <w:rsid w:val="00592AF1"/>
    <w:rsid w:val="00592BA4"/>
    <w:rsid w:val="00592BF3"/>
    <w:rsid w:val="00592D67"/>
    <w:rsid w:val="005930D0"/>
    <w:rsid w:val="005932F8"/>
    <w:rsid w:val="00593310"/>
    <w:rsid w:val="00593343"/>
    <w:rsid w:val="005933C0"/>
    <w:rsid w:val="00593436"/>
    <w:rsid w:val="005935A3"/>
    <w:rsid w:val="00593614"/>
    <w:rsid w:val="00593939"/>
    <w:rsid w:val="005939D9"/>
    <w:rsid w:val="00593B80"/>
    <w:rsid w:val="00593C56"/>
    <w:rsid w:val="00593CED"/>
    <w:rsid w:val="00593DFC"/>
    <w:rsid w:val="00594156"/>
    <w:rsid w:val="0059425A"/>
    <w:rsid w:val="005942AA"/>
    <w:rsid w:val="00594480"/>
    <w:rsid w:val="0059450E"/>
    <w:rsid w:val="00594604"/>
    <w:rsid w:val="00594910"/>
    <w:rsid w:val="0059497D"/>
    <w:rsid w:val="00594A5C"/>
    <w:rsid w:val="00594AA2"/>
    <w:rsid w:val="00594AF5"/>
    <w:rsid w:val="00594BA2"/>
    <w:rsid w:val="00594BE1"/>
    <w:rsid w:val="00594C13"/>
    <w:rsid w:val="00594C3E"/>
    <w:rsid w:val="00594C7E"/>
    <w:rsid w:val="00594E87"/>
    <w:rsid w:val="005950E5"/>
    <w:rsid w:val="0059592B"/>
    <w:rsid w:val="00595935"/>
    <w:rsid w:val="0059597E"/>
    <w:rsid w:val="00595AC9"/>
    <w:rsid w:val="00595BD4"/>
    <w:rsid w:val="00595DFD"/>
    <w:rsid w:val="00595E9A"/>
    <w:rsid w:val="00595EB4"/>
    <w:rsid w:val="00595EBB"/>
    <w:rsid w:val="00596700"/>
    <w:rsid w:val="005967D5"/>
    <w:rsid w:val="005967E7"/>
    <w:rsid w:val="00596912"/>
    <w:rsid w:val="00596992"/>
    <w:rsid w:val="00596A96"/>
    <w:rsid w:val="00596B65"/>
    <w:rsid w:val="00596D55"/>
    <w:rsid w:val="00596D7B"/>
    <w:rsid w:val="00596EA3"/>
    <w:rsid w:val="00596FA7"/>
    <w:rsid w:val="00597021"/>
    <w:rsid w:val="0059704B"/>
    <w:rsid w:val="005970A1"/>
    <w:rsid w:val="005972B3"/>
    <w:rsid w:val="00597309"/>
    <w:rsid w:val="00597688"/>
    <w:rsid w:val="00597795"/>
    <w:rsid w:val="005977D6"/>
    <w:rsid w:val="00597B78"/>
    <w:rsid w:val="00597B94"/>
    <w:rsid w:val="00597D30"/>
    <w:rsid w:val="00597FF9"/>
    <w:rsid w:val="005A01FE"/>
    <w:rsid w:val="005A0246"/>
    <w:rsid w:val="005A0393"/>
    <w:rsid w:val="005A0410"/>
    <w:rsid w:val="005A0435"/>
    <w:rsid w:val="005A085A"/>
    <w:rsid w:val="005A08BF"/>
    <w:rsid w:val="005A08E5"/>
    <w:rsid w:val="005A0BB7"/>
    <w:rsid w:val="005A0CC3"/>
    <w:rsid w:val="005A0EAC"/>
    <w:rsid w:val="005A110B"/>
    <w:rsid w:val="005A14DB"/>
    <w:rsid w:val="005A1549"/>
    <w:rsid w:val="005A1566"/>
    <w:rsid w:val="005A1BFB"/>
    <w:rsid w:val="005A1D57"/>
    <w:rsid w:val="005A1EE2"/>
    <w:rsid w:val="005A1EE6"/>
    <w:rsid w:val="005A2400"/>
    <w:rsid w:val="005A2554"/>
    <w:rsid w:val="005A2AC4"/>
    <w:rsid w:val="005A2AE4"/>
    <w:rsid w:val="005A2CCB"/>
    <w:rsid w:val="005A312A"/>
    <w:rsid w:val="005A31C5"/>
    <w:rsid w:val="005A33BD"/>
    <w:rsid w:val="005A3454"/>
    <w:rsid w:val="005A37B1"/>
    <w:rsid w:val="005A3B5C"/>
    <w:rsid w:val="005A3B77"/>
    <w:rsid w:val="005A401C"/>
    <w:rsid w:val="005A40EB"/>
    <w:rsid w:val="005A4114"/>
    <w:rsid w:val="005A4131"/>
    <w:rsid w:val="005A4193"/>
    <w:rsid w:val="005A443C"/>
    <w:rsid w:val="005A448B"/>
    <w:rsid w:val="005A4608"/>
    <w:rsid w:val="005A4649"/>
    <w:rsid w:val="005A48E8"/>
    <w:rsid w:val="005A4BAB"/>
    <w:rsid w:val="005A4CD3"/>
    <w:rsid w:val="005A4F1F"/>
    <w:rsid w:val="005A516C"/>
    <w:rsid w:val="005A5282"/>
    <w:rsid w:val="005A55B7"/>
    <w:rsid w:val="005A5700"/>
    <w:rsid w:val="005A581A"/>
    <w:rsid w:val="005A5ACD"/>
    <w:rsid w:val="005A5F19"/>
    <w:rsid w:val="005A5FB8"/>
    <w:rsid w:val="005A61B3"/>
    <w:rsid w:val="005A61B8"/>
    <w:rsid w:val="005A648C"/>
    <w:rsid w:val="005A6695"/>
    <w:rsid w:val="005A67C6"/>
    <w:rsid w:val="005A6926"/>
    <w:rsid w:val="005A6EB7"/>
    <w:rsid w:val="005A6F2F"/>
    <w:rsid w:val="005A6F71"/>
    <w:rsid w:val="005A6F7C"/>
    <w:rsid w:val="005A7026"/>
    <w:rsid w:val="005A7287"/>
    <w:rsid w:val="005A729E"/>
    <w:rsid w:val="005A7302"/>
    <w:rsid w:val="005A7595"/>
    <w:rsid w:val="005A7844"/>
    <w:rsid w:val="005A78E4"/>
    <w:rsid w:val="005A794B"/>
    <w:rsid w:val="005A797A"/>
    <w:rsid w:val="005A7A88"/>
    <w:rsid w:val="005A7CB5"/>
    <w:rsid w:val="005A7F72"/>
    <w:rsid w:val="005A7F7E"/>
    <w:rsid w:val="005B013E"/>
    <w:rsid w:val="005B0236"/>
    <w:rsid w:val="005B025D"/>
    <w:rsid w:val="005B0790"/>
    <w:rsid w:val="005B08AF"/>
    <w:rsid w:val="005B0B3E"/>
    <w:rsid w:val="005B0CDF"/>
    <w:rsid w:val="005B0E2A"/>
    <w:rsid w:val="005B0F04"/>
    <w:rsid w:val="005B0F40"/>
    <w:rsid w:val="005B1028"/>
    <w:rsid w:val="005B10A8"/>
    <w:rsid w:val="005B132F"/>
    <w:rsid w:val="005B133E"/>
    <w:rsid w:val="005B1760"/>
    <w:rsid w:val="005B18B2"/>
    <w:rsid w:val="005B1978"/>
    <w:rsid w:val="005B19A2"/>
    <w:rsid w:val="005B1AC0"/>
    <w:rsid w:val="005B1BA5"/>
    <w:rsid w:val="005B1C03"/>
    <w:rsid w:val="005B1C4A"/>
    <w:rsid w:val="005B1DCE"/>
    <w:rsid w:val="005B1E75"/>
    <w:rsid w:val="005B1F3A"/>
    <w:rsid w:val="005B1FF9"/>
    <w:rsid w:val="005B2330"/>
    <w:rsid w:val="005B23A8"/>
    <w:rsid w:val="005B24EC"/>
    <w:rsid w:val="005B265E"/>
    <w:rsid w:val="005B2690"/>
    <w:rsid w:val="005B29AF"/>
    <w:rsid w:val="005B2B51"/>
    <w:rsid w:val="005B2C79"/>
    <w:rsid w:val="005B2E6A"/>
    <w:rsid w:val="005B2FE8"/>
    <w:rsid w:val="005B317B"/>
    <w:rsid w:val="005B33A1"/>
    <w:rsid w:val="005B33F7"/>
    <w:rsid w:val="005B34A8"/>
    <w:rsid w:val="005B38CD"/>
    <w:rsid w:val="005B3A83"/>
    <w:rsid w:val="005B3AE7"/>
    <w:rsid w:val="005B3B5A"/>
    <w:rsid w:val="005B3EEF"/>
    <w:rsid w:val="005B402E"/>
    <w:rsid w:val="005B4092"/>
    <w:rsid w:val="005B40A6"/>
    <w:rsid w:val="005B4182"/>
    <w:rsid w:val="005B4A8A"/>
    <w:rsid w:val="005B4B77"/>
    <w:rsid w:val="005B4B90"/>
    <w:rsid w:val="005B4BBF"/>
    <w:rsid w:val="005B4D00"/>
    <w:rsid w:val="005B521A"/>
    <w:rsid w:val="005B54A8"/>
    <w:rsid w:val="005B5630"/>
    <w:rsid w:val="005B563F"/>
    <w:rsid w:val="005B577C"/>
    <w:rsid w:val="005B5E47"/>
    <w:rsid w:val="005B61FE"/>
    <w:rsid w:val="005B6582"/>
    <w:rsid w:val="005B6727"/>
    <w:rsid w:val="005B6909"/>
    <w:rsid w:val="005B6B39"/>
    <w:rsid w:val="005B6C3F"/>
    <w:rsid w:val="005B7056"/>
    <w:rsid w:val="005B70B3"/>
    <w:rsid w:val="005B70B5"/>
    <w:rsid w:val="005B7132"/>
    <w:rsid w:val="005B7229"/>
    <w:rsid w:val="005B73D1"/>
    <w:rsid w:val="005B74A0"/>
    <w:rsid w:val="005B74B6"/>
    <w:rsid w:val="005B77C6"/>
    <w:rsid w:val="005B77C9"/>
    <w:rsid w:val="005B7861"/>
    <w:rsid w:val="005B7A0E"/>
    <w:rsid w:val="005B7B06"/>
    <w:rsid w:val="005B7C86"/>
    <w:rsid w:val="005B7DD9"/>
    <w:rsid w:val="005B7FC5"/>
    <w:rsid w:val="005C0180"/>
    <w:rsid w:val="005C01B7"/>
    <w:rsid w:val="005C0540"/>
    <w:rsid w:val="005C0553"/>
    <w:rsid w:val="005C06FD"/>
    <w:rsid w:val="005C0765"/>
    <w:rsid w:val="005C07A1"/>
    <w:rsid w:val="005C081F"/>
    <w:rsid w:val="005C0859"/>
    <w:rsid w:val="005C0873"/>
    <w:rsid w:val="005C0A1C"/>
    <w:rsid w:val="005C0B50"/>
    <w:rsid w:val="005C0D43"/>
    <w:rsid w:val="005C10B4"/>
    <w:rsid w:val="005C1832"/>
    <w:rsid w:val="005C1A2D"/>
    <w:rsid w:val="005C1A58"/>
    <w:rsid w:val="005C1C15"/>
    <w:rsid w:val="005C1D69"/>
    <w:rsid w:val="005C21A8"/>
    <w:rsid w:val="005C2221"/>
    <w:rsid w:val="005C2350"/>
    <w:rsid w:val="005C252F"/>
    <w:rsid w:val="005C2689"/>
    <w:rsid w:val="005C276C"/>
    <w:rsid w:val="005C2A58"/>
    <w:rsid w:val="005C2AC0"/>
    <w:rsid w:val="005C2AEF"/>
    <w:rsid w:val="005C2B28"/>
    <w:rsid w:val="005C2D74"/>
    <w:rsid w:val="005C2DA7"/>
    <w:rsid w:val="005C2DC2"/>
    <w:rsid w:val="005C2E7A"/>
    <w:rsid w:val="005C2F55"/>
    <w:rsid w:val="005C2F58"/>
    <w:rsid w:val="005C2F9F"/>
    <w:rsid w:val="005C31E3"/>
    <w:rsid w:val="005C327C"/>
    <w:rsid w:val="005C33B1"/>
    <w:rsid w:val="005C33CE"/>
    <w:rsid w:val="005C33F4"/>
    <w:rsid w:val="005C368F"/>
    <w:rsid w:val="005C3710"/>
    <w:rsid w:val="005C382E"/>
    <w:rsid w:val="005C38B6"/>
    <w:rsid w:val="005C3AD5"/>
    <w:rsid w:val="005C3B06"/>
    <w:rsid w:val="005C3B9F"/>
    <w:rsid w:val="005C3C45"/>
    <w:rsid w:val="005C4060"/>
    <w:rsid w:val="005C40B7"/>
    <w:rsid w:val="005C426D"/>
    <w:rsid w:val="005C4355"/>
    <w:rsid w:val="005C4656"/>
    <w:rsid w:val="005C49DD"/>
    <w:rsid w:val="005C4ADF"/>
    <w:rsid w:val="005C4C20"/>
    <w:rsid w:val="005C4C28"/>
    <w:rsid w:val="005C4FCB"/>
    <w:rsid w:val="005C4FDF"/>
    <w:rsid w:val="005C5215"/>
    <w:rsid w:val="005C523C"/>
    <w:rsid w:val="005C536B"/>
    <w:rsid w:val="005C54F0"/>
    <w:rsid w:val="005C5511"/>
    <w:rsid w:val="005C55E1"/>
    <w:rsid w:val="005C58A6"/>
    <w:rsid w:val="005C5EF2"/>
    <w:rsid w:val="005C6003"/>
    <w:rsid w:val="005C600F"/>
    <w:rsid w:val="005C6085"/>
    <w:rsid w:val="005C60F8"/>
    <w:rsid w:val="005C61E4"/>
    <w:rsid w:val="005C621E"/>
    <w:rsid w:val="005C6441"/>
    <w:rsid w:val="005C669B"/>
    <w:rsid w:val="005C66DB"/>
    <w:rsid w:val="005C66FA"/>
    <w:rsid w:val="005C6890"/>
    <w:rsid w:val="005C6D66"/>
    <w:rsid w:val="005C6F8C"/>
    <w:rsid w:val="005C720C"/>
    <w:rsid w:val="005C732F"/>
    <w:rsid w:val="005C73DC"/>
    <w:rsid w:val="005C788A"/>
    <w:rsid w:val="005C7B50"/>
    <w:rsid w:val="005C7BA8"/>
    <w:rsid w:val="005C7BC5"/>
    <w:rsid w:val="005C7D72"/>
    <w:rsid w:val="005C7E26"/>
    <w:rsid w:val="005C7FBB"/>
    <w:rsid w:val="005D0015"/>
    <w:rsid w:val="005D005B"/>
    <w:rsid w:val="005D008F"/>
    <w:rsid w:val="005D01A9"/>
    <w:rsid w:val="005D033E"/>
    <w:rsid w:val="005D04D7"/>
    <w:rsid w:val="005D055C"/>
    <w:rsid w:val="005D0B5F"/>
    <w:rsid w:val="005D0CB3"/>
    <w:rsid w:val="005D0CCF"/>
    <w:rsid w:val="005D0EAF"/>
    <w:rsid w:val="005D15D7"/>
    <w:rsid w:val="005D1744"/>
    <w:rsid w:val="005D179A"/>
    <w:rsid w:val="005D17EB"/>
    <w:rsid w:val="005D181A"/>
    <w:rsid w:val="005D19BA"/>
    <w:rsid w:val="005D1B35"/>
    <w:rsid w:val="005D1B4D"/>
    <w:rsid w:val="005D1D10"/>
    <w:rsid w:val="005D1E02"/>
    <w:rsid w:val="005D2044"/>
    <w:rsid w:val="005D2289"/>
    <w:rsid w:val="005D2361"/>
    <w:rsid w:val="005D2429"/>
    <w:rsid w:val="005D283B"/>
    <w:rsid w:val="005D285C"/>
    <w:rsid w:val="005D2971"/>
    <w:rsid w:val="005D29A8"/>
    <w:rsid w:val="005D2A79"/>
    <w:rsid w:val="005D2CC7"/>
    <w:rsid w:val="005D2D03"/>
    <w:rsid w:val="005D2D3B"/>
    <w:rsid w:val="005D3004"/>
    <w:rsid w:val="005D304E"/>
    <w:rsid w:val="005D3130"/>
    <w:rsid w:val="005D31DE"/>
    <w:rsid w:val="005D324E"/>
    <w:rsid w:val="005D3425"/>
    <w:rsid w:val="005D35AC"/>
    <w:rsid w:val="005D373A"/>
    <w:rsid w:val="005D37FB"/>
    <w:rsid w:val="005D3C3F"/>
    <w:rsid w:val="005D3D28"/>
    <w:rsid w:val="005D3D39"/>
    <w:rsid w:val="005D3FB2"/>
    <w:rsid w:val="005D4149"/>
    <w:rsid w:val="005D424D"/>
    <w:rsid w:val="005D43F1"/>
    <w:rsid w:val="005D4403"/>
    <w:rsid w:val="005D443F"/>
    <w:rsid w:val="005D494E"/>
    <w:rsid w:val="005D4951"/>
    <w:rsid w:val="005D4968"/>
    <w:rsid w:val="005D4B55"/>
    <w:rsid w:val="005D4CF9"/>
    <w:rsid w:val="005D4DBE"/>
    <w:rsid w:val="005D4DE1"/>
    <w:rsid w:val="005D4EF8"/>
    <w:rsid w:val="005D5106"/>
    <w:rsid w:val="005D5555"/>
    <w:rsid w:val="005D566F"/>
    <w:rsid w:val="005D5877"/>
    <w:rsid w:val="005D5949"/>
    <w:rsid w:val="005D5B04"/>
    <w:rsid w:val="005D5D37"/>
    <w:rsid w:val="005D5FDD"/>
    <w:rsid w:val="005D642D"/>
    <w:rsid w:val="005D657E"/>
    <w:rsid w:val="005D6B10"/>
    <w:rsid w:val="005D6B45"/>
    <w:rsid w:val="005D6BEA"/>
    <w:rsid w:val="005D6DAA"/>
    <w:rsid w:val="005D6E2F"/>
    <w:rsid w:val="005D6E3E"/>
    <w:rsid w:val="005D6FBC"/>
    <w:rsid w:val="005D72B0"/>
    <w:rsid w:val="005D7458"/>
    <w:rsid w:val="005D77F8"/>
    <w:rsid w:val="005D7840"/>
    <w:rsid w:val="005D787E"/>
    <w:rsid w:val="005D78D7"/>
    <w:rsid w:val="005D7B14"/>
    <w:rsid w:val="005D7C05"/>
    <w:rsid w:val="005D7C39"/>
    <w:rsid w:val="005E0096"/>
    <w:rsid w:val="005E0188"/>
    <w:rsid w:val="005E0383"/>
    <w:rsid w:val="005E04D6"/>
    <w:rsid w:val="005E0892"/>
    <w:rsid w:val="005E08B3"/>
    <w:rsid w:val="005E0945"/>
    <w:rsid w:val="005E09C0"/>
    <w:rsid w:val="005E0AE9"/>
    <w:rsid w:val="005E0CC7"/>
    <w:rsid w:val="005E0D9A"/>
    <w:rsid w:val="005E0E0E"/>
    <w:rsid w:val="005E0E61"/>
    <w:rsid w:val="005E0EE2"/>
    <w:rsid w:val="005E11CB"/>
    <w:rsid w:val="005E1211"/>
    <w:rsid w:val="005E1220"/>
    <w:rsid w:val="005E13DF"/>
    <w:rsid w:val="005E1774"/>
    <w:rsid w:val="005E1D07"/>
    <w:rsid w:val="005E1D48"/>
    <w:rsid w:val="005E1F0D"/>
    <w:rsid w:val="005E2052"/>
    <w:rsid w:val="005E21A3"/>
    <w:rsid w:val="005E243E"/>
    <w:rsid w:val="005E2795"/>
    <w:rsid w:val="005E27C9"/>
    <w:rsid w:val="005E284D"/>
    <w:rsid w:val="005E2A2B"/>
    <w:rsid w:val="005E2A33"/>
    <w:rsid w:val="005E2A45"/>
    <w:rsid w:val="005E2BB6"/>
    <w:rsid w:val="005E3077"/>
    <w:rsid w:val="005E30D0"/>
    <w:rsid w:val="005E3262"/>
    <w:rsid w:val="005E32BD"/>
    <w:rsid w:val="005E3319"/>
    <w:rsid w:val="005E34B9"/>
    <w:rsid w:val="005E34D5"/>
    <w:rsid w:val="005E35E0"/>
    <w:rsid w:val="005E3607"/>
    <w:rsid w:val="005E380B"/>
    <w:rsid w:val="005E387D"/>
    <w:rsid w:val="005E3886"/>
    <w:rsid w:val="005E3B75"/>
    <w:rsid w:val="005E3B88"/>
    <w:rsid w:val="005E3CFF"/>
    <w:rsid w:val="005E3D15"/>
    <w:rsid w:val="005E3FAD"/>
    <w:rsid w:val="005E3FD0"/>
    <w:rsid w:val="005E4406"/>
    <w:rsid w:val="005E45F7"/>
    <w:rsid w:val="005E46A7"/>
    <w:rsid w:val="005E4779"/>
    <w:rsid w:val="005E47E9"/>
    <w:rsid w:val="005E48B0"/>
    <w:rsid w:val="005E48C4"/>
    <w:rsid w:val="005E4969"/>
    <w:rsid w:val="005E4A6B"/>
    <w:rsid w:val="005E4C65"/>
    <w:rsid w:val="005E4F71"/>
    <w:rsid w:val="005E4FD6"/>
    <w:rsid w:val="005E517B"/>
    <w:rsid w:val="005E51DC"/>
    <w:rsid w:val="005E529B"/>
    <w:rsid w:val="005E52A4"/>
    <w:rsid w:val="005E5340"/>
    <w:rsid w:val="005E54AB"/>
    <w:rsid w:val="005E552B"/>
    <w:rsid w:val="005E5729"/>
    <w:rsid w:val="005E5753"/>
    <w:rsid w:val="005E5DED"/>
    <w:rsid w:val="005E5F32"/>
    <w:rsid w:val="005E6049"/>
    <w:rsid w:val="005E6112"/>
    <w:rsid w:val="005E61F4"/>
    <w:rsid w:val="005E6EF7"/>
    <w:rsid w:val="005E6FBB"/>
    <w:rsid w:val="005E6FEF"/>
    <w:rsid w:val="005E70D3"/>
    <w:rsid w:val="005E773B"/>
    <w:rsid w:val="005E79B0"/>
    <w:rsid w:val="005E7BE8"/>
    <w:rsid w:val="005E7C94"/>
    <w:rsid w:val="005E7CD0"/>
    <w:rsid w:val="005E7CDB"/>
    <w:rsid w:val="005F01BC"/>
    <w:rsid w:val="005F01FA"/>
    <w:rsid w:val="005F06FE"/>
    <w:rsid w:val="005F0893"/>
    <w:rsid w:val="005F0988"/>
    <w:rsid w:val="005F0ABD"/>
    <w:rsid w:val="005F0AF4"/>
    <w:rsid w:val="005F0B6B"/>
    <w:rsid w:val="005F0C5C"/>
    <w:rsid w:val="005F0CBD"/>
    <w:rsid w:val="005F0CC7"/>
    <w:rsid w:val="005F0CF3"/>
    <w:rsid w:val="005F0D0B"/>
    <w:rsid w:val="005F0F35"/>
    <w:rsid w:val="005F1318"/>
    <w:rsid w:val="005F1582"/>
    <w:rsid w:val="005F15C3"/>
    <w:rsid w:val="005F166A"/>
    <w:rsid w:val="005F1717"/>
    <w:rsid w:val="005F1880"/>
    <w:rsid w:val="005F1A94"/>
    <w:rsid w:val="005F1C3D"/>
    <w:rsid w:val="005F1EE5"/>
    <w:rsid w:val="005F1EED"/>
    <w:rsid w:val="005F1F8D"/>
    <w:rsid w:val="005F20BF"/>
    <w:rsid w:val="005F20CE"/>
    <w:rsid w:val="005F221A"/>
    <w:rsid w:val="005F22C4"/>
    <w:rsid w:val="005F25A2"/>
    <w:rsid w:val="005F2700"/>
    <w:rsid w:val="005F2715"/>
    <w:rsid w:val="005F293E"/>
    <w:rsid w:val="005F2946"/>
    <w:rsid w:val="005F2A7E"/>
    <w:rsid w:val="005F2B3E"/>
    <w:rsid w:val="005F2C44"/>
    <w:rsid w:val="005F2E0B"/>
    <w:rsid w:val="005F2F1D"/>
    <w:rsid w:val="005F31BD"/>
    <w:rsid w:val="005F321E"/>
    <w:rsid w:val="005F3246"/>
    <w:rsid w:val="005F329F"/>
    <w:rsid w:val="005F335D"/>
    <w:rsid w:val="005F3480"/>
    <w:rsid w:val="005F34C6"/>
    <w:rsid w:val="005F359E"/>
    <w:rsid w:val="005F374C"/>
    <w:rsid w:val="005F38FA"/>
    <w:rsid w:val="005F3C7D"/>
    <w:rsid w:val="005F3D29"/>
    <w:rsid w:val="005F3F1A"/>
    <w:rsid w:val="005F3FBA"/>
    <w:rsid w:val="005F4066"/>
    <w:rsid w:val="005F4156"/>
    <w:rsid w:val="005F4318"/>
    <w:rsid w:val="005F4458"/>
    <w:rsid w:val="005F45AB"/>
    <w:rsid w:val="005F476B"/>
    <w:rsid w:val="005F4894"/>
    <w:rsid w:val="005F4A2C"/>
    <w:rsid w:val="005F4BD7"/>
    <w:rsid w:val="005F4C06"/>
    <w:rsid w:val="005F4D54"/>
    <w:rsid w:val="005F4F3D"/>
    <w:rsid w:val="005F4F8E"/>
    <w:rsid w:val="005F5288"/>
    <w:rsid w:val="005F52A9"/>
    <w:rsid w:val="005F5410"/>
    <w:rsid w:val="005F54A4"/>
    <w:rsid w:val="005F562D"/>
    <w:rsid w:val="005F566F"/>
    <w:rsid w:val="005F571F"/>
    <w:rsid w:val="005F572D"/>
    <w:rsid w:val="005F58A3"/>
    <w:rsid w:val="005F5B47"/>
    <w:rsid w:val="005F5C61"/>
    <w:rsid w:val="005F5D7B"/>
    <w:rsid w:val="005F5E2A"/>
    <w:rsid w:val="005F5EA0"/>
    <w:rsid w:val="005F64B0"/>
    <w:rsid w:val="005F67D9"/>
    <w:rsid w:val="005F689E"/>
    <w:rsid w:val="005F6BB8"/>
    <w:rsid w:val="005F6C75"/>
    <w:rsid w:val="005F6E1A"/>
    <w:rsid w:val="005F6E63"/>
    <w:rsid w:val="005F6EE9"/>
    <w:rsid w:val="005F6F61"/>
    <w:rsid w:val="005F7086"/>
    <w:rsid w:val="005F710B"/>
    <w:rsid w:val="005F71D1"/>
    <w:rsid w:val="005F74F1"/>
    <w:rsid w:val="005F763F"/>
    <w:rsid w:val="005F7768"/>
    <w:rsid w:val="005F79DE"/>
    <w:rsid w:val="005F79FA"/>
    <w:rsid w:val="005F7D08"/>
    <w:rsid w:val="005F7F3C"/>
    <w:rsid w:val="00600182"/>
    <w:rsid w:val="0060019A"/>
    <w:rsid w:val="006001BC"/>
    <w:rsid w:val="00600214"/>
    <w:rsid w:val="006002E7"/>
    <w:rsid w:val="0060035F"/>
    <w:rsid w:val="0060039E"/>
    <w:rsid w:val="006003C3"/>
    <w:rsid w:val="006005B0"/>
    <w:rsid w:val="00600807"/>
    <w:rsid w:val="0060092F"/>
    <w:rsid w:val="00600961"/>
    <w:rsid w:val="00600A7C"/>
    <w:rsid w:val="00600B53"/>
    <w:rsid w:val="00600C0E"/>
    <w:rsid w:val="00600CB7"/>
    <w:rsid w:val="00600CE2"/>
    <w:rsid w:val="0060109B"/>
    <w:rsid w:val="0060123E"/>
    <w:rsid w:val="006012F2"/>
    <w:rsid w:val="00601460"/>
    <w:rsid w:val="0060149E"/>
    <w:rsid w:val="006014B9"/>
    <w:rsid w:val="00601548"/>
    <w:rsid w:val="00601887"/>
    <w:rsid w:val="00601995"/>
    <w:rsid w:val="00601A36"/>
    <w:rsid w:val="00601B6A"/>
    <w:rsid w:val="00601B76"/>
    <w:rsid w:val="00601DF5"/>
    <w:rsid w:val="00602414"/>
    <w:rsid w:val="00602455"/>
    <w:rsid w:val="006025D7"/>
    <w:rsid w:val="00602606"/>
    <w:rsid w:val="00602610"/>
    <w:rsid w:val="00602616"/>
    <w:rsid w:val="0060262F"/>
    <w:rsid w:val="00602680"/>
    <w:rsid w:val="00602757"/>
    <w:rsid w:val="0060279D"/>
    <w:rsid w:val="00602E94"/>
    <w:rsid w:val="0060381A"/>
    <w:rsid w:val="00603AA8"/>
    <w:rsid w:val="00603AD6"/>
    <w:rsid w:val="00603FF5"/>
    <w:rsid w:val="00604303"/>
    <w:rsid w:val="006046E9"/>
    <w:rsid w:val="0060479F"/>
    <w:rsid w:val="006047D9"/>
    <w:rsid w:val="006048CA"/>
    <w:rsid w:val="00604A72"/>
    <w:rsid w:val="00604B44"/>
    <w:rsid w:val="00604B93"/>
    <w:rsid w:val="00604D9A"/>
    <w:rsid w:val="00604E66"/>
    <w:rsid w:val="00604EE8"/>
    <w:rsid w:val="00605099"/>
    <w:rsid w:val="0060524B"/>
    <w:rsid w:val="006052D0"/>
    <w:rsid w:val="00605332"/>
    <w:rsid w:val="0060535D"/>
    <w:rsid w:val="006056AC"/>
    <w:rsid w:val="006057C5"/>
    <w:rsid w:val="00605B00"/>
    <w:rsid w:val="00605B67"/>
    <w:rsid w:val="00605F29"/>
    <w:rsid w:val="00605F75"/>
    <w:rsid w:val="00605FBF"/>
    <w:rsid w:val="0060604C"/>
    <w:rsid w:val="00606195"/>
    <w:rsid w:val="00606262"/>
    <w:rsid w:val="006062CF"/>
    <w:rsid w:val="006063A8"/>
    <w:rsid w:val="00606571"/>
    <w:rsid w:val="0060664A"/>
    <w:rsid w:val="006066C5"/>
    <w:rsid w:val="006067FC"/>
    <w:rsid w:val="00606930"/>
    <w:rsid w:val="0060699C"/>
    <w:rsid w:val="006069D8"/>
    <w:rsid w:val="00606AEF"/>
    <w:rsid w:val="0060707F"/>
    <w:rsid w:val="00607199"/>
    <w:rsid w:val="00607205"/>
    <w:rsid w:val="00607231"/>
    <w:rsid w:val="006074E4"/>
    <w:rsid w:val="00607780"/>
    <w:rsid w:val="0060796A"/>
    <w:rsid w:val="00607A49"/>
    <w:rsid w:val="00607A62"/>
    <w:rsid w:val="00607B3D"/>
    <w:rsid w:val="0061007E"/>
    <w:rsid w:val="00610097"/>
    <w:rsid w:val="006103A9"/>
    <w:rsid w:val="00610406"/>
    <w:rsid w:val="006105C1"/>
    <w:rsid w:val="00610619"/>
    <w:rsid w:val="00610742"/>
    <w:rsid w:val="006107ED"/>
    <w:rsid w:val="006108AF"/>
    <w:rsid w:val="00610C4B"/>
    <w:rsid w:val="00610C9F"/>
    <w:rsid w:val="00610EFC"/>
    <w:rsid w:val="006112D1"/>
    <w:rsid w:val="006112FA"/>
    <w:rsid w:val="006113DE"/>
    <w:rsid w:val="00611574"/>
    <w:rsid w:val="006118EB"/>
    <w:rsid w:val="00611BDD"/>
    <w:rsid w:val="00611D59"/>
    <w:rsid w:val="00612064"/>
    <w:rsid w:val="006123EE"/>
    <w:rsid w:val="00612475"/>
    <w:rsid w:val="00612587"/>
    <w:rsid w:val="0061265B"/>
    <w:rsid w:val="006126D3"/>
    <w:rsid w:val="00612892"/>
    <w:rsid w:val="00612976"/>
    <w:rsid w:val="00612991"/>
    <w:rsid w:val="00612A41"/>
    <w:rsid w:val="00612B99"/>
    <w:rsid w:val="00612D80"/>
    <w:rsid w:val="00612E5A"/>
    <w:rsid w:val="00612E6B"/>
    <w:rsid w:val="006133FC"/>
    <w:rsid w:val="00613541"/>
    <w:rsid w:val="006136AB"/>
    <w:rsid w:val="006136E1"/>
    <w:rsid w:val="006138D8"/>
    <w:rsid w:val="00613AB0"/>
    <w:rsid w:val="00613AFF"/>
    <w:rsid w:val="00613E65"/>
    <w:rsid w:val="00614022"/>
    <w:rsid w:val="006140F3"/>
    <w:rsid w:val="00614427"/>
    <w:rsid w:val="0061486F"/>
    <w:rsid w:val="00614C23"/>
    <w:rsid w:val="00614C7B"/>
    <w:rsid w:val="00614F82"/>
    <w:rsid w:val="00615077"/>
    <w:rsid w:val="00615192"/>
    <w:rsid w:val="006151B9"/>
    <w:rsid w:val="006153BA"/>
    <w:rsid w:val="00615449"/>
    <w:rsid w:val="006156DD"/>
    <w:rsid w:val="006158D5"/>
    <w:rsid w:val="006158F1"/>
    <w:rsid w:val="00615FE3"/>
    <w:rsid w:val="006162DA"/>
    <w:rsid w:val="006162E0"/>
    <w:rsid w:val="0061635A"/>
    <w:rsid w:val="00616927"/>
    <w:rsid w:val="00616AF7"/>
    <w:rsid w:val="00616D25"/>
    <w:rsid w:val="00616D46"/>
    <w:rsid w:val="00616E91"/>
    <w:rsid w:val="00616F79"/>
    <w:rsid w:val="0061701F"/>
    <w:rsid w:val="006171A9"/>
    <w:rsid w:val="00617345"/>
    <w:rsid w:val="0061737F"/>
    <w:rsid w:val="006173F8"/>
    <w:rsid w:val="00617488"/>
    <w:rsid w:val="0061769E"/>
    <w:rsid w:val="00617762"/>
    <w:rsid w:val="006177F8"/>
    <w:rsid w:val="00617811"/>
    <w:rsid w:val="00617968"/>
    <w:rsid w:val="00617A27"/>
    <w:rsid w:val="00617BDC"/>
    <w:rsid w:val="00617C43"/>
    <w:rsid w:val="00617C7A"/>
    <w:rsid w:val="00617ED8"/>
    <w:rsid w:val="006201AB"/>
    <w:rsid w:val="00620205"/>
    <w:rsid w:val="00620491"/>
    <w:rsid w:val="00620917"/>
    <w:rsid w:val="00620B2D"/>
    <w:rsid w:val="00620B32"/>
    <w:rsid w:val="00620B4A"/>
    <w:rsid w:val="00620BE0"/>
    <w:rsid w:val="00620BE4"/>
    <w:rsid w:val="00620CA4"/>
    <w:rsid w:val="00620E5E"/>
    <w:rsid w:val="00620F18"/>
    <w:rsid w:val="006211F7"/>
    <w:rsid w:val="0062122D"/>
    <w:rsid w:val="00621695"/>
    <w:rsid w:val="00621752"/>
    <w:rsid w:val="00621854"/>
    <w:rsid w:val="006218CF"/>
    <w:rsid w:val="00621929"/>
    <w:rsid w:val="006219B8"/>
    <w:rsid w:val="00621A87"/>
    <w:rsid w:val="00621DA7"/>
    <w:rsid w:val="0062206B"/>
    <w:rsid w:val="006222FB"/>
    <w:rsid w:val="0062289D"/>
    <w:rsid w:val="006228F6"/>
    <w:rsid w:val="006229E7"/>
    <w:rsid w:val="00622B85"/>
    <w:rsid w:val="00622D24"/>
    <w:rsid w:val="00622D25"/>
    <w:rsid w:val="00622D42"/>
    <w:rsid w:val="00622D88"/>
    <w:rsid w:val="00622F3F"/>
    <w:rsid w:val="00622F63"/>
    <w:rsid w:val="00622FDD"/>
    <w:rsid w:val="006233B7"/>
    <w:rsid w:val="00623402"/>
    <w:rsid w:val="006234E6"/>
    <w:rsid w:val="00623641"/>
    <w:rsid w:val="0062372B"/>
    <w:rsid w:val="0062393A"/>
    <w:rsid w:val="00623AA7"/>
    <w:rsid w:val="00623C4F"/>
    <w:rsid w:val="00623CFE"/>
    <w:rsid w:val="00623D2B"/>
    <w:rsid w:val="0062446A"/>
    <w:rsid w:val="006245F7"/>
    <w:rsid w:val="0062468C"/>
    <w:rsid w:val="00624837"/>
    <w:rsid w:val="0062492D"/>
    <w:rsid w:val="00624A9B"/>
    <w:rsid w:val="00624B34"/>
    <w:rsid w:val="00624D1F"/>
    <w:rsid w:val="00624D3E"/>
    <w:rsid w:val="00624E2A"/>
    <w:rsid w:val="00624F8F"/>
    <w:rsid w:val="0062514D"/>
    <w:rsid w:val="006252E6"/>
    <w:rsid w:val="0062542A"/>
    <w:rsid w:val="006254AF"/>
    <w:rsid w:val="006254F2"/>
    <w:rsid w:val="00625670"/>
    <w:rsid w:val="006257BD"/>
    <w:rsid w:val="006258D1"/>
    <w:rsid w:val="00625AAC"/>
    <w:rsid w:val="00625B93"/>
    <w:rsid w:val="00625BC8"/>
    <w:rsid w:val="00625ED3"/>
    <w:rsid w:val="00625F4F"/>
    <w:rsid w:val="006260F9"/>
    <w:rsid w:val="006263D4"/>
    <w:rsid w:val="00626443"/>
    <w:rsid w:val="0062644C"/>
    <w:rsid w:val="006264BC"/>
    <w:rsid w:val="00626759"/>
    <w:rsid w:val="0062691A"/>
    <w:rsid w:val="00626A7B"/>
    <w:rsid w:val="00626BBD"/>
    <w:rsid w:val="0062710B"/>
    <w:rsid w:val="0062711B"/>
    <w:rsid w:val="0062717F"/>
    <w:rsid w:val="00627197"/>
    <w:rsid w:val="006274F7"/>
    <w:rsid w:val="00627638"/>
    <w:rsid w:val="0062763D"/>
    <w:rsid w:val="0062778F"/>
    <w:rsid w:val="006277F4"/>
    <w:rsid w:val="00627BDF"/>
    <w:rsid w:val="00627C48"/>
    <w:rsid w:val="00627CA6"/>
    <w:rsid w:val="00627D95"/>
    <w:rsid w:val="00627EA3"/>
    <w:rsid w:val="006301F7"/>
    <w:rsid w:val="006303BF"/>
    <w:rsid w:val="0063059F"/>
    <w:rsid w:val="006305C9"/>
    <w:rsid w:val="00630A02"/>
    <w:rsid w:val="00630AF3"/>
    <w:rsid w:val="00630DE3"/>
    <w:rsid w:val="00630FF6"/>
    <w:rsid w:val="00631223"/>
    <w:rsid w:val="006315A1"/>
    <w:rsid w:val="00631924"/>
    <w:rsid w:val="00631A31"/>
    <w:rsid w:val="00631A58"/>
    <w:rsid w:val="00631A7C"/>
    <w:rsid w:val="00631BBE"/>
    <w:rsid w:val="00631C5E"/>
    <w:rsid w:val="0063202F"/>
    <w:rsid w:val="00632175"/>
    <w:rsid w:val="0063222F"/>
    <w:rsid w:val="006323F0"/>
    <w:rsid w:val="0063247E"/>
    <w:rsid w:val="006324E9"/>
    <w:rsid w:val="00632588"/>
    <w:rsid w:val="00632638"/>
    <w:rsid w:val="00632794"/>
    <w:rsid w:val="0063279B"/>
    <w:rsid w:val="00632888"/>
    <w:rsid w:val="00632BDD"/>
    <w:rsid w:val="00632DEE"/>
    <w:rsid w:val="0063313C"/>
    <w:rsid w:val="00633255"/>
    <w:rsid w:val="006332E9"/>
    <w:rsid w:val="00633524"/>
    <w:rsid w:val="00633563"/>
    <w:rsid w:val="006339C2"/>
    <w:rsid w:val="00633A41"/>
    <w:rsid w:val="00633C57"/>
    <w:rsid w:val="00633D33"/>
    <w:rsid w:val="00633D93"/>
    <w:rsid w:val="00633E40"/>
    <w:rsid w:val="00633F6A"/>
    <w:rsid w:val="00633FBF"/>
    <w:rsid w:val="00634125"/>
    <w:rsid w:val="006342A2"/>
    <w:rsid w:val="00634424"/>
    <w:rsid w:val="006344BA"/>
    <w:rsid w:val="00634597"/>
    <w:rsid w:val="00634832"/>
    <w:rsid w:val="006348F1"/>
    <w:rsid w:val="00634E7A"/>
    <w:rsid w:val="00634FA1"/>
    <w:rsid w:val="00635076"/>
    <w:rsid w:val="006353BC"/>
    <w:rsid w:val="006355CD"/>
    <w:rsid w:val="00635840"/>
    <w:rsid w:val="00635A03"/>
    <w:rsid w:val="00635A5A"/>
    <w:rsid w:val="00635AFE"/>
    <w:rsid w:val="00635D91"/>
    <w:rsid w:val="00635E7A"/>
    <w:rsid w:val="006360C4"/>
    <w:rsid w:val="006360E5"/>
    <w:rsid w:val="00636271"/>
    <w:rsid w:val="006362E8"/>
    <w:rsid w:val="00636404"/>
    <w:rsid w:val="00636589"/>
    <w:rsid w:val="006365DC"/>
    <w:rsid w:val="00636602"/>
    <w:rsid w:val="006366AC"/>
    <w:rsid w:val="006368AF"/>
    <w:rsid w:val="0063692D"/>
    <w:rsid w:val="0063698B"/>
    <w:rsid w:val="006369A5"/>
    <w:rsid w:val="00636CB2"/>
    <w:rsid w:val="00636D3D"/>
    <w:rsid w:val="00636DE6"/>
    <w:rsid w:val="00636F97"/>
    <w:rsid w:val="006370BC"/>
    <w:rsid w:val="00637346"/>
    <w:rsid w:val="00637390"/>
    <w:rsid w:val="00637455"/>
    <w:rsid w:val="00637570"/>
    <w:rsid w:val="00637676"/>
    <w:rsid w:val="00637772"/>
    <w:rsid w:val="00637A82"/>
    <w:rsid w:val="00637B05"/>
    <w:rsid w:val="00637B76"/>
    <w:rsid w:val="00637B99"/>
    <w:rsid w:val="00637BF9"/>
    <w:rsid w:val="00637C0A"/>
    <w:rsid w:val="00637D31"/>
    <w:rsid w:val="00640201"/>
    <w:rsid w:val="0064040F"/>
    <w:rsid w:val="006405EB"/>
    <w:rsid w:val="0064063C"/>
    <w:rsid w:val="006406B7"/>
    <w:rsid w:val="006406ED"/>
    <w:rsid w:val="00640805"/>
    <w:rsid w:val="00640F1A"/>
    <w:rsid w:val="0064128F"/>
    <w:rsid w:val="0064153C"/>
    <w:rsid w:val="00641574"/>
    <w:rsid w:val="00641755"/>
    <w:rsid w:val="00641826"/>
    <w:rsid w:val="006418E2"/>
    <w:rsid w:val="00641938"/>
    <w:rsid w:val="00641AC6"/>
    <w:rsid w:val="00641AFB"/>
    <w:rsid w:val="00641B09"/>
    <w:rsid w:val="00641BF7"/>
    <w:rsid w:val="00641DD0"/>
    <w:rsid w:val="00641F37"/>
    <w:rsid w:val="00641FEF"/>
    <w:rsid w:val="0064225B"/>
    <w:rsid w:val="006423A0"/>
    <w:rsid w:val="006423FC"/>
    <w:rsid w:val="0064248C"/>
    <w:rsid w:val="006424F3"/>
    <w:rsid w:val="00642541"/>
    <w:rsid w:val="006426EA"/>
    <w:rsid w:val="00642740"/>
    <w:rsid w:val="00642BAF"/>
    <w:rsid w:val="00642F48"/>
    <w:rsid w:val="00642F78"/>
    <w:rsid w:val="0064300E"/>
    <w:rsid w:val="00643249"/>
    <w:rsid w:val="006435DC"/>
    <w:rsid w:val="006437E9"/>
    <w:rsid w:val="00643859"/>
    <w:rsid w:val="00643967"/>
    <w:rsid w:val="006439C8"/>
    <w:rsid w:val="00643C4C"/>
    <w:rsid w:val="00643C5A"/>
    <w:rsid w:val="00643D97"/>
    <w:rsid w:val="00643DEB"/>
    <w:rsid w:val="0064421B"/>
    <w:rsid w:val="0064424F"/>
    <w:rsid w:val="006444AE"/>
    <w:rsid w:val="00644B7F"/>
    <w:rsid w:val="00644C24"/>
    <w:rsid w:val="00644FD6"/>
    <w:rsid w:val="00645451"/>
    <w:rsid w:val="006454B8"/>
    <w:rsid w:val="006455B5"/>
    <w:rsid w:val="006455E4"/>
    <w:rsid w:val="006458DF"/>
    <w:rsid w:val="0064592C"/>
    <w:rsid w:val="00645CC2"/>
    <w:rsid w:val="00645E2E"/>
    <w:rsid w:val="00645E86"/>
    <w:rsid w:val="00645EE6"/>
    <w:rsid w:val="00645F46"/>
    <w:rsid w:val="00646215"/>
    <w:rsid w:val="00646275"/>
    <w:rsid w:val="00646290"/>
    <w:rsid w:val="006463A5"/>
    <w:rsid w:val="00646472"/>
    <w:rsid w:val="006464A4"/>
    <w:rsid w:val="0064660F"/>
    <w:rsid w:val="00646797"/>
    <w:rsid w:val="006469DF"/>
    <w:rsid w:val="00646B6D"/>
    <w:rsid w:val="00646EA8"/>
    <w:rsid w:val="006471A1"/>
    <w:rsid w:val="00647717"/>
    <w:rsid w:val="006478D8"/>
    <w:rsid w:val="00647AF4"/>
    <w:rsid w:val="00647E01"/>
    <w:rsid w:val="00647EF6"/>
    <w:rsid w:val="0065018D"/>
    <w:rsid w:val="006502FA"/>
    <w:rsid w:val="006505E4"/>
    <w:rsid w:val="006506C4"/>
    <w:rsid w:val="00650713"/>
    <w:rsid w:val="006508B8"/>
    <w:rsid w:val="00650A46"/>
    <w:rsid w:val="00650B1A"/>
    <w:rsid w:val="00650CD9"/>
    <w:rsid w:val="00650D54"/>
    <w:rsid w:val="00650DC9"/>
    <w:rsid w:val="00651175"/>
    <w:rsid w:val="0065123F"/>
    <w:rsid w:val="006515F9"/>
    <w:rsid w:val="0065183D"/>
    <w:rsid w:val="00651A9B"/>
    <w:rsid w:val="00651D32"/>
    <w:rsid w:val="00651E7A"/>
    <w:rsid w:val="0065202A"/>
    <w:rsid w:val="00652047"/>
    <w:rsid w:val="0065211C"/>
    <w:rsid w:val="00652214"/>
    <w:rsid w:val="006524D3"/>
    <w:rsid w:val="006524E5"/>
    <w:rsid w:val="006525C8"/>
    <w:rsid w:val="00652696"/>
    <w:rsid w:val="006527F3"/>
    <w:rsid w:val="00652A15"/>
    <w:rsid w:val="00652B2F"/>
    <w:rsid w:val="00652C5C"/>
    <w:rsid w:val="006530B7"/>
    <w:rsid w:val="006531F0"/>
    <w:rsid w:val="0065343F"/>
    <w:rsid w:val="006535C7"/>
    <w:rsid w:val="006536E5"/>
    <w:rsid w:val="00653A9A"/>
    <w:rsid w:val="00653D8D"/>
    <w:rsid w:val="00653D95"/>
    <w:rsid w:val="00654040"/>
    <w:rsid w:val="0065415D"/>
    <w:rsid w:val="006543D3"/>
    <w:rsid w:val="006543DE"/>
    <w:rsid w:val="00654546"/>
    <w:rsid w:val="006546CB"/>
    <w:rsid w:val="0065484B"/>
    <w:rsid w:val="00654863"/>
    <w:rsid w:val="0065496A"/>
    <w:rsid w:val="00654AE8"/>
    <w:rsid w:val="00654B22"/>
    <w:rsid w:val="00654C11"/>
    <w:rsid w:val="00654E76"/>
    <w:rsid w:val="00654F07"/>
    <w:rsid w:val="0065518A"/>
    <w:rsid w:val="006551AC"/>
    <w:rsid w:val="006554FA"/>
    <w:rsid w:val="0065573A"/>
    <w:rsid w:val="006557A1"/>
    <w:rsid w:val="00655A79"/>
    <w:rsid w:val="00655DD2"/>
    <w:rsid w:val="006560E2"/>
    <w:rsid w:val="00656117"/>
    <w:rsid w:val="00656153"/>
    <w:rsid w:val="00656173"/>
    <w:rsid w:val="0065623C"/>
    <w:rsid w:val="006562BC"/>
    <w:rsid w:val="006568F6"/>
    <w:rsid w:val="00656949"/>
    <w:rsid w:val="006569B1"/>
    <w:rsid w:val="00656ACE"/>
    <w:rsid w:val="00656B1F"/>
    <w:rsid w:val="00656B2D"/>
    <w:rsid w:val="00656E5C"/>
    <w:rsid w:val="00656F59"/>
    <w:rsid w:val="0065713D"/>
    <w:rsid w:val="00657499"/>
    <w:rsid w:val="006574E3"/>
    <w:rsid w:val="006574F6"/>
    <w:rsid w:val="0065754B"/>
    <w:rsid w:val="006576D4"/>
    <w:rsid w:val="006579B0"/>
    <w:rsid w:val="00657AEE"/>
    <w:rsid w:val="00657CEB"/>
    <w:rsid w:val="00657D41"/>
    <w:rsid w:val="00657FAA"/>
    <w:rsid w:val="0066025E"/>
    <w:rsid w:val="0066043B"/>
    <w:rsid w:val="006605D4"/>
    <w:rsid w:val="006605E5"/>
    <w:rsid w:val="00660667"/>
    <w:rsid w:val="0066068E"/>
    <w:rsid w:val="006608F6"/>
    <w:rsid w:val="00660F58"/>
    <w:rsid w:val="00661532"/>
    <w:rsid w:val="00661598"/>
    <w:rsid w:val="00661616"/>
    <w:rsid w:val="006619B4"/>
    <w:rsid w:val="006619D0"/>
    <w:rsid w:val="006619EA"/>
    <w:rsid w:val="00661B7F"/>
    <w:rsid w:val="00661C66"/>
    <w:rsid w:val="00661D3E"/>
    <w:rsid w:val="00661E6C"/>
    <w:rsid w:val="006620FB"/>
    <w:rsid w:val="006621AD"/>
    <w:rsid w:val="00662360"/>
    <w:rsid w:val="0066237B"/>
    <w:rsid w:val="00662386"/>
    <w:rsid w:val="0066242B"/>
    <w:rsid w:val="00662567"/>
    <w:rsid w:val="00662634"/>
    <w:rsid w:val="0066265D"/>
    <w:rsid w:val="00662667"/>
    <w:rsid w:val="006626C5"/>
    <w:rsid w:val="006628F0"/>
    <w:rsid w:val="0066297E"/>
    <w:rsid w:val="00662A91"/>
    <w:rsid w:val="00662A98"/>
    <w:rsid w:val="00662C44"/>
    <w:rsid w:val="00662D68"/>
    <w:rsid w:val="00662E5B"/>
    <w:rsid w:val="00662F1F"/>
    <w:rsid w:val="0066322C"/>
    <w:rsid w:val="006636DC"/>
    <w:rsid w:val="006636EC"/>
    <w:rsid w:val="00663743"/>
    <w:rsid w:val="006638B9"/>
    <w:rsid w:val="006639B9"/>
    <w:rsid w:val="00663B99"/>
    <w:rsid w:val="00663BC1"/>
    <w:rsid w:val="00663C51"/>
    <w:rsid w:val="00663D4D"/>
    <w:rsid w:val="00663E87"/>
    <w:rsid w:val="00663F4E"/>
    <w:rsid w:val="00664227"/>
    <w:rsid w:val="0066423A"/>
    <w:rsid w:val="0066423F"/>
    <w:rsid w:val="006645A9"/>
    <w:rsid w:val="00664896"/>
    <w:rsid w:val="006649B3"/>
    <w:rsid w:val="00664E0B"/>
    <w:rsid w:val="00664E42"/>
    <w:rsid w:val="00665014"/>
    <w:rsid w:val="0066517D"/>
    <w:rsid w:val="006652EB"/>
    <w:rsid w:val="006653F1"/>
    <w:rsid w:val="00665772"/>
    <w:rsid w:val="00665A23"/>
    <w:rsid w:val="00665A6B"/>
    <w:rsid w:val="00665AB4"/>
    <w:rsid w:val="00665AEE"/>
    <w:rsid w:val="00665CBA"/>
    <w:rsid w:val="00665E9A"/>
    <w:rsid w:val="00665FF9"/>
    <w:rsid w:val="0066618A"/>
    <w:rsid w:val="006661B8"/>
    <w:rsid w:val="006663B3"/>
    <w:rsid w:val="006663BD"/>
    <w:rsid w:val="006664B6"/>
    <w:rsid w:val="00666673"/>
    <w:rsid w:val="00666832"/>
    <w:rsid w:val="0066686E"/>
    <w:rsid w:val="00666912"/>
    <w:rsid w:val="00666942"/>
    <w:rsid w:val="00666B2A"/>
    <w:rsid w:val="00666BA1"/>
    <w:rsid w:val="00666C04"/>
    <w:rsid w:val="00666F17"/>
    <w:rsid w:val="00666FB7"/>
    <w:rsid w:val="00667166"/>
    <w:rsid w:val="006671C3"/>
    <w:rsid w:val="0066739B"/>
    <w:rsid w:val="0066754A"/>
    <w:rsid w:val="00667559"/>
    <w:rsid w:val="00667642"/>
    <w:rsid w:val="00667680"/>
    <w:rsid w:val="0066768D"/>
    <w:rsid w:val="0066772A"/>
    <w:rsid w:val="006678D6"/>
    <w:rsid w:val="00667B22"/>
    <w:rsid w:val="00667C65"/>
    <w:rsid w:val="00667D94"/>
    <w:rsid w:val="00667F14"/>
    <w:rsid w:val="00667F25"/>
    <w:rsid w:val="00667FE4"/>
    <w:rsid w:val="006701BB"/>
    <w:rsid w:val="006701D0"/>
    <w:rsid w:val="006701FD"/>
    <w:rsid w:val="006703A4"/>
    <w:rsid w:val="00670446"/>
    <w:rsid w:val="00670805"/>
    <w:rsid w:val="00670934"/>
    <w:rsid w:val="00670A20"/>
    <w:rsid w:val="00670B10"/>
    <w:rsid w:val="00670B24"/>
    <w:rsid w:val="00670E02"/>
    <w:rsid w:val="00670F17"/>
    <w:rsid w:val="00670F1F"/>
    <w:rsid w:val="006710C1"/>
    <w:rsid w:val="0067117B"/>
    <w:rsid w:val="00671302"/>
    <w:rsid w:val="006713C3"/>
    <w:rsid w:val="00671653"/>
    <w:rsid w:val="0067193E"/>
    <w:rsid w:val="0067196F"/>
    <w:rsid w:val="0067198E"/>
    <w:rsid w:val="00671BC1"/>
    <w:rsid w:val="00671C20"/>
    <w:rsid w:val="0067203D"/>
    <w:rsid w:val="00672467"/>
    <w:rsid w:val="006724EC"/>
    <w:rsid w:val="0067257A"/>
    <w:rsid w:val="0067257E"/>
    <w:rsid w:val="006725D5"/>
    <w:rsid w:val="006728AA"/>
    <w:rsid w:val="00672912"/>
    <w:rsid w:val="00672B56"/>
    <w:rsid w:val="00672DA6"/>
    <w:rsid w:val="0067304E"/>
    <w:rsid w:val="00673186"/>
    <w:rsid w:val="00673295"/>
    <w:rsid w:val="0067336E"/>
    <w:rsid w:val="006733BF"/>
    <w:rsid w:val="006737C0"/>
    <w:rsid w:val="00674131"/>
    <w:rsid w:val="0067441B"/>
    <w:rsid w:val="006745E5"/>
    <w:rsid w:val="00674613"/>
    <w:rsid w:val="00674703"/>
    <w:rsid w:val="006747BD"/>
    <w:rsid w:val="00674A5C"/>
    <w:rsid w:val="00674E72"/>
    <w:rsid w:val="00674EAD"/>
    <w:rsid w:val="00675296"/>
    <w:rsid w:val="00675355"/>
    <w:rsid w:val="00675477"/>
    <w:rsid w:val="006757DA"/>
    <w:rsid w:val="006759AB"/>
    <w:rsid w:val="00675AA7"/>
    <w:rsid w:val="00675F08"/>
    <w:rsid w:val="00676124"/>
    <w:rsid w:val="00676196"/>
    <w:rsid w:val="00676326"/>
    <w:rsid w:val="0067637B"/>
    <w:rsid w:val="00676447"/>
    <w:rsid w:val="006764CF"/>
    <w:rsid w:val="006765C2"/>
    <w:rsid w:val="006767D0"/>
    <w:rsid w:val="00676887"/>
    <w:rsid w:val="00676B1B"/>
    <w:rsid w:val="00676FC5"/>
    <w:rsid w:val="0067705E"/>
    <w:rsid w:val="006770C6"/>
    <w:rsid w:val="006771B8"/>
    <w:rsid w:val="006772AB"/>
    <w:rsid w:val="00677396"/>
    <w:rsid w:val="00677522"/>
    <w:rsid w:val="006775E6"/>
    <w:rsid w:val="00677A0E"/>
    <w:rsid w:val="00677C36"/>
    <w:rsid w:val="00677C3D"/>
    <w:rsid w:val="00677CA5"/>
    <w:rsid w:val="00677D65"/>
    <w:rsid w:val="00677E14"/>
    <w:rsid w:val="00677F13"/>
    <w:rsid w:val="00677FD4"/>
    <w:rsid w:val="00677FFC"/>
    <w:rsid w:val="006800EF"/>
    <w:rsid w:val="006800FA"/>
    <w:rsid w:val="006801A0"/>
    <w:rsid w:val="006802E6"/>
    <w:rsid w:val="00680968"/>
    <w:rsid w:val="00680BC2"/>
    <w:rsid w:val="00680C8F"/>
    <w:rsid w:val="00680D0E"/>
    <w:rsid w:val="00680FA1"/>
    <w:rsid w:val="0068116D"/>
    <w:rsid w:val="00681181"/>
    <w:rsid w:val="006811B8"/>
    <w:rsid w:val="006812D5"/>
    <w:rsid w:val="00681307"/>
    <w:rsid w:val="0068144B"/>
    <w:rsid w:val="00681488"/>
    <w:rsid w:val="006816BA"/>
    <w:rsid w:val="00681958"/>
    <w:rsid w:val="00681962"/>
    <w:rsid w:val="00681D80"/>
    <w:rsid w:val="00681E21"/>
    <w:rsid w:val="00681EA0"/>
    <w:rsid w:val="00682099"/>
    <w:rsid w:val="00682273"/>
    <w:rsid w:val="006822C0"/>
    <w:rsid w:val="00682429"/>
    <w:rsid w:val="00682457"/>
    <w:rsid w:val="00682493"/>
    <w:rsid w:val="006824A9"/>
    <w:rsid w:val="006824C5"/>
    <w:rsid w:val="0068256E"/>
    <w:rsid w:val="00682701"/>
    <w:rsid w:val="0068294C"/>
    <w:rsid w:val="006829DF"/>
    <w:rsid w:val="00682AA9"/>
    <w:rsid w:val="00682BB6"/>
    <w:rsid w:val="00682CE3"/>
    <w:rsid w:val="00682EAB"/>
    <w:rsid w:val="006832B5"/>
    <w:rsid w:val="00683350"/>
    <w:rsid w:val="00683362"/>
    <w:rsid w:val="00683375"/>
    <w:rsid w:val="0068353B"/>
    <w:rsid w:val="00683767"/>
    <w:rsid w:val="0068384E"/>
    <w:rsid w:val="0068390D"/>
    <w:rsid w:val="00683C04"/>
    <w:rsid w:val="00683C6A"/>
    <w:rsid w:val="00683DD5"/>
    <w:rsid w:val="00683E33"/>
    <w:rsid w:val="00683F9F"/>
    <w:rsid w:val="006843F8"/>
    <w:rsid w:val="0068447B"/>
    <w:rsid w:val="0068454A"/>
    <w:rsid w:val="006845A8"/>
    <w:rsid w:val="006847D8"/>
    <w:rsid w:val="006848CE"/>
    <w:rsid w:val="0068491F"/>
    <w:rsid w:val="00684A20"/>
    <w:rsid w:val="00684AE3"/>
    <w:rsid w:val="00684DC1"/>
    <w:rsid w:val="00684FB5"/>
    <w:rsid w:val="00685116"/>
    <w:rsid w:val="00685147"/>
    <w:rsid w:val="006851A7"/>
    <w:rsid w:val="006852AC"/>
    <w:rsid w:val="00685347"/>
    <w:rsid w:val="0068536F"/>
    <w:rsid w:val="006853EE"/>
    <w:rsid w:val="00685571"/>
    <w:rsid w:val="006857A0"/>
    <w:rsid w:val="006859A1"/>
    <w:rsid w:val="00685A22"/>
    <w:rsid w:val="00685B70"/>
    <w:rsid w:val="00685C7D"/>
    <w:rsid w:val="00685D57"/>
    <w:rsid w:val="00685DFE"/>
    <w:rsid w:val="006860D7"/>
    <w:rsid w:val="0068611A"/>
    <w:rsid w:val="006862F4"/>
    <w:rsid w:val="006864E2"/>
    <w:rsid w:val="0068673D"/>
    <w:rsid w:val="006867AA"/>
    <w:rsid w:val="00686A68"/>
    <w:rsid w:val="00686C5D"/>
    <w:rsid w:val="00686C73"/>
    <w:rsid w:val="00686C76"/>
    <w:rsid w:val="0068705E"/>
    <w:rsid w:val="00687115"/>
    <w:rsid w:val="00687301"/>
    <w:rsid w:val="00687389"/>
    <w:rsid w:val="0068746A"/>
    <w:rsid w:val="006875F7"/>
    <w:rsid w:val="00687734"/>
    <w:rsid w:val="00687735"/>
    <w:rsid w:val="00687897"/>
    <w:rsid w:val="00687A24"/>
    <w:rsid w:val="00687A32"/>
    <w:rsid w:val="00687B05"/>
    <w:rsid w:val="00687C44"/>
    <w:rsid w:val="00687DA5"/>
    <w:rsid w:val="00687DD5"/>
    <w:rsid w:val="00687E36"/>
    <w:rsid w:val="00687F91"/>
    <w:rsid w:val="00687FE7"/>
    <w:rsid w:val="006900C1"/>
    <w:rsid w:val="006900E4"/>
    <w:rsid w:val="00690178"/>
    <w:rsid w:val="006904BD"/>
    <w:rsid w:val="00690518"/>
    <w:rsid w:val="006905A3"/>
    <w:rsid w:val="0069060B"/>
    <w:rsid w:val="00690751"/>
    <w:rsid w:val="00690A6F"/>
    <w:rsid w:val="00690B53"/>
    <w:rsid w:val="00690CBD"/>
    <w:rsid w:val="00690E7E"/>
    <w:rsid w:val="00691325"/>
    <w:rsid w:val="00691721"/>
    <w:rsid w:val="006917C3"/>
    <w:rsid w:val="0069184B"/>
    <w:rsid w:val="0069188B"/>
    <w:rsid w:val="006918D5"/>
    <w:rsid w:val="0069191B"/>
    <w:rsid w:val="00691963"/>
    <w:rsid w:val="006919B2"/>
    <w:rsid w:val="00691C01"/>
    <w:rsid w:val="00691C72"/>
    <w:rsid w:val="00691F99"/>
    <w:rsid w:val="00691FB4"/>
    <w:rsid w:val="0069208C"/>
    <w:rsid w:val="00692539"/>
    <w:rsid w:val="00692739"/>
    <w:rsid w:val="006929BD"/>
    <w:rsid w:val="00692AA6"/>
    <w:rsid w:val="00692AC6"/>
    <w:rsid w:val="00692BE1"/>
    <w:rsid w:val="00692D1B"/>
    <w:rsid w:val="00692DC2"/>
    <w:rsid w:val="00692F7C"/>
    <w:rsid w:val="00693370"/>
    <w:rsid w:val="006938BC"/>
    <w:rsid w:val="00693A16"/>
    <w:rsid w:val="00693A2A"/>
    <w:rsid w:val="00693B29"/>
    <w:rsid w:val="00693E7B"/>
    <w:rsid w:val="00693FCF"/>
    <w:rsid w:val="0069404B"/>
    <w:rsid w:val="00694073"/>
    <w:rsid w:val="006941B0"/>
    <w:rsid w:val="0069426E"/>
    <w:rsid w:val="006942B7"/>
    <w:rsid w:val="0069430C"/>
    <w:rsid w:val="00694997"/>
    <w:rsid w:val="00694A2E"/>
    <w:rsid w:val="00694B01"/>
    <w:rsid w:val="00694BA6"/>
    <w:rsid w:val="00694BD4"/>
    <w:rsid w:val="00694E5C"/>
    <w:rsid w:val="00694F3D"/>
    <w:rsid w:val="00694FB8"/>
    <w:rsid w:val="00695182"/>
    <w:rsid w:val="0069539E"/>
    <w:rsid w:val="006953C3"/>
    <w:rsid w:val="006953DA"/>
    <w:rsid w:val="00695509"/>
    <w:rsid w:val="00695717"/>
    <w:rsid w:val="00695826"/>
    <w:rsid w:val="00695A21"/>
    <w:rsid w:val="00695B9F"/>
    <w:rsid w:val="00695C3E"/>
    <w:rsid w:val="00695D4C"/>
    <w:rsid w:val="00695E3A"/>
    <w:rsid w:val="00695F1B"/>
    <w:rsid w:val="00695F74"/>
    <w:rsid w:val="00696066"/>
    <w:rsid w:val="00696233"/>
    <w:rsid w:val="00696481"/>
    <w:rsid w:val="006966A6"/>
    <w:rsid w:val="006966BF"/>
    <w:rsid w:val="0069670C"/>
    <w:rsid w:val="006968FA"/>
    <w:rsid w:val="00696937"/>
    <w:rsid w:val="00696A65"/>
    <w:rsid w:val="00696B13"/>
    <w:rsid w:val="00696BA0"/>
    <w:rsid w:val="00696DCE"/>
    <w:rsid w:val="00696EE7"/>
    <w:rsid w:val="00697159"/>
    <w:rsid w:val="00697757"/>
    <w:rsid w:val="006979D2"/>
    <w:rsid w:val="00697C4F"/>
    <w:rsid w:val="00697CDE"/>
    <w:rsid w:val="00697EEF"/>
    <w:rsid w:val="006A00E2"/>
    <w:rsid w:val="006A02A8"/>
    <w:rsid w:val="006A02E3"/>
    <w:rsid w:val="006A037E"/>
    <w:rsid w:val="006A056B"/>
    <w:rsid w:val="006A05BF"/>
    <w:rsid w:val="006A05EB"/>
    <w:rsid w:val="006A074E"/>
    <w:rsid w:val="006A08BA"/>
    <w:rsid w:val="006A0974"/>
    <w:rsid w:val="006A0982"/>
    <w:rsid w:val="006A09AA"/>
    <w:rsid w:val="006A0B8D"/>
    <w:rsid w:val="006A0CBF"/>
    <w:rsid w:val="006A1031"/>
    <w:rsid w:val="006A10CD"/>
    <w:rsid w:val="006A146E"/>
    <w:rsid w:val="006A14FE"/>
    <w:rsid w:val="006A18B6"/>
    <w:rsid w:val="006A1974"/>
    <w:rsid w:val="006A1B48"/>
    <w:rsid w:val="006A1CBC"/>
    <w:rsid w:val="006A1EC7"/>
    <w:rsid w:val="006A1EDC"/>
    <w:rsid w:val="006A1F08"/>
    <w:rsid w:val="006A1F34"/>
    <w:rsid w:val="006A1F44"/>
    <w:rsid w:val="006A1FE3"/>
    <w:rsid w:val="006A21D8"/>
    <w:rsid w:val="006A21EB"/>
    <w:rsid w:val="006A2300"/>
    <w:rsid w:val="006A27F3"/>
    <w:rsid w:val="006A2822"/>
    <w:rsid w:val="006A2C88"/>
    <w:rsid w:val="006A2CAD"/>
    <w:rsid w:val="006A2CAF"/>
    <w:rsid w:val="006A2F2E"/>
    <w:rsid w:val="006A310B"/>
    <w:rsid w:val="006A3150"/>
    <w:rsid w:val="006A3601"/>
    <w:rsid w:val="006A3642"/>
    <w:rsid w:val="006A367D"/>
    <w:rsid w:val="006A36B8"/>
    <w:rsid w:val="006A3789"/>
    <w:rsid w:val="006A38A4"/>
    <w:rsid w:val="006A38B1"/>
    <w:rsid w:val="006A3C63"/>
    <w:rsid w:val="006A3E04"/>
    <w:rsid w:val="006A3E32"/>
    <w:rsid w:val="006A3E67"/>
    <w:rsid w:val="006A3E69"/>
    <w:rsid w:val="006A3F0C"/>
    <w:rsid w:val="006A3FA7"/>
    <w:rsid w:val="006A4075"/>
    <w:rsid w:val="006A4190"/>
    <w:rsid w:val="006A4419"/>
    <w:rsid w:val="006A45E7"/>
    <w:rsid w:val="006A482D"/>
    <w:rsid w:val="006A4849"/>
    <w:rsid w:val="006A4BE1"/>
    <w:rsid w:val="006A4C35"/>
    <w:rsid w:val="006A4DDB"/>
    <w:rsid w:val="006A4F0D"/>
    <w:rsid w:val="006A4F45"/>
    <w:rsid w:val="006A4FA7"/>
    <w:rsid w:val="006A54B8"/>
    <w:rsid w:val="006A55DA"/>
    <w:rsid w:val="006A565F"/>
    <w:rsid w:val="006A5696"/>
    <w:rsid w:val="006A589D"/>
    <w:rsid w:val="006A5B0F"/>
    <w:rsid w:val="006A5E49"/>
    <w:rsid w:val="006A5EB1"/>
    <w:rsid w:val="006A5ED6"/>
    <w:rsid w:val="006A5FF3"/>
    <w:rsid w:val="006A609B"/>
    <w:rsid w:val="006A60F9"/>
    <w:rsid w:val="006A613E"/>
    <w:rsid w:val="006A62DE"/>
    <w:rsid w:val="006A64E0"/>
    <w:rsid w:val="006A64FA"/>
    <w:rsid w:val="006A661F"/>
    <w:rsid w:val="006A6731"/>
    <w:rsid w:val="006A6854"/>
    <w:rsid w:val="006A6AD7"/>
    <w:rsid w:val="006A6BA1"/>
    <w:rsid w:val="006A6D67"/>
    <w:rsid w:val="006A700A"/>
    <w:rsid w:val="006A70EC"/>
    <w:rsid w:val="006A71A1"/>
    <w:rsid w:val="006A7463"/>
    <w:rsid w:val="006A7527"/>
    <w:rsid w:val="006A7565"/>
    <w:rsid w:val="006A7575"/>
    <w:rsid w:val="006A7752"/>
    <w:rsid w:val="006A77E7"/>
    <w:rsid w:val="006A7B06"/>
    <w:rsid w:val="006A7C43"/>
    <w:rsid w:val="006A7D11"/>
    <w:rsid w:val="006A7D2F"/>
    <w:rsid w:val="006B00F6"/>
    <w:rsid w:val="006B0204"/>
    <w:rsid w:val="006B02BD"/>
    <w:rsid w:val="006B03DB"/>
    <w:rsid w:val="006B04AA"/>
    <w:rsid w:val="006B06B8"/>
    <w:rsid w:val="006B06F8"/>
    <w:rsid w:val="006B0898"/>
    <w:rsid w:val="006B0A70"/>
    <w:rsid w:val="006B0B84"/>
    <w:rsid w:val="006B0BF7"/>
    <w:rsid w:val="006B0D4B"/>
    <w:rsid w:val="006B0DD5"/>
    <w:rsid w:val="006B0F89"/>
    <w:rsid w:val="006B1192"/>
    <w:rsid w:val="006B124A"/>
    <w:rsid w:val="006B1389"/>
    <w:rsid w:val="006B1467"/>
    <w:rsid w:val="006B1574"/>
    <w:rsid w:val="006B1624"/>
    <w:rsid w:val="006B19C2"/>
    <w:rsid w:val="006B1B6E"/>
    <w:rsid w:val="006B1BF9"/>
    <w:rsid w:val="006B1C9E"/>
    <w:rsid w:val="006B1D9F"/>
    <w:rsid w:val="006B1E66"/>
    <w:rsid w:val="006B1F37"/>
    <w:rsid w:val="006B20EE"/>
    <w:rsid w:val="006B211F"/>
    <w:rsid w:val="006B2328"/>
    <w:rsid w:val="006B23DB"/>
    <w:rsid w:val="006B2487"/>
    <w:rsid w:val="006B27EC"/>
    <w:rsid w:val="006B2A2D"/>
    <w:rsid w:val="006B2AB1"/>
    <w:rsid w:val="006B2AC0"/>
    <w:rsid w:val="006B2CE6"/>
    <w:rsid w:val="006B2D13"/>
    <w:rsid w:val="006B2D87"/>
    <w:rsid w:val="006B2F6D"/>
    <w:rsid w:val="006B30F8"/>
    <w:rsid w:val="006B3149"/>
    <w:rsid w:val="006B3707"/>
    <w:rsid w:val="006B3942"/>
    <w:rsid w:val="006B3A28"/>
    <w:rsid w:val="006B3B40"/>
    <w:rsid w:val="006B3F38"/>
    <w:rsid w:val="006B40E8"/>
    <w:rsid w:val="006B40EE"/>
    <w:rsid w:val="006B444F"/>
    <w:rsid w:val="006B4551"/>
    <w:rsid w:val="006B46E6"/>
    <w:rsid w:val="006B4735"/>
    <w:rsid w:val="006B4826"/>
    <w:rsid w:val="006B49B9"/>
    <w:rsid w:val="006B4A58"/>
    <w:rsid w:val="006B4C0D"/>
    <w:rsid w:val="006B4C77"/>
    <w:rsid w:val="006B4C8F"/>
    <w:rsid w:val="006B4E8C"/>
    <w:rsid w:val="006B502D"/>
    <w:rsid w:val="006B507F"/>
    <w:rsid w:val="006B53FF"/>
    <w:rsid w:val="006B540A"/>
    <w:rsid w:val="006B5430"/>
    <w:rsid w:val="006B54A6"/>
    <w:rsid w:val="006B54DC"/>
    <w:rsid w:val="006B55D8"/>
    <w:rsid w:val="006B57A5"/>
    <w:rsid w:val="006B591B"/>
    <w:rsid w:val="006B5AE9"/>
    <w:rsid w:val="006B5B8D"/>
    <w:rsid w:val="006B5E0B"/>
    <w:rsid w:val="006B5F2A"/>
    <w:rsid w:val="006B616E"/>
    <w:rsid w:val="006B6215"/>
    <w:rsid w:val="006B669A"/>
    <w:rsid w:val="006B670B"/>
    <w:rsid w:val="006B6711"/>
    <w:rsid w:val="006B6715"/>
    <w:rsid w:val="006B6905"/>
    <w:rsid w:val="006B6B59"/>
    <w:rsid w:val="006B6C46"/>
    <w:rsid w:val="006B6C97"/>
    <w:rsid w:val="006B728E"/>
    <w:rsid w:val="006B7615"/>
    <w:rsid w:val="006B7709"/>
    <w:rsid w:val="006B7C1A"/>
    <w:rsid w:val="006B7C22"/>
    <w:rsid w:val="006B7C62"/>
    <w:rsid w:val="006B7D72"/>
    <w:rsid w:val="006C0158"/>
    <w:rsid w:val="006C027F"/>
    <w:rsid w:val="006C0499"/>
    <w:rsid w:val="006C06AC"/>
    <w:rsid w:val="006C06D7"/>
    <w:rsid w:val="006C07B0"/>
    <w:rsid w:val="006C07BF"/>
    <w:rsid w:val="006C0826"/>
    <w:rsid w:val="006C08CF"/>
    <w:rsid w:val="006C09BD"/>
    <w:rsid w:val="006C09D2"/>
    <w:rsid w:val="006C0A16"/>
    <w:rsid w:val="006C0B0C"/>
    <w:rsid w:val="006C0C40"/>
    <w:rsid w:val="006C0D21"/>
    <w:rsid w:val="006C0DC9"/>
    <w:rsid w:val="006C106B"/>
    <w:rsid w:val="006C1239"/>
    <w:rsid w:val="006C12D9"/>
    <w:rsid w:val="006C138F"/>
    <w:rsid w:val="006C13CE"/>
    <w:rsid w:val="006C15FE"/>
    <w:rsid w:val="006C1614"/>
    <w:rsid w:val="006C16BB"/>
    <w:rsid w:val="006C17A8"/>
    <w:rsid w:val="006C1888"/>
    <w:rsid w:val="006C188C"/>
    <w:rsid w:val="006C1B2A"/>
    <w:rsid w:val="006C1B3C"/>
    <w:rsid w:val="006C1D8C"/>
    <w:rsid w:val="006C1E26"/>
    <w:rsid w:val="006C203B"/>
    <w:rsid w:val="006C2307"/>
    <w:rsid w:val="006C25E5"/>
    <w:rsid w:val="006C289F"/>
    <w:rsid w:val="006C2915"/>
    <w:rsid w:val="006C2A4A"/>
    <w:rsid w:val="006C2AB2"/>
    <w:rsid w:val="006C2B46"/>
    <w:rsid w:val="006C2BF1"/>
    <w:rsid w:val="006C2EFF"/>
    <w:rsid w:val="006C2F29"/>
    <w:rsid w:val="006C311B"/>
    <w:rsid w:val="006C3414"/>
    <w:rsid w:val="006C3697"/>
    <w:rsid w:val="006C3788"/>
    <w:rsid w:val="006C3AE1"/>
    <w:rsid w:val="006C3B0A"/>
    <w:rsid w:val="006C3C3A"/>
    <w:rsid w:val="006C3CC5"/>
    <w:rsid w:val="006C4269"/>
    <w:rsid w:val="006C4589"/>
    <w:rsid w:val="006C482F"/>
    <w:rsid w:val="006C4AF2"/>
    <w:rsid w:val="006C4DE5"/>
    <w:rsid w:val="006C4E7E"/>
    <w:rsid w:val="006C5041"/>
    <w:rsid w:val="006C50E8"/>
    <w:rsid w:val="006C51C3"/>
    <w:rsid w:val="006C51D5"/>
    <w:rsid w:val="006C51F0"/>
    <w:rsid w:val="006C5376"/>
    <w:rsid w:val="006C59DA"/>
    <w:rsid w:val="006C5ABC"/>
    <w:rsid w:val="006C5B3D"/>
    <w:rsid w:val="006C5D95"/>
    <w:rsid w:val="006C5E2A"/>
    <w:rsid w:val="006C5EFF"/>
    <w:rsid w:val="006C5FF9"/>
    <w:rsid w:val="006C61F3"/>
    <w:rsid w:val="006C62E9"/>
    <w:rsid w:val="006C688A"/>
    <w:rsid w:val="006C690A"/>
    <w:rsid w:val="006C6D60"/>
    <w:rsid w:val="006C7091"/>
    <w:rsid w:val="006C70AC"/>
    <w:rsid w:val="006C720B"/>
    <w:rsid w:val="006C7276"/>
    <w:rsid w:val="006C7537"/>
    <w:rsid w:val="006C77A1"/>
    <w:rsid w:val="006C7A3E"/>
    <w:rsid w:val="006C7AD0"/>
    <w:rsid w:val="006C7AF9"/>
    <w:rsid w:val="006C7F81"/>
    <w:rsid w:val="006D00EF"/>
    <w:rsid w:val="006D030A"/>
    <w:rsid w:val="006D0398"/>
    <w:rsid w:val="006D0490"/>
    <w:rsid w:val="006D0553"/>
    <w:rsid w:val="006D0623"/>
    <w:rsid w:val="006D0648"/>
    <w:rsid w:val="006D0750"/>
    <w:rsid w:val="006D0A0D"/>
    <w:rsid w:val="006D0B34"/>
    <w:rsid w:val="006D0B3B"/>
    <w:rsid w:val="006D0B47"/>
    <w:rsid w:val="006D0B7D"/>
    <w:rsid w:val="006D0E26"/>
    <w:rsid w:val="006D101E"/>
    <w:rsid w:val="006D1135"/>
    <w:rsid w:val="006D1535"/>
    <w:rsid w:val="006D15A9"/>
    <w:rsid w:val="006D15D6"/>
    <w:rsid w:val="006D1A21"/>
    <w:rsid w:val="006D1C10"/>
    <w:rsid w:val="006D1C95"/>
    <w:rsid w:val="006D1D47"/>
    <w:rsid w:val="006D1E49"/>
    <w:rsid w:val="006D1ED5"/>
    <w:rsid w:val="006D1F88"/>
    <w:rsid w:val="006D1F8F"/>
    <w:rsid w:val="006D20B0"/>
    <w:rsid w:val="006D26C0"/>
    <w:rsid w:val="006D274F"/>
    <w:rsid w:val="006D278A"/>
    <w:rsid w:val="006D2879"/>
    <w:rsid w:val="006D2A14"/>
    <w:rsid w:val="006D2AC1"/>
    <w:rsid w:val="006D2E20"/>
    <w:rsid w:val="006D2E8E"/>
    <w:rsid w:val="006D2EA0"/>
    <w:rsid w:val="006D3193"/>
    <w:rsid w:val="006D32A1"/>
    <w:rsid w:val="006D3338"/>
    <w:rsid w:val="006D3390"/>
    <w:rsid w:val="006D3541"/>
    <w:rsid w:val="006D35B4"/>
    <w:rsid w:val="006D3A07"/>
    <w:rsid w:val="006D3BE7"/>
    <w:rsid w:val="006D3C22"/>
    <w:rsid w:val="006D3DC4"/>
    <w:rsid w:val="006D3E41"/>
    <w:rsid w:val="006D3F97"/>
    <w:rsid w:val="006D4276"/>
    <w:rsid w:val="006D432E"/>
    <w:rsid w:val="006D46CF"/>
    <w:rsid w:val="006D4940"/>
    <w:rsid w:val="006D4AEA"/>
    <w:rsid w:val="006D4AF2"/>
    <w:rsid w:val="006D4B69"/>
    <w:rsid w:val="006D4C1E"/>
    <w:rsid w:val="006D4C83"/>
    <w:rsid w:val="006D4D1A"/>
    <w:rsid w:val="006D4D87"/>
    <w:rsid w:val="006D4E1C"/>
    <w:rsid w:val="006D4E27"/>
    <w:rsid w:val="006D4E94"/>
    <w:rsid w:val="006D50DE"/>
    <w:rsid w:val="006D5272"/>
    <w:rsid w:val="006D5483"/>
    <w:rsid w:val="006D5820"/>
    <w:rsid w:val="006D5825"/>
    <w:rsid w:val="006D58F1"/>
    <w:rsid w:val="006D5955"/>
    <w:rsid w:val="006D5AF8"/>
    <w:rsid w:val="006D5B0E"/>
    <w:rsid w:val="006D5DB3"/>
    <w:rsid w:val="006D5E65"/>
    <w:rsid w:val="006D5F6F"/>
    <w:rsid w:val="006D6034"/>
    <w:rsid w:val="006D616C"/>
    <w:rsid w:val="006D6221"/>
    <w:rsid w:val="006D6321"/>
    <w:rsid w:val="006D63D9"/>
    <w:rsid w:val="006D652D"/>
    <w:rsid w:val="006D676B"/>
    <w:rsid w:val="006D677F"/>
    <w:rsid w:val="006D69C2"/>
    <w:rsid w:val="006D6EA8"/>
    <w:rsid w:val="006D7046"/>
    <w:rsid w:val="006D7156"/>
    <w:rsid w:val="006D71C4"/>
    <w:rsid w:val="006D72C3"/>
    <w:rsid w:val="006D74CD"/>
    <w:rsid w:val="006D776A"/>
    <w:rsid w:val="006D77E5"/>
    <w:rsid w:val="006D7826"/>
    <w:rsid w:val="006D7990"/>
    <w:rsid w:val="006D7CB6"/>
    <w:rsid w:val="006D7E50"/>
    <w:rsid w:val="006D7EB4"/>
    <w:rsid w:val="006D7FAB"/>
    <w:rsid w:val="006E0025"/>
    <w:rsid w:val="006E0129"/>
    <w:rsid w:val="006E01B8"/>
    <w:rsid w:val="006E035B"/>
    <w:rsid w:val="006E038B"/>
    <w:rsid w:val="006E0417"/>
    <w:rsid w:val="006E0725"/>
    <w:rsid w:val="006E0889"/>
    <w:rsid w:val="006E08D7"/>
    <w:rsid w:val="006E0B16"/>
    <w:rsid w:val="006E0C49"/>
    <w:rsid w:val="006E0C92"/>
    <w:rsid w:val="006E0D0D"/>
    <w:rsid w:val="006E1050"/>
    <w:rsid w:val="006E10D4"/>
    <w:rsid w:val="006E1180"/>
    <w:rsid w:val="006E12DC"/>
    <w:rsid w:val="006E1415"/>
    <w:rsid w:val="006E160B"/>
    <w:rsid w:val="006E1B06"/>
    <w:rsid w:val="006E1BBD"/>
    <w:rsid w:val="006E1E15"/>
    <w:rsid w:val="006E1F19"/>
    <w:rsid w:val="006E2024"/>
    <w:rsid w:val="006E2034"/>
    <w:rsid w:val="006E2162"/>
    <w:rsid w:val="006E2267"/>
    <w:rsid w:val="006E23E6"/>
    <w:rsid w:val="006E25E6"/>
    <w:rsid w:val="006E2780"/>
    <w:rsid w:val="006E27E1"/>
    <w:rsid w:val="006E2852"/>
    <w:rsid w:val="006E29EE"/>
    <w:rsid w:val="006E2BC1"/>
    <w:rsid w:val="006E2C85"/>
    <w:rsid w:val="006E2CA2"/>
    <w:rsid w:val="006E2CE3"/>
    <w:rsid w:val="006E2F9C"/>
    <w:rsid w:val="006E324E"/>
    <w:rsid w:val="006E337B"/>
    <w:rsid w:val="006E35CE"/>
    <w:rsid w:val="006E37A6"/>
    <w:rsid w:val="006E37D0"/>
    <w:rsid w:val="006E398E"/>
    <w:rsid w:val="006E39A0"/>
    <w:rsid w:val="006E3B58"/>
    <w:rsid w:val="006E3C3F"/>
    <w:rsid w:val="006E3D68"/>
    <w:rsid w:val="006E3FAB"/>
    <w:rsid w:val="006E4071"/>
    <w:rsid w:val="006E4194"/>
    <w:rsid w:val="006E421E"/>
    <w:rsid w:val="006E424D"/>
    <w:rsid w:val="006E42C3"/>
    <w:rsid w:val="006E4679"/>
    <w:rsid w:val="006E4894"/>
    <w:rsid w:val="006E49AD"/>
    <w:rsid w:val="006E4BD4"/>
    <w:rsid w:val="006E4C6C"/>
    <w:rsid w:val="006E4DF8"/>
    <w:rsid w:val="006E4F46"/>
    <w:rsid w:val="006E4F54"/>
    <w:rsid w:val="006E5111"/>
    <w:rsid w:val="006E5324"/>
    <w:rsid w:val="006E543A"/>
    <w:rsid w:val="006E550D"/>
    <w:rsid w:val="006E55E1"/>
    <w:rsid w:val="006E5652"/>
    <w:rsid w:val="006E578B"/>
    <w:rsid w:val="006E59E0"/>
    <w:rsid w:val="006E59E2"/>
    <w:rsid w:val="006E5DA4"/>
    <w:rsid w:val="006E5DDF"/>
    <w:rsid w:val="006E6002"/>
    <w:rsid w:val="006E600D"/>
    <w:rsid w:val="006E6044"/>
    <w:rsid w:val="006E61C0"/>
    <w:rsid w:val="006E6349"/>
    <w:rsid w:val="006E649A"/>
    <w:rsid w:val="006E6640"/>
    <w:rsid w:val="006E6712"/>
    <w:rsid w:val="006E6955"/>
    <w:rsid w:val="006E6A54"/>
    <w:rsid w:val="006E6B39"/>
    <w:rsid w:val="006E6B73"/>
    <w:rsid w:val="006E6CF1"/>
    <w:rsid w:val="006E6D78"/>
    <w:rsid w:val="006E6FAD"/>
    <w:rsid w:val="006E6FC1"/>
    <w:rsid w:val="006E708A"/>
    <w:rsid w:val="006E71BC"/>
    <w:rsid w:val="006E786E"/>
    <w:rsid w:val="006E79B6"/>
    <w:rsid w:val="006E7C51"/>
    <w:rsid w:val="006E7D71"/>
    <w:rsid w:val="006E7F80"/>
    <w:rsid w:val="006E7FE9"/>
    <w:rsid w:val="006F00B6"/>
    <w:rsid w:val="006F0186"/>
    <w:rsid w:val="006F0265"/>
    <w:rsid w:val="006F02E8"/>
    <w:rsid w:val="006F0379"/>
    <w:rsid w:val="006F0810"/>
    <w:rsid w:val="006F0A21"/>
    <w:rsid w:val="006F0AFA"/>
    <w:rsid w:val="006F0CF8"/>
    <w:rsid w:val="006F0DA8"/>
    <w:rsid w:val="006F0DAB"/>
    <w:rsid w:val="006F0E52"/>
    <w:rsid w:val="006F10B0"/>
    <w:rsid w:val="006F12A5"/>
    <w:rsid w:val="006F1466"/>
    <w:rsid w:val="006F15E4"/>
    <w:rsid w:val="006F15FD"/>
    <w:rsid w:val="006F16BD"/>
    <w:rsid w:val="006F199E"/>
    <w:rsid w:val="006F1A76"/>
    <w:rsid w:val="006F1B52"/>
    <w:rsid w:val="006F1B60"/>
    <w:rsid w:val="006F1C00"/>
    <w:rsid w:val="006F1CFF"/>
    <w:rsid w:val="006F26A9"/>
    <w:rsid w:val="006F2721"/>
    <w:rsid w:val="006F27A6"/>
    <w:rsid w:val="006F29D2"/>
    <w:rsid w:val="006F2C16"/>
    <w:rsid w:val="006F2FB2"/>
    <w:rsid w:val="006F2FC0"/>
    <w:rsid w:val="006F306C"/>
    <w:rsid w:val="006F3364"/>
    <w:rsid w:val="006F33A2"/>
    <w:rsid w:val="006F3414"/>
    <w:rsid w:val="006F3471"/>
    <w:rsid w:val="006F382E"/>
    <w:rsid w:val="006F3861"/>
    <w:rsid w:val="006F38CE"/>
    <w:rsid w:val="006F3A74"/>
    <w:rsid w:val="006F3BFD"/>
    <w:rsid w:val="006F3CAA"/>
    <w:rsid w:val="006F3CBA"/>
    <w:rsid w:val="006F3E24"/>
    <w:rsid w:val="006F3E5B"/>
    <w:rsid w:val="006F3FC2"/>
    <w:rsid w:val="006F40AF"/>
    <w:rsid w:val="006F41A7"/>
    <w:rsid w:val="006F4235"/>
    <w:rsid w:val="006F42DE"/>
    <w:rsid w:val="006F42FC"/>
    <w:rsid w:val="006F450F"/>
    <w:rsid w:val="006F451E"/>
    <w:rsid w:val="006F45E4"/>
    <w:rsid w:val="006F467D"/>
    <w:rsid w:val="006F46C2"/>
    <w:rsid w:val="006F46C9"/>
    <w:rsid w:val="006F4A5C"/>
    <w:rsid w:val="006F4AE6"/>
    <w:rsid w:val="006F4D29"/>
    <w:rsid w:val="006F4EDB"/>
    <w:rsid w:val="006F4F3A"/>
    <w:rsid w:val="006F51E6"/>
    <w:rsid w:val="006F52B9"/>
    <w:rsid w:val="006F53CF"/>
    <w:rsid w:val="006F53D7"/>
    <w:rsid w:val="006F541A"/>
    <w:rsid w:val="006F563F"/>
    <w:rsid w:val="006F5644"/>
    <w:rsid w:val="006F5866"/>
    <w:rsid w:val="006F5B2F"/>
    <w:rsid w:val="006F5BBB"/>
    <w:rsid w:val="006F5C2B"/>
    <w:rsid w:val="006F5C90"/>
    <w:rsid w:val="006F5D72"/>
    <w:rsid w:val="006F5DA9"/>
    <w:rsid w:val="006F643F"/>
    <w:rsid w:val="006F66A0"/>
    <w:rsid w:val="006F68BC"/>
    <w:rsid w:val="006F69F6"/>
    <w:rsid w:val="006F6A29"/>
    <w:rsid w:val="006F6AD5"/>
    <w:rsid w:val="006F6AD6"/>
    <w:rsid w:val="006F6C96"/>
    <w:rsid w:val="006F6D20"/>
    <w:rsid w:val="006F6E5E"/>
    <w:rsid w:val="006F718F"/>
    <w:rsid w:val="006F71DC"/>
    <w:rsid w:val="006F7480"/>
    <w:rsid w:val="006F752C"/>
    <w:rsid w:val="006F76B1"/>
    <w:rsid w:val="006F787A"/>
    <w:rsid w:val="006F7A75"/>
    <w:rsid w:val="006F7BD0"/>
    <w:rsid w:val="006F7E91"/>
    <w:rsid w:val="0070005A"/>
    <w:rsid w:val="007000AB"/>
    <w:rsid w:val="00700188"/>
    <w:rsid w:val="007002C2"/>
    <w:rsid w:val="0070085E"/>
    <w:rsid w:val="00700863"/>
    <w:rsid w:val="007009A9"/>
    <w:rsid w:val="00700B3F"/>
    <w:rsid w:val="00700F53"/>
    <w:rsid w:val="007010C1"/>
    <w:rsid w:val="00701144"/>
    <w:rsid w:val="00701150"/>
    <w:rsid w:val="007011D0"/>
    <w:rsid w:val="007013C3"/>
    <w:rsid w:val="0070144C"/>
    <w:rsid w:val="007014A3"/>
    <w:rsid w:val="0070156A"/>
    <w:rsid w:val="00701636"/>
    <w:rsid w:val="007017F6"/>
    <w:rsid w:val="00701A29"/>
    <w:rsid w:val="00701C85"/>
    <w:rsid w:val="007020E6"/>
    <w:rsid w:val="007021AE"/>
    <w:rsid w:val="0070287F"/>
    <w:rsid w:val="007028AD"/>
    <w:rsid w:val="00702972"/>
    <w:rsid w:val="00702AAE"/>
    <w:rsid w:val="00702AB7"/>
    <w:rsid w:val="00702B7A"/>
    <w:rsid w:val="00702BF3"/>
    <w:rsid w:val="00702D48"/>
    <w:rsid w:val="00703002"/>
    <w:rsid w:val="00703292"/>
    <w:rsid w:val="0070339A"/>
    <w:rsid w:val="0070353F"/>
    <w:rsid w:val="00703562"/>
    <w:rsid w:val="00703792"/>
    <w:rsid w:val="007037DB"/>
    <w:rsid w:val="007038AE"/>
    <w:rsid w:val="007038B9"/>
    <w:rsid w:val="007039FD"/>
    <w:rsid w:val="00703CE8"/>
    <w:rsid w:val="00703D40"/>
    <w:rsid w:val="00703DC3"/>
    <w:rsid w:val="00703F6B"/>
    <w:rsid w:val="00703FAD"/>
    <w:rsid w:val="00704276"/>
    <w:rsid w:val="00704490"/>
    <w:rsid w:val="00704646"/>
    <w:rsid w:val="007046FF"/>
    <w:rsid w:val="007048AC"/>
    <w:rsid w:val="007049D7"/>
    <w:rsid w:val="00704CA9"/>
    <w:rsid w:val="00704EA5"/>
    <w:rsid w:val="00704F05"/>
    <w:rsid w:val="00704FC4"/>
    <w:rsid w:val="0070500C"/>
    <w:rsid w:val="00705081"/>
    <w:rsid w:val="00705497"/>
    <w:rsid w:val="007056E3"/>
    <w:rsid w:val="007058AF"/>
    <w:rsid w:val="0070592C"/>
    <w:rsid w:val="00705B33"/>
    <w:rsid w:val="00705EFF"/>
    <w:rsid w:val="00705F11"/>
    <w:rsid w:val="0070615E"/>
    <w:rsid w:val="00706243"/>
    <w:rsid w:val="007062B7"/>
    <w:rsid w:val="007063E4"/>
    <w:rsid w:val="0070655A"/>
    <w:rsid w:val="0070663A"/>
    <w:rsid w:val="007066D1"/>
    <w:rsid w:val="0070686E"/>
    <w:rsid w:val="00706909"/>
    <w:rsid w:val="00706AFF"/>
    <w:rsid w:val="00706BF4"/>
    <w:rsid w:val="00706C4B"/>
    <w:rsid w:val="00706CCA"/>
    <w:rsid w:val="00706D6D"/>
    <w:rsid w:val="00706E73"/>
    <w:rsid w:val="00706F92"/>
    <w:rsid w:val="0070708C"/>
    <w:rsid w:val="0070731A"/>
    <w:rsid w:val="0070734E"/>
    <w:rsid w:val="007074C7"/>
    <w:rsid w:val="0070750E"/>
    <w:rsid w:val="00707697"/>
    <w:rsid w:val="0070779C"/>
    <w:rsid w:val="0070782A"/>
    <w:rsid w:val="007079E6"/>
    <w:rsid w:val="007079F7"/>
    <w:rsid w:val="00707C49"/>
    <w:rsid w:val="00707D36"/>
    <w:rsid w:val="00707E67"/>
    <w:rsid w:val="00707F00"/>
    <w:rsid w:val="00710292"/>
    <w:rsid w:val="00710425"/>
    <w:rsid w:val="00710545"/>
    <w:rsid w:val="0071066C"/>
    <w:rsid w:val="007108BE"/>
    <w:rsid w:val="007108DA"/>
    <w:rsid w:val="00710A35"/>
    <w:rsid w:val="00710A58"/>
    <w:rsid w:val="00710C2A"/>
    <w:rsid w:val="00710CC9"/>
    <w:rsid w:val="0071143A"/>
    <w:rsid w:val="007116AC"/>
    <w:rsid w:val="00711814"/>
    <w:rsid w:val="00711DB3"/>
    <w:rsid w:val="00711F11"/>
    <w:rsid w:val="00712390"/>
    <w:rsid w:val="007124A2"/>
    <w:rsid w:val="007124DC"/>
    <w:rsid w:val="007124FF"/>
    <w:rsid w:val="0071260F"/>
    <w:rsid w:val="007126C8"/>
    <w:rsid w:val="0071273D"/>
    <w:rsid w:val="00712B08"/>
    <w:rsid w:val="00713117"/>
    <w:rsid w:val="00713147"/>
    <w:rsid w:val="007131A3"/>
    <w:rsid w:val="00713367"/>
    <w:rsid w:val="007133ED"/>
    <w:rsid w:val="00713456"/>
    <w:rsid w:val="0071380C"/>
    <w:rsid w:val="00713839"/>
    <w:rsid w:val="0071394B"/>
    <w:rsid w:val="00713950"/>
    <w:rsid w:val="00713983"/>
    <w:rsid w:val="00713A43"/>
    <w:rsid w:val="00713C65"/>
    <w:rsid w:val="00713CA7"/>
    <w:rsid w:val="00713CB2"/>
    <w:rsid w:val="00713E3A"/>
    <w:rsid w:val="00713FB5"/>
    <w:rsid w:val="00714363"/>
    <w:rsid w:val="00714455"/>
    <w:rsid w:val="007144C1"/>
    <w:rsid w:val="007145F8"/>
    <w:rsid w:val="0071464E"/>
    <w:rsid w:val="007149C9"/>
    <w:rsid w:val="00714A61"/>
    <w:rsid w:val="00714AC6"/>
    <w:rsid w:val="00714D9B"/>
    <w:rsid w:val="00714DC6"/>
    <w:rsid w:val="00714DF4"/>
    <w:rsid w:val="00714ED2"/>
    <w:rsid w:val="0071524F"/>
    <w:rsid w:val="00715276"/>
    <w:rsid w:val="00715290"/>
    <w:rsid w:val="007156BE"/>
    <w:rsid w:val="0071572D"/>
    <w:rsid w:val="0071588B"/>
    <w:rsid w:val="00715B60"/>
    <w:rsid w:val="00715E8D"/>
    <w:rsid w:val="00716159"/>
    <w:rsid w:val="0071631F"/>
    <w:rsid w:val="00716429"/>
    <w:rsid w:val="00716A30"/>
    <w:rsid w:val="00716A8B"/>
    <w:rsid w:val="00716BB4"/>
    <w:rsid w:val="00716D40"/>
    <w:rsid w:val="00716D69"/>
    <w:rsid w:val="00716D85"/>
    <w:rsid w:val="00716E30"/>
    <w:rsid w:val="00716F2F"/>
    <w:rsid w:val="0071700B"/>
    <w:rsid w:val="00717136"/>
    <w:rsid w:val="00717272"/>
    <w:rsid w:val="007172D0"/>
    <w:rsid w:val="00717528"/>
    <w:rsid w:val="007175BD"/>
    <w:rsid w:val="007176F3"/>
    <w:rsid w:val="00717B7D"/>
    <w:rsid w:val="00717BE3"/>
    <w:rsid w:val="00717C55"/>
    <w:rsid w:val="00717C73"/>
    <w:rsid w:val="00717D99"/>
    <w:rsid w:val="00717E3E"/>
    <w:rsid w:val="00717F59"/>
    <w:rsid w:val="00720005"/>
    <w:rsid w:val="0072020D"/>
    <w:rsid w:val="00720268"/>
    <w:rsid w:val="007205D8"/>
    <w:rsid w:val="00720985"/>
    <w:rsid w:val="00720A81"/>
    <w:rsid w:val="00720B98"/>
    <w:rsid w:val="00720DB7"/>
    <w:rsid w:val="00720FB5"/>
    <w:rsid w:val="0072100F"/>
    <w:rsid w:val="007210E5"/>
    <w:rsid w:val="0072114B"/>
    <w:rsid w:val="00721330"/>
    <w:rsid w:val="00721366"/>
    <w:rsid w:val="00721421"/>
    <w:rsid w:val="007217E8"/>
    <w:rsid w:val="00721AF7"/>
    <w:rsid w:val="00721BAC"/>
    <w:rsid w:val="00721DD6"/>
    <w:rsid w:val="00721E0A"/>
    <w:rsid w:val="007220C6"/>
    <w:rsid w:val="007220EB"/>
    <w:rsid w:val="007224B0"/>
    <w:rsid w:val="00722529"/>
    <w:rsid w:val="00722626"/>
    <w:rsid w:val="00722847"/>
    <w:rsid w:val="0072291A"/>
    <w:rsid w:val="007229C9"/>
    <w:rsid w:val="007229CB"/>
    <w:rsid w:val="00722BA4"/>
    <w:rsid w:val="00722C0D"/>
    <w:rsid w:val="00722C25"/>
    <w:rsid w:val="00722D9E"/>
    <w:rsid w:val="00722EB2"/>
    <w:rsid w:val="007230D6"/>
    <w:rsid w:val="007237C7"/>
    <w:rsid w:val="00723966"/>
    <w:rsid w:val="0072396D"/>
    <w:rsid w:val="007239D4"/>
    <w:rsid w:val="00723A0F"/>
    <w:rsid w:val="00723AEF"/>
    <w:rsid w:val="00723CD7"/>
    <w:rsid w:val="00723CE9"/>
    <w:rsid w:val="00723E4B"/>
    <w:rsid w:val="0072402E"/>
    <w:rsid w:val="00724146"/>
    <w:rsid w:val="00724223"/>
    <w:rsid w:val="00724384"/>
    <w:rsid w:val="00724432"/>
    <w:rsid w:val="00724553"/>
    <w:rsid w:val="00724573"/>
    <w:rsid w:val="0072470D"/>
    <w:rsid w:val="00724A7F"/>
    <w:rsid w:val="00724C28"/>
    <w:rsid w:val="00724CBA"/>
    <w:rsid w:val="00724EAF"/>
    <w:rsid w:val="00724F8C"/>
    <w:rsid w:val="00724FDF"/>
    <w:rsid w:val="00725009"/>
    <w:rsid w:val="007250C4"/>
    <w:rsid w:val="0072537B"/>
    <w:rsid w:val="007253EB"/>
    <w:rsid w:val="007254B1"/>
    <w:rsid w:val="00725567"/>
    <w:rsid w:val="0072558F"/>
    <w:rsid w:val="0072563F"/>
    <w:rsid w:val="00725728"/>
    <w:rsid w:val="00725AF0"/>
    <w:rsid w:val="00725B09"/>
    <w:rsid w:val="00725DE4"/>
    <w:rsid w:val="00725DF4"/>
    <w:rsid w:val="00725E52"/>
    <w:rsid w:val="00725F1A"/>
    <w:rsid w:val="0072610E"/>
    <w:rsid w:val="00726270"/>
    <w:rsid w:val="0072634E"/>
    <w:rsid w:val="00726449"/>
    <w:rsid w:val="007265C1"/>
    <w:rsid w:val="00726744"/>
    <w:rsid w:val="00726780"/>
    <w:rsid w:val="007267FE"/>
    <w:rsid w:val="0072683B"/>
    <w:rsid w:val="00726846"/>
    <w:rsid w:val="00726896"/>
    <w:rsid w:val="00726927"/>
    <w:rsid w:val="00726A47"/>
    <w:rsid w:val="00726AA0"/>
    <w:rsid w:val="00726B06"/>
    <w:rsid w:val="00726C0C"/>
    <w:rsid w:val="00726C47"/>
    <w:rsid w:val="00726C74"/>
    <w:rsid w:val="00726CF8"/>
    <w:rsid w:val="00726ED0"/>
    <w:rsid w:val="00726EE8"/>
    <w:rsid w:val="00727028"/>
    <w:rsid w:val="00727190"/>
    <w:rsid w:val="00727245"/>
    <w:rsid w:val="0072739B"/>
    <w:rsid w:val="00727590"/>
    <w:rsid w:val="00727614"/>
    <w:rsid w:val="007277E1"/>
    <w:rsid w:val="007279E3"/>
    <w:rsid w:val="00727B56"/>
    <w:rsid w:val="00727BE4"/>
    <w:rsid w:val="00727C01"/>
    <w:rsid w:val="00727DFE"/>
    <w:rsid w:val="0073032D"/>
    <w:rsid w:val="00730456"/>
    <w:rsid w:val="00730664"/>
    <w:rsid w:val="007308B4"/>
    <w:rsid w:val="007308ED"/>
    <w:rsid w:val="0073099B"/>
    <w:rsid w:val="00730A5B"/>
    <w:rsid w:val="00730B81"/>
    <w:rsid w:val="00731280"/>
    <w:rsid w:val="00731359"/>
    <w:rsid w:val="0073137D"/>
    <w:rsid w:val="00731568"/>
    <w:rsid w:val="00731603"/>
    <w:rsid w:val="0073166E"/>
    <w:rsid w:val="007317A5"/>
    <w:rsid w:val="00731A42"/>
    <w:rsid w:val="00731AA0"/>
    <w:rsid w:val="00731AB2"/>
    <w:rsid w:val="00731B44"/>
    <w:rsid w:val="0073202E"/>
    <w:rsid w:val="007320D3"/>
    <w:rsid w:val="007320F4"/>
    <w:rsid w:val="00732830"/>
    <w:rsid w:val="007328AD"/>
    <w:rsid w:val="007328BE"/>
    <w:rsid w:val="00732CFA"/>
    <w:rsid w:val="00732DD4"/>
    <w:rsid w:val="00732DE1"/>
    <w:rsid w:val="00732E2C"/>
    <w:rsid w:val="00732FF7"/>
    <w:rsid w:val="00733042"/>
    <w:rsid w:val="00733070"/>
    <w:rsid w:val="00733099"/>
    <w:rsid w:val="007330EB"/>
    <w:rsid w:val="00733209"/>
    <w:rsid w:val="007332B6"/>
    <w:rsid w:val="00733398"/>
    <w:rsid w:val="007335E0"/>
    <w:rsid w:val="00733633"/>
    <w:rsid w:val="00733642"/>
    <w:rsid w:val="00733703"/>
    <w:rsid w:val="0073370C"/>
    <w:rsid w:val="00733785"/>
    <w:rsid w:val="00733974"/>
    <w:rsid w:val="00733C9D"/>
    <w:rsid w:val="00733CB0"/>
    <w:rsid w:val="00733FF5"/>
    <w:rsid w:val="007340BF"/>
    <w:rsid w:val="00734197"/>
    <w:rsid w:val="0073419D"/>
    <w:rsid w:val="0073439C"/>
    <w:rsid w:val="00734468"/>
    <w:rsid w:val="007349E9"/>
    <w:rsid w:val="00734A58"/>
    <w:rsid w:val="00734F2B"/>
    <w:rsid w:val="0073556F"/>
    <w:rsid w:val="00735861"/>
    <w:rsid w:val="00735884"/>
    <w:rsid w:val="00735A0B"/>
    <w:rsid w:val="00735DB8"/>
    <w:rsid w:val="00735ECF"/>
    <w:rsid w:val="00735F05"/>
    <w:rsid w:val="00735F79"/>
    <w:rsid w:val="007360A7"/>
    <w:rsid w:val="00736117"/>
    <w:rsid w:val="007361DE"/>
    <w:rsid w:val="007364AC"/>
    <w:rsid w:val="00736556"/>
    <w:rsid w:val="007365F0"/>
    <w:rsid w:val="0073678F"/>
    <w:rsid w:val="007367BB"/>
    <w:rsid w:val="007368A2"/>
    <w:rsid w:val="007368B0"/>
    <w:rsid w:val="00736B29"/>
    <w:rsid w:val="00736B55"/>
    <w:rsid w:val="00736BA3"/>
    <w:rsid w:val="00736BF4"/>
    <w:rsid w:val="00736DE9"/>
    <w:rsid w:val="00736F8F"/>
    <w:rsid w:val="0073700F"/>
    <w:rsid w:val="0073710A"/>
    <w:rsid w:val="00737145"/>
    <w:rsid w:val="00737188"/>
    <w:rsid w:val="00737190"/>
    <w:rsid w:val="00737217"/>
    <w:rsid w:val="0073725E"/>
    <w:rsid w:val="007372D9"/>
    <w:rsid w:val="00737350"/>
    <w:rsid w:val="007373BE"/>
    <w:rsid w:val="007374BD"/>
    <w:rsid w:val="007375F2"/>
    <w:rsid w:val="007379AD"/>
    <w:rsid w:val="00737B85"/>
    <w:rsid w:val="00737BDA"/>
    <w:rsid w:val="00737C9C"/>
    <w:rsid w:val="00737D4B"/>
    <w:rsid w:val="00737D50"/>
    <w:rsid w:val="00737EFA"/>
    <w:rsid w:val="007401D0"/>
    <w:rsid w:val="00740239"/>
    <w:rsid w:val="00740321"/>
    <w:rsid w:val="00740434"/>
    <w:rsid w:val="0074043D"/>
    <w:rsid w:val="00740575"/>
    <w:rsid w:val="007405AC"/>
    <w:rsid w:val="0074075D"/>
    <w:rsid w:val="007407C5"/>
    <w:rsid w:val="00740939"/>
    <w:rsid w:val="00740990"/>
    <w:rsid w:val="00740AB1"/>
    <w:rsid w:val="00740D12"/>
    <w:rsid w:val="00740D2E"/>
    <w:rsid w:val="00740E32"/>
    <w:rsid w:val="007411A9"/>
    <w:rsid w:val="007412A6"/>
    <w:rsid w:val="0074139B"/>
    <w:rsid w:val="007414BD"/>
    <w:rsid w:val="00741804"/>
    <w:rsid w:val="00741958"/>
    <w:rsid w:val="00741BC5"/>
    <w:rsid w:val="00741D5C"/>
    <w:rsid w:val="00741E12"/>
    <w:rsid w:val="00742100"/>
    <w:rsid w:val="00742277"/>
    <w:rsid w:val="00742439"/>
    <w:rsid w:val="007425A6"/>
    <w:rsid w:val="0074291D"/>
    <w:rsid w:val="00742FA2"/>
    <w:rsid w:val="00742FF7"/>
    <w:rsid w:val="0074307A"/>
    <w:rsid w:val="0074319F"/>
    <w:rsid w:val="007431CF"/>
    <w:rsid w:val="00743721"/>
    <w:rsid w:val="00743857"/>
    <w:rsid w:val="00743A10"/>
    <w:rsid w:val="00743A5D"/>
    <w:rsid w:val="00743A64"/>
    <w:rsid w:val="00743B3A"/>
    <w:rsid w:val="00743C0B"/>
    <w:rsid w:val="00743CCD"/>
    <w:rsid w:val="00743EA5"/>
    <w:rsid w:val="0074408F"/>
    <w:rsid w:val="00744340"/>
    <w:rsid w:val="007443AC"/>
    <w:rsid w:val="0074459E"/>
    <w:rsid w:val="00744739"/>
    <w:rsid w:val="00744765"/>
    <w:rsid w:val="007447B3"/>
    <w:rsid w:val="00744B75"/>
    <w:rsid w:val="00744BC5"/>
    <w:rsid w:val="00744C7F"/>
    <w:rsid w:val="00744F97"/>
    <w:rsid w:val="00745066"/>
    <w:rsid w:val="007450DD"/>
    <w:rsid w:val="00745204"/>
    <w:rsid w:val="0074527B"/>
    <w:rsid w:val="007452D5"/>
    <w:rsid w:val="0074570A"/>
    <w:rsid w:val="0074598E"/>
    <w:rsid w:val="00745BE5"/>
    <w:rsid w:val="00745D0C"/>
    <w:rsid w:val="00745F75"/>
    <w:rsid w:val="00745F96"/>
    <w:rsid w:val="00745FCF"/>
    <w:rsid w:val="00746022"/>
    <w:rsid w:val="0074651F"/>
    <w:rsid w:val="007465A9"/>
    <w:rsid w:val="0074670B"/>
    <w:rsid w:val="007467C5"/>
    <w:rsid w:val="007469AE"/>
    <w:rsid w:val="00746ACD"/>
    <w:rsid w:val="00747091"/>
    <w:rsid w:val="00747177"/>
    <w:rsid w:val="007471D4"/>
    <w:rsid w:val="0074724D"/>
    <w:rsid w:val="00747373"/>
    <w:rsid w:val="00747445"/>
    <w:rsid w:val="00747485"/>
    <w:rsid w:val="0074749F"/>
    <w:rsid w:val="00747596"/>
    <w:rsid w:val="00747756"/>
    <w:rsid w:val="00747874"/>
    <w:rsid w:val="00747E14"/>
    <w:rsid w:val="007501FD"/>
    <w:rsid w:val="0075037B"/>
    <w:rsid w:val="00750517"/>
    <w:rsid w:val="007506BD"/>
    <w:rsid w:val="00750783"/>
    <w:rsid w:val="00750863"/>
    <w:rsid w:val="00750958"/>
    <w:rsid w:val="0075095D"/>
    <w:rsid w:val="0075095E"/>
    <w:rsid w:val="00750B4A"/>
    <w:rsid w:val="00750CE5"/>
    <w:rsid w:val="00750D99"/>
    <w:rsid w:val="00750DB9"/>
    <w:rsid w:val="00750E73"/>
    <w:rsid w:val="007510C4"/>
    <w:rsid w:val="0075117F"/>
    <w:rsid w:val="007513BA"/>
    <w:rsid w:val="00751466"/>
    <w:rsid w:val="00751671"/>
    <w:rsid w:val="00751847"/>
    <w:rsid w:val="00751C53"/>
    <w:rsid w:val="007522F2"/>
    <w:rsid w:val="00752356"/>
    <w:rsid w:val="007525AB"/>
    <w:rsid w:val="00752818"/>
    <w:rsid w:val="00752979"/>
    <w:rsid w:val="00752ADC"/>
    <w:rsid w:val="00752B4E"/>
    <w:rsid w:val="00752DE3"/>
    <w:rsid w:val="00752F0E"/>
    <w:rsid w:val="00753158"/>
    <w:rsid w:val="00753428"/>
    <w:rsid w:val="0075342A"/>
    <w:rsid w:val="00753677"/>
    <w:rsid w:val="00753903"/>
    <w:rsid w:val="00753955"/>
    <w:rsid w:val="00753A9A"/>
    <w:rsid w:val="00753BD8"/>
    <w:rsid w:val="00753C87"/>
    <w:rsid w:val="00753D57"/>
    <w:rsid w:val="00753D62"/>
    <w:rsid w:val="00753DCD"/>
    <w:rsid w:val="00753E75"/>
    <w:rsid w:val="0075423F"/>
    <w:rsid w:val="00754251"/>
    <w:rsid w:val="007542ED"/>
    <w:rsid w:val="00754435"/>
    <w:rsid w:val="00754482"/>
    <w:rsid w:val="007544CA"/>
    <w:rsid w:val="00754800"/>
    <w:rsid w:val="00754859"/>
    <w:rsid w:val="00754A0D"/>
    <w:rsid w:val="00754B27"/>
    <w:rsid w:val="00754C02"/>
    <w:rsid w:val="00754C52"/>
    <w:rsid w:val="00754DF4"/>
    <w:rsid w:val="00754F93"/>
    <w:rsid w:val="00754FB8"/>
    <w:rsid w:val="00755034"/>
    <w:rsid w:val="00755170"/>
    <w:rsid w:val="007552C1"/>
    <w:rsid w:val="007554C0"/>
    <w:rsid w:val="0075558D"/>
    <w:rsid w:val="0075559E"/>
    <w:rsid w:val="007557BB"/>
    <w:rsid w:val="007557EB"/>
    <w:rsid w:val="00755CE5"/>
    <w:rsid w:val="00755F85"/>
    <w:rsid w:val="00755FF3"/>
    <w:rsid w:val="0075603E"/>
    <w:rsid w:val="007561E4"/>
    <w:rsid w:val="00756201"/>
    <w:rsid w:val="007562E2"/>
    <w:rsid w:val="00756629"/>
    <w:rsid w:val="007567C8"/>
    <w:rsid w:val="007567D2"/>
    <w:rsid w:val="00756948"/>
    <w:rsid w:val="00756DEF"/>
    <w:rsid w:val="00756E60"/>
    <w:rsid w:val="00756FA5"/>
    <w:rsid w:val="007571F5"/>
    <w:rsid w:val="0075727E"/>
    <w:rsid w:val="007574C4"/>
    <w:rsid w:val="0075756A"/>
    <w:rsid w:val="00757656"/>
    <w:rsid w:val="007577C2"/>
    <w:rsid w:val="0075780A"/>
    <w:rsid w:val="00757973"/>
    <w:rsid w:val="00757BA7"/>
    <w:rsid w:val="00757C87"/>
    <w:rsid w:val="00757E21"/>
    <w:rsid w:val="00760045"/>
    <w:rsid w:val="007600E4"/>
    <w:rsid w:val="00760622"/>
    <w:rsid w:val="007606DD"/>
    <w:rsid w:val="00760705"/>
    <w:rsid w:val="00760837"/>
    <w:rsid w:val="0076085F"/>
    <w:rsid w:val="00760969"/>
    <w:rsid w:val="00760A32"/>
    <w:rsid w:val="00760C64"/>
    <w:rsid w:val="00760D3C"/>
    <w:rsid w:val="00760DAD"/>
    <w:rsid w:val="00761084"/>
    <w:rsid w:val="00761212"/>
    <w:rsid w:val="00761247"/>
    <w:rsid w:val="007612E5"/>
    <w:rsid w:val="00761462"/>
    <w:rsid w:val="00761590"/>
    <w:rsid w:val="007619A6"/>
    <w:rsid w:val="00761BF6"/>
    <w:rsid w:val="00761D2D"/>
    <w:rsid w:val="00761D8F"/>
    <w:rsid w:val="00761E47"/>
    <w:rsid w:val="00761E5D"/>
    <w:rsid w:val="00761F1A"/>
    <w:rsid w:val="00761FB3"/>
    <w:rsid w:val="00761FDE"/>
    <w:rsid w:val="00762218"/>
    <w:rsid w:val="007622EB"/>
    <w:rsid w:val="007624C4"/>
    <w:rsid w:val="00762553"/>
    <w:rsid w:val="00762613"/>
    <w:rsid w:val="00762652"/>
    <w:rsid w:val="00762689"/>
    <w:rsid w:val="0076272B"/>
    <w:rsid w:val="00762841"/>
    <w:rsid w:val="007628B8"/>
    <w:rsid w:val="00762913"/>
    <w:rsid w:val="00762991"/>
    <w:rsid w:val="00762F2B"/>
    <w:rsid w:val="00762F9C"/>
    <w:rsid w:val="007630A7"/>
    <w:rsid w:val="0076310E"/>
    <w:rsid w:val="0076317E"/>
    <w:rsid w:val="0076328E"/>
    <w:rsid w:val="007632B7"/>
    <w:rsid w:val="00763715"/>
    <w:rsid w:val="007637F1"/>
    <w:rsid w:val="00763A6E"/>
    <w:rsid w:val="00763AD1"/>
    <w:rsid w:val="00763BA5"/>
    <w:rsid w:val="00763F0E"/>
    <w:rsid w:val="0076412D"/>
    <w:rsid w:val="00764131"/>
    <w:rsid w:val="00764180"/>
    <w:rsid w:val="00764349"/>
    <w:rsid w:val="00764549"/>
    <w:rsid w:val="007645CA"/>
    <w:rsid w:val="007647A5"/>
    <w:rsid w:val="00764C5D"/>
    <w:rsid w:val="00764CFF"/>
    <w:rsid w:val="00764D5F"/>
    <w:rsid w:val="00764D6A"/>
    <w:rsid w:val="00764E17"/>
    <w:rsid w:val="00765159"/>
    <w:rsid w:val="00765311"/>
    <w:rsid w:val="0076552C"/>
    <w:rsid w:val="007655F3"/>
    <w:rsid w:val="0076561E"/>
    <w:rsid w:val="00765726"/>
    <w:rsid w:val="0076575F"/>
    <w:rsid w:val="00765801"/>
    <w:rsid w:val="00765D6F"/>
    <w:rsid w:val="00765F2F"/>
    <w:rsid w:val="00766033"/>
    <w:rsid w:val="007661B0"/>
    <w:rsid w:val="00766276"/>
    <w:rsid w:val="00766546"/>
    <w:rsid w:val="0076659A"/>
    <w:rsid w:val="00766660"/>
    <w:rsid w:val="007666C9"/>
    <w:rsid w:val="00766CAC"/>
    <w:rsid w:val="00766DDD"/>
    <w:rsid w:val="00766F1F"/>
    <w:rsid w:val="00766F5C"/>
    <w:rsid w:val="00767056"/>
    <w:rsid w:val="007671E0"/>
    <w:rsid w:val="00767729"/>
    <w:rsid w:val="007679E8"/>
    <w:rsid w:val="00767A9F"/>
    <w:rsid w:val="00767B6D"/>
    <w:rsid w:val="00767BC4"/>
    <w:rsid w:val="00767D49"/>
    <w:rsid w:val="00770089"/>
    <w:rsid w:val="00770264"/>
    <w:rsid w:val="00770405"/>
    <w:rsid w:val="00770434"/>
    <w:rsid w:val="00770485"/>
    <w:rsid w:val="00770672"/>
    <w:rsid w:val="00770772"/>
    <w:rsid w:val="0077077C"/>
    <w:rsid w:val="007708C3"/>
    <w:rsid w:val="00770933"/>
    <w:rsid w:val="00770AA9"/>
    <w:rsid w:val="00770BDC"/>
    <w:rsid w:val="007710D4"/>
    <w:rsid w:val="00771189"/>
    <w:rsid w:val="007712DD"/>
    <w:rsid w:val="00771395"/>
    <w:rsid w:val="007716AB"/>
    <w:rsid w:val="007717A2"/>
    <w:rsid w:val="007717CB"/>
    <w:rsid w:val="00771984"/>
    <w:rsid w:val="00771CCA"/>
    <w:rsid w:val="00771D00"/>
    <w:rsid w:val="00771FA9"/>
    <w:rsid w:val="00772094"/>
    <w:rsid w:val="00772115"/>
    <w:rsid w:val="00772170"/>
    <w:rsid w:val="00772855"/>
    <w:rsid w:val="00772A34"/>
    <w:rsid w:val="00772BB2"/>
    <w:rsid w:val="00772DCA"/>
    <w:rsid w:val="00772F4E"/>
    <w:rsid w:val="00772F90"/>
    <w:rsid w:val="007730A0"/>
    <w:rsid w:val="007730B4"/>
    <w:rsid w:val="00773236"/>
    <w:rsid w:val="00773279"/>
    <w:rsid w:val="00773309"/>
    <w:rsid w:val="00773333"/>
    <w:rsid w:val="00773353"/>
    <w:rsid w:val="0077350A"/>
    <w:rsid w:val="0077361F"/>
    <w:rsid w:val="007736F0"/>
    <w:rsid w:val="0077379C"/>
    <w:rsid w:val="00773C0B"/>
    <w:rsid w:val="0077401B"/>
    <w:rsid w:val="007741B6"/>
    <w:rsid w:val="0077433E"/>
    <w:rsid w:val="00774441"/>
    <w:rsid w:val="00774548"/>
    <w:rsid w:val="007745A5"/>
    <w:rsid w:val="0077461D"/>
    <w:rsid w:val="00774950"/>
    <w:rsid w:val="00774A4E"/>
    <w:rsid w:val="00774A74"/>
    <w:rsid w:val="00774AB6"/>
    <w:rsid w:val="00774D05"/>
    <w:rsid w:val="00774DA3"/>
    <w:rsid w:val="00774F20"/>
    <w:rsid w:val="00775264"/>
    <w:rsid w:val="00775272"/>
    <w:rsid w:val="00775327"/>
    <w:rsid w:val="007753E4"/>
    <w:rsid w:val="0077562D"/>
    <w:rsid w:val="00775941"/>
    <w:rsid w:val="007759A0"/>
    <w:rsid w:val="007759D2"/>
    <w:rsid w:val="00775A86"/>
    <w:rsid w:val="00775CF7"/>
    <w:rsid w:val="007760C9"/>
    <w:rsid w:val="007760D5"/>
    <w:rsid w:val="007760E2"/>
    <w:rsid w:val="007760EA"/>
    <w:rsid w:val="0077628D"/>
    <w:rsid w:val="00776341"/>
    <w:rsid w:val="007763FC"/>
    <w:rsid w:val="0077657B"/>
    <w:rsid w:val="00776749"/>
    <w:rsid w:val="0077679C"/>
    <w:rsid w:val="0077688D"/>
    <w:rsid w:val="00776D86"/>
    <w:rsid w:val="00777021"/>
    <w:rsid w:val="007774E2"/>
    <w:rsid w:val="007778B3"/>
    <w:rsid w:val="007778E2"/>
    <w:rsid w:val="007779E8"/>
    <w:rsid w:val="00777B05"/>
    <w:rsid w:val="00777C9B"/>
    <w:rsid w:val="00777CF3"/>
    <w:rsid w:val="00777D58"/>
    <w:rsid w:val="00777D78"/>
    <w:rsid w:val="00777D84"/>
    <w:rsid w:val="00777EDD"/>
    <w:rsid w:val="00780062"/>
    <w:rsid w:val="00780432"/>
    <w:rsid w:val="0078049C"/>
    <w:rsid w:val="007804B6"/>
    <w:rsid w:val="007804EF"/>
    <w:rsid w:val="007805F6"/>
    <w:rsid w:val="0078078D"/>
    <w:rsid w:val="00780979"/>
    <w:rsid w:val="0078097F"/>
    <w:rsid w:val="00780A45"/>
    <w:rsid w:val="00780B1D"/>
    <w:rsid w:val="00780D30"/>
    <w:rsid w:val="00780EAA"/>
    <w:rsid w:val="00780EFA"/>
    <w:rsid w:val="007810B8"/>
    <w:rsid w:val="007811E3"/>
    <w:rsid w:val="00781412"/>
    <w:rsid w:val="00781439"/>
    <w:rsid w:val="0078161F"/>
    <w:rsid w:val="00781752"/>
    <w:rsid w:val="007817B4"/>
    <w:rsid w:val="00781836"/>
    <w:rsid w:val="007818BF"/>
    <w:rsid w:val="007819A5"/>
    <w:rsid w:val="007819C8"/>
    <w:rsid w:val="00781AAF"/>
    <w:rsid w:val="00781C28"/>
    <w:rsid w:val="00781C84"/>
    <w:rsid w:val="00781CFB"/>
    <w:rsid w:val="00781D32"/>
    <w:rsid w:val="00781DD5"/>
    <w:rsid w:val="00781F39"/>
    <w:rsid w:val="00781FED"/>
    <w:rsid w:val="00782266"/>
    <w:rsid w:val="00782297"/>
    <w:rsid w:val="00782381"/>
    <w:rsid w:val="007829DE"/>
    <w:rsid w:val="007829F0"/>
    <w:rsid w:val="00782BAF"/>
    <w:rsid w:val="00782C5B"/>
    <w:rsid w:val="00782D3C"/>
    <w:rsid w:val="00782E36"/>
    <w:rsid w:val="00782EE8"/>
    <w:rsid w:val="0078322F"/>
    <w:rsid w:val="007832B8"/>
    <w:rsid w:val="00783433"/>
    <w:rsid w:val="00783535"/>
    <w:rsid w:val="00783842"/>
    <w:rsid w:val="007839CA"/>
    <w:rsid w:val="00783BF9"/>
    <w:rsid w:val="00783CF2"/>
    <w:rsid w:val="00783D41"/>
    <w:rsid w:val="00783DD0"/>
    <w:rsid w:val="00783DFE"/>
    <w:rsid w:val="00783EAF"/>
    <w:rsid w:val="0078402B"/>
    <w:rsid w:val="00784265"/>
    <w:rsid w:val="007842AE"/>
    <w:rsid w:val="0078478A"/>
    <w:rsid w:val="00784942"/>
    <w:rsid w:val="00784A59"/>
    <w:rsid w:val="00784B2D"/>
    <w:rsid w:val="00784B71"/>
    <w:rsid w:val="00784C2E"/>
    <w:rsid w:val="00784F79"/>
    <w:rsid w:val="00785502"/>
    <w:rsid w:val="007856EE"/>
    <w:rsid w:val="007857BA"/>
    <w:rsid w:val="00785861"/>
    <w:rsid w:val="007858F6"/>
    <w:rsid w:val="00785944"/>
    <w:rsid w:val="00785A81"/>
    <w:rsid w:val="00785B0C"/>
    <w:rsid w:val="00785BBA"/>
    <w:rsid w:val="00785BE1"/>
    <w:rsid w:val="00785CD3"/>
    <w:rsid w:val="0078610A"/>
    <w:rsid w:val="00786179"/>
    <w:rsid w:val="00786268"/>
    <w:rsid w:val="007862E8"/>
    <w:rsid w:val="00786708"/>
    <w:rsid w:val="00786800"/>
    <w:rsid w:val="0078685B"/>
    <w:rsid w:val="007868AE"/>
    <w:rsid w:val="00786A35"/>
    <w:rsid w:val="00786A5E"/>
    <w:rsid w:val="00786A95"/>
    <w:rsid w:val="00786AFD"/>
    <w:rsid w:val="00786B8A"/>
    <w:rsid w:val="00786BC4"/>
    <w:rsid w:val="00786CE6"/>
    <w:rsid w:val="00786D06"/>
    <w:rsid w:val="00786DCB"/>
    <w:rsid w:val="00786EE8"/>
    <w:rsid w:val="0078727F"/>
    <w:rsid w:val="007872FC"/>
    <w:rsid w:val="00787353"/>
    <w:rsid w:val="007875F6"/>
    <w:rsid w:val="0078761F"/>
    <w:rsid w:val="007876E3"/>
    <w:rsid w:val="00787923"/>
    <w:rsid w:val="00787AED"/>
    <w:rsid w:val="00787B15"/>
    <w:rsid w:val="00787B64"/>
    <w:rsid w:val="00787D2B"/>
    <w:rsid w:val="00787D57"/>
    <w:rsid w:val="00787E37"/>
    <w:rsid w:val="00787E9D"/>
    <w:rsid w:val="00787EB4"/>
    <w:rsid w:val="00787F42"/>
    <w:rsid w:val="007900AA"/>
    <w:rsid w:val="0079021A"/>
    <w:rsid w:val="00790278"/>
    <w:rsid w:val="007902F7"/>
    <w:rsid w:val="0079032D"/>
    <w:rsid w:val="007903BB"/>
    <w:rsid w:val="00790480"/>
    <w:rsid w:val="0079076D"/>
    <w:rsid w:val="00790793"/>
    <w:rsid w:val="0079079C"/>
    <w:rsid w:val="007907C5"/>
    <w:rsid w:val="0079098C"/>
    <w:rsid w:val="00790B2B"/>
    <w:rsid w:val="00790D97"/>
    <w:rsid w:val="00790E98"/>
    <w:rsid w:val="00790F25"/>
    <w:rsid w:val="00790F41"/>
    <w:rsid w:val="0079104B"/>
    <w:rsid w:val="00791140"/>
    <w:rsid w:val="00791221"/>
    <w:rsid w:val="007912EC"/>
    <w:rsid w:val="007915E7"/>
    <w:rsid w:val="00791689"/>
    <w:rsid w:val="00791748"/>
    <w:rsid w:val="00791773"/>
    <w:rsid w:val="007918E8"/>
    <w:rsid w:val="00791D0B"/>
    <w:rsid w:val="00791ED5"/>
    <w:rsid w:val="00792004"/>
    <w:rsid w:val="007920DA"/>
    <w:rsid w:val="0079238D"/>
    <w:rsid w:val="00792434"/>
    <w:rsid w:val="0079247C"/>
    <w:rsid w:val="007924E3"/>
    <w:rsid w:val="00792560"/>
    <w:rsid w:val="00792720"/>
    <w:rsid w:val="00792846"/>
    <w:rsid w:val="007928AD"/>
    <w:rsid w:val="007928C9"/>
    <w:rsid w:val="00792997"/>
    <w:rsid w:val="00792A3E"/>
    <w:rsid w:val="00792A5D"/>
    <w:rsid w:val="00792B24"/>
    <w:rsid w:val="00792B39"/>
    <w:rsid w:val="00792C8A"/>
    <w:rsid w:val="00792E7F"/>
    <w:rsid w:val="00792EB4"/>
    <w:rsid w:val="0079316E"/>
    <w:rsid w:val="00793662"/>
    <w:rsid w:val="0079369C"/>
    <w:rsid w:val="007936DF"/>
    <w:rsid w:val="007937E8"/>
    <w:rsid w:val="0079382A"/>
    <w:rsid w:val="007938DD"/>
    <w:rsid w:val="0079399D"/>
    <w:rsid w:val="007939B0"/>
    <w:rsid w:val="00793A6C"/>
    <w:rsid w:val="00793B2B"/>
    <w:rsid w:val="00793C5C"/>
    <w:rsid w:val="00793DFF"/>
    <w:rsid w:val="00793E7D"/>
    <w:rsid w:val="00794292"/>
    <w:rsid w:val="0079448A"/>
    <w:rsid w:val="007945AC"/>
    <w:rsid w:val="00794724"/>
    <w:rsid w:val="0079474C"/>
    <w:rsid w:val="007949FD"/>
    <w:rsid w:val="00794AA6"/>
    <w:rsid w:val="00794BBA"/>
    <w:rsid w:val="00794C20"/>
    <w:rsid w:val="00794E58"/>
    <w:rsid w:val="00794E91"/>
    <w:rsid w:val="00795293"/>
    <w:rsid w:val="00795297"/>
    <w:rsid w:val="00795335"/>
    <w:rsid w:val="00795591"/>
    <w:rsid w:val="007955BC"/>
    <w:rsid w:val="007956ED"/>
    <w:rsid w:val="007956EF"/>
    <w:rsid w:val="007957A2"/>
    <w:rsid w:val="0079581C"/>
    <w:rsid w:val="007958E3"/>
    <w:rsid w:val="00795A68"/>
    <w:rsid w:val="00795B17"/>
    <w:rsid w:val="00795C06"/>
    <w:rsid w:val="00795DE2"/>
    <w:rsid w:val="00795E85"/>
    <w:rsid w:val="00795F1C"/>
    <w:rsid w:val="00795FEA"/>
    <w:rsid w:val="00796059"/>
    <w:rsid w:val="007961A4"/>
    <w:rsid w:val="00796595"/>
    <w:rsid w:val="0079671A"/>
    <w:rsid w:val="00796933"/>
    <w:rsid w:val="00796C27"/>
    <w:rsid w:val="00796D25"/>
    <w:rsid w:val="00796DBC"/>
    <w:rsid w:val="00796E61"/>
    <w:rsid w:val="007971A5"/>
    <w:rsid w:val="007971CE"/>
    <w:rsid w:val="007972B2"/>
    <w:rsid w:val="0079749E"/>
    <w:rsid w:val="007975A2"/>
    <w:rsid w:val="007975B7"/>
    <w:rsid w:val="00797797"/>
    <w:rsid w:val="00797826"/>
    <w:rsid w:val="00797B8C"/>
    <w:rsid w:val="00797C2F"/>
    <w:rsid w:val="00797ED3"/>
    <w:rsid w:val="00797FB9"/>
    <w:rsid w:val="007A0002"/>
    <w:rsid w:val="007A0174"/>
    <w:rsid w:val="007A0190"/>
    <w:rsid w:val="007A036D"/>
    <w:rsid w:val="007A0451"/>
    <w:rsid w:val="007A0624"/>
    <w:rsid w:val="007A06C2"/>
    <w:rsid w:val="007A06CC"/>
    <w:rsid w:val="007A0713"/>
    <w:rsid w:val="007A08A4"/>
    <w:rsid w:val="007A091F"/>
    <w:rsid w:val="007A099C"/>
    <w:rsid w:val="007A09D1"/>
    <w:rsid w:val="007A0A8B"/>
    <w:rsid w:val="007A0BB2"/>
    <w:rsid w:val="007A0C54"/>
    <w:rsid w:val="007A0CB5"/>
    <w:rsid w:val="007A1466"/>
    <w:rsid w:val="007A15E7"/>
    <w:rsid w:val="007A16A2"/>
    <w:rsid w:val="007A185F"/>
    <w:rsid w:val="007A199D"/>
    <w:rsid w:val="007A1B68"/>
    <w:rsid w:val="007A1C82"/>
    <w:rsid w:val="007A1E37"/>
    <w:rsid w:val="007A21FD"/>
    <w:rsid w:val="007A226F"/>
    <w:rsid w:val="007A22A1"/>
    <w:rsid w:val="007A231C"/>
    <w:rsid w:val="007A2468"/>
    <w:rsid w:val="007A24A0"/>
    <w:rsid w:val="007A24BF"/>
    <w:rsid w:val="007A28F5"/>
    <w:rsid w:val="007A29F8"/>
    <w:rsid w:val="007A2B86"/>
    <w:rsid w:val="007A2C8C"/>
    <w:rsid w:val="007A2E37"/>
    <w:rsid w:val="007A2EC6"/>
    <w:rsid w:val="007A30E2"/>
    <w:rsid w:val="007A32F9"/>
    <w:rsid w:val="007A330D"/>
    <w:rsid w:val="007A35CE"/>
    <w:rsid w:val="007A35E5"/>
    <w:rsid w:val="007A3CDB"/>
    <w:rsid w:val="007A3D34"/>
    <w:rsid w:val="007A4208"/>
    <w:rsid w:val="007A43BB"/>
    <w:rsid w:val="007A445C"/>
    <w:rsid w:val="007A4559"/>
    <w:rsid w:val="007A45A2"/>
    <w:rsid w:val="007A45FD"/>
    <w:rsid w:val="007A46F0"/>
    <w:rsid w:val="007A47EB"/>
    <w:rsid w:val="007A4A8C"/>
    <w:rsid w:val="007A4C41"/>
    <w:rsid w:val="007A4E44"/>
    <w:rsid w:val="007A4E4B"/>
    <w:rsid w:val="007A4E85"/>
    <w:rsid w:val="007A4F70"/>
    <w:rsid w:val="007A5131"/>
    <w:rsid w:val="007A53DC"/>
    <w:rsid w:val="007A546A"/>
    <w:rsid w:val="007A568A"/>
    <w:rsid w:val="007A56B6"/>
    <w:rsid w:val="007A5896"/>
    <w:rsid w:val="007A5934"/>
    <w:rsid w:val="007A5B70"/>
    <w:rsid w:val="007A5D24"/>
    <w:rsid w:val="007A5D65"/>
    <w:rsid w:val="007A5E5F"/>
    <w:rsid w:val="007A5F03"/>
    <w:rsid w:val="007A6076"/>
    <w:rsid w:val="007A6119"/>
    <w:rsid w:val="007A62C0"/>
    <w:rsid w:val="007A6310"/>
    <w:rsid w:val="007A6385"/>
    <w:rsid w:val="007A672B"/>
    <w:rsid w:val="007A6BE4"/>
    <w:rsid w:val="007A6D24"/>
    <w:rsid w:val="007A6E12"/>
    <w:rsid w:val="007A6F0D"/>
    <w:rsid w:val="007A6FBB"/>
    <w:rsid w:val="007A70EA"/>
    <w:rsid w:val="007A7257"/>
    <w:rsid w:val="007A72EE"/>
    <w:rsid w:val="007A7420"/>
    <w:rsid w:val="007A7562"/>
    <w:rsid w:val="007A76FC"/>
    <w:rsid w:val="007A7701"/>
    <w:rsid w:val="007A77DD"/>
    <w:rsid w:val="007A787C"/>
    <w:rsid w:val="007A7AEA"/>
    <w:rsid w:val="007A7B3C"/>
    <w:rsid w:val="007A7E5B"/>
    <w:rsid w:val="007B0175"/>
    <w:rsid w:val="007B0492"/>
    <w:rsid w:val="007B067D"/>
    <w:rsid w:val="007B084D"/>
    <w:rsid w:val="007B0937"/>
    <w:rsid w:val="007B0A9C"/>
    <w:rsid w:val="007B0BAC"/>
    <w:rsid w:val="007B1186"/>
    <w:rsid w:val="007B143C"/>
    <w:rsid w:val="007B159F"/>
    <w:rsid w:val="007B1769"/>
    <w:rsid w:val="007B17D7"/>
    <w:rsid w:val="007B1851"/>
    <w:rsid w:val="007B1875"/>
    <w:rsid w:val="007B1A98"/>
    <w:rsid w:val="007B1B8E"/>
    <w:rsid w:val="007B1B9C"/>
    <w:rsid w:val="007B1CD8"/>
    <w:rsid w:val="007B1D54"/>
    <w:rsid w:val="007B2228"/>
    <w:rsid w:val="007B2629"/>
    <w:rsid w:val="007B2932"/>
    <w:rsid w:val="007B3013"/>
    <w:rsid w:val="007B34A8"/>
    <w:rsid w:val="007B34B0"/>
    <w:rsid w:val="007B34D7"/>
    <w:rsid w:val="007B35A1"/>
    <w:rsid w:val="007B3678"/>
    <w:rsid w:val="007B3936"/>
    <w:rsid w:val="007B3A13"/>
    <w:rsid w:val="007B3C59"/>
    <w:rsid w:val="007B3D10"/>
    <w:rsid w:val="007B3ED8"/>
    <w:rsid w:val="007B3EF2"/>
    <w:rsid w:val="007B4019"/>
    <w:rsid w:val="007B41B3"/>
    <w:rsid w:val="007B4262"/>
    <w:rsid w:val="007B4422"/>
    <w:rsid w:val="007B4503"/>
    <w:rsid w:val="007B4833"/>
    <w:rsid w:val="007B494A"/>
    <w:rsid w:val="007B49E2"/>
    <w:rsid w:val="007B4B4A"/>
    <w:rsid w:val="007B4B64"/>
    <w:rsid w:val="007B50CE"/>
    <w:rsid w:val="007B5390"/>
    <w:rsid w:val="007B563E"/>
    <w:rsid w:val="007B5689"/>
    <w:rsid w:val="007B5959"/>
    <w:rsid w:val="007B5988"/>
    <w:rsid w:val="007B598B"/>
    <w:rsid w:val="007B59BD"/>
    <w:rsid w:val="007B5AE3"/>
    <w:rsid w:val="007B5AF6"/>
    <w:rsid w:val="007B5B09"/>
    <w:rsid w:val="007B5BA5"/>
    <w:rsid w:val="007B5CF6"/>
    <w:rsid w:val="007B5F77"/>
    <w:rsid w:val="007B6016"/>
    <w:rsid w:val="007B6137"/>
    <w:rsid w:val="007B65AE"/>
    <w:rsid w:val="007B66A0"/>
    <w:rsid w:val="007B6785"/>
    <w:rsid w:val="007B67C5"/>
    <w:rsid w:val="007B68C0"/>
    <w:rsid w:val="007B69B2"/>
    <w:rsid w:val="007B6C35"/>
    <w:rsid w:val="007B6CF6"/>
    <w:rsid w:val="007B6E4E"/>
    <w:rsid w:val="007B7082"/>
    <w:rsid w:val="007B7171"/>
    <w:rsid w:val="007B71D7"/>
    <w:rsid w:val="007B71E9"/>
    <w:rsid w:val="007B743F"/>
    <w:rsid w:val="007B74F0"/>
    <w:rsid w:val="007B750C"/>
    <w:rsid w:val="007B7735"/>
    <w:rsid w:val="007B77AF"/>
    <w:rsid w:val="007B790B"/>
    <w:rsid w:val="007B79E5"/>
    <w:rsid w:val="007B7AA1"/>
    <w:rsid w:val="007B7E51"/>
    <w:rsid w:val="007B7EF6"/>
    <w:rsid w:val="007C0407"/>
    <w:rsid w:val="007C0749"/>
    <w:rsid w:val="007C0B3B"/>
    <w:rsid w:val="007C107E"/>
    <w:rsid w:val="007C1161"/>
    <w:rsid w:val="007C12EF"/>
    <w:rsid w:val="007C13E0"/>
    <w:rsid w:val="007C1702"/>
    <w:rsid w:val="007C1704"/>
    <w:rsid w:val="007C1848"/>
    <w:rsid w:val="007C18DC"/>
    <w:rsid w:val="007C198D"/>
    <w:rsid w:val="007C1B73"/>
    <w:rsid w:val="007C1C01"/>
    <w:rsid w:val="007C1C04"/>
    <w:rsid w:val="007C1E20"/>
    <w:rsid w:val="007C1E5D"/>
    <w:rsid w:val="007C1EF9"/>
    <w:rsid w:val="007C203D"/>
    <w:rsid w:val="007C2047"/>
    <w:rsid w:val="007C209D"/>
    <w:rsid w:val="007C2165"/>
    <w:rsid w:val="007C22D0"/>
    <w:rsid w:val="007C2355"/>
    <w:rsid w:val="007C2777"/>
    <w:rsid w:val="007C2805"/>
    <w:rsid w:val="007C2922"/>
    <w:rsid w:val="007C2A8F"/>
    <w:rsid w:val="007C2C55"/>
    <w:rsid w:val="007C2E29"/>
    <w:rsid w:val="007C2F4E"/>
    <w:rsid w:val="007C3094"/>
    <w:rsid w:val="007C30CF"/>
    <w:rsid w:val="007C30F8"/>
    <w:rsid w:val="007C3268"/>
    <w:rsid w:val="007C3468"/>
    <w:rsid w:val="007C34F0"/>
    <w:rsid w:val="007C360A"/>
    <w:rsid w:val="007C3751"/>
    <w:rsid w:val="007C3A61"/>
    <w:rsid w:val="007C3C59"/>
    <w:rsid w:val="007C3CBA"/>
    <w:rsid w:val="007C41A9"/>
    <w:rsid w:val="007C41D1"/>
    <w:rsid w:val="007C424F"/>
    <w:rsid w:val="007C43D0"/>
    <w:rsid w:val="007C43E9"/>
    <w:rsid w:val="007C444B"/>
    <w:rsid w:val="007C48C7"/>
    <w:rsid w:val="007C49BD"/>
    <w:rsid w:val="007C4B6A"/>
    <w:rsid w:val="007C4BDB"/>
    <w:rsid w:val="007C4CA7"/>
    <w:rsid w:val="007C4D35"/>
    <w:rsid w:val="007C4E10"/>
    <w:rsid w:val="007C5058"/>
    <w:rsid w:val="007C50B5"/>
    <w:rsid w:val="007C510C"/>
    <w:rsid w:val="007C538A"/>
    <w:rsid w:val="007C53C0"/>
    <w:rsid w:val="007C5514"/>
    <w:rsid w:val="007C555A"/>
    <w:rsid w:val="007C55DE"/>
    <w:rsid w:val="007C55E2"/>
    <w:rsid w:val="007C5712"/>
    <w:rsid w:val="007C5865"/>
    <w:rsid w:val="007C58CA"/>
    <w:rsid w:val="007C5D6B"/>
    <w:rsid w:val="007C5EE4"/>
    <w:rsid w:val="007C60E4"/>
    <w:rsid w:val="007C630F"/>
    <w:rsid w:val="007C633E"/>
    <w:rsid w:val="007C65D1"/>
    <w:rsid w:val="007C6748"/>
    <w:rsid w:val="007C69D6"/>
    <w:rsid w:val="007C6A9A"/>
    <w:rsid w:val="007C6DDF"/>
    <w:rsid w:val="007C6E70"/>
    <w:rsid w:val="007C6FAA"/>
    <w:rsid w:val="007C70F0"/>
    <w:rsid w:val="007C74CB"/>
    <w:rsid w:val="007C75C9"/>
    <w:rsid w:val="007C75D3"/>
    <w:rsid w:val="007C7683"/>
    <w:rsid w:val="007C76F8"/>
    <w:rsid w:val="007C7C6E"/>
    <w:rsid w:val="007D03A3"/>
    <w:rsid w:val="007D0408"/>
    <w:rsid w:val="007D06D0"/>
    <w:rsid w:val="007D0C50"/>
    <w:rsid w:val="007D0CE2"/>
    <w:rsid w:val="007D0CFE"/>
    <w:rsid w:val="007D0D59"/>
    <w:rsid w:val="007D0E23"/>
    <w:rsid w:val="007D105E"/>
    <w:rsid w:val="007D13ED"/>
    <w:rsid w:val="007D1470"/>
    <w:rsid w:val="007D1656"/>
    <w:rsid w:val="007D17B1"/>
    <w:rsid w:val="007D18AB"/>
    <w:rsid w:val="007D18ED"/>
    <w:rsid w:val="007D1B6F"/>
    <w:rsid w:val="007D1BEA"/>
    <w:rsid w:val="007D1E3B"/>
    <w:rsid w:val="007D2163"/>
    <w:rsid w:val="007D2261"/>
    <w:rsid w:val="007D230C"/>
    <w:rsid w:val="007D2371"/>
    <w:rsid w:val="007D23E1"/>
    <w:rsid w:val="007D2516"/>
    <w:rsid w:val="007D253B"/>
    <w:rsid w:val="007D2636"/>
    <w:rsid w:val="007D287C"/>
    <w:rsid w:val="007D2A57"/>
    <w:rsid w:val="007D2B28"/>
    <w:rsid w:val="007D2BFD"/>
    <w:rsid w:val="007D2CEB"/>
    <w:rsid w:val="007D2FCB"/>
    <w:rsid w:val="007D3097"/>
    <w:rsid w:val="007D30C4"/>
    <w:rsid w:val="007D320A"/>
    <w:rsid w:val="007D3256"/>
    <w:rsid w:val="007D34C8"/>
    <w:rsid w:val="007D3591"/>
    <w:rsid w:val="007D35C4"/>
    <w:rsid w:val="007D389C"/>
    <w:rsid w:val="007D3944"/>
    <w:rsid w:val="007D40F5"/>
    <w:rsid w:val="007D422A"/>
    <w:rsid w:val="007D427A"/>
    <w:rsid w:val="007D4332"/>
    <w:rsid w:val="007D4496"/>
    <w:rsid w:val="007D4588"/>
    <w:rsid w:val="007D472E"/>
    <w:rsid w:val="007D47F8"/>
    <w:rsid w:val="007D483F"/>
    <w:rsid w:val="007D4C02"/>
    <w:rsid w:val="007D4CFA"/>
    <w:rsid w:val="007D53A3"/>
    <w:rsid w:val="007D54D1"/>
    <w:rsid w:val="007D557C"/>
    <w:rsid w:val="007D58E4"/>
    <w:rsid w:val="007D5A76"/>
    <w:rsid w:val="007D5AD3"/>
    <w:rsid w:val="007D5B4F"/>
    <w:rsid w:val="007D5C8E"/>
    <w:rsid w:val="007D5CFC"/>
    <w:rsid w:val="007D5DD4"/>
    <w:rsid w:val="007D5FDD"/>
    <w:rsid w:val="007D635D"/>
    <w:rsid w:val="007D64C5"/>
    <w:rsid w:val="007D6683"/>
    <w:rsid w:val="007D668F"/>
    <w:rsid w:val="007D66A2"/>
    <w:rsid w:val="007D697F"/>
    <w:rsid w:val="007D6E76"/>
    <w:rsid w:val="007D6F11"/>
    <w:rsid w:val="007D7038"/>
    <w:rsid w:val="007D70E8"/>
    <w:rsid w:val="007D717C"/>
    <w:rsid w:val="007D7327"/>
    <w:rsid w:val="007D7693"/>
    <w:rsid w:val="007D77F1"/>
    <w:rsid w:val="007D7AF5"/>
    <w:rsid w:val="007D7CAB"/>
    <w:rsid w:val="007D7CEE"/>
    <w:rsid w:val="007D7DF9"/>
    <w:rsid w:val="007E00D0"/>
    <w:rsid w:val="007E04B7"/>
    <w:rsid w:val="007E063D"/>
    <w:rsid w:val="007E0673"/>
    <w:rsid w:val="007E091E"/>
    <w:rsid w:val="007E0A31"/>
    <w:rsid w:val="007E0AAE"/>
    <w:rsid w:val="007E0B2F"/>
    <w:rsid w:val="007E0D60"/>
    <w:rsid w:val="007E0DBD"/>
    <w:rsid w:val="007E0E76"/>
    <w:rsid w:val="007E0F78"/>
    <w:rsid w:val="007E1025"/>
    <w:rsid w:val="007E1358"/>
    <w:rsid w:val="007E18A7"/>
    <w:rsid w:val="007E196A"/>
    <w:rsid w:val="007E1E12"/>
    <w:rsid w:val="007E1FC5"/>
    <w:rsid w:val="007E206E"/>
    <w:rsid w:val="007E2107"/>
    <w:rsid w:val="007E21B1"/>
    <w:rsid w:val="007E2204"/>
    <w:rsid w:val="007E2339"/>
    <w:rsid w:val="007E2523"/>
    <w:rsid w:val="007E26B1"/>
    <w:rsid w:val="007E2786"/>
    <w:rsid w:val="007E298F"/>
    <w:rsid w:val="007E2CF8"/>
    <w:rsid w:val="007E2D46"/>
    <w:rsid w:val="007E2D86"/>
    <w:rsid w:val="007E2DC6"/>
    <w:rsid w:val="007E2EB0"/>
    <w:rsid w:val="007E2F8B"/>
    <w:rsid w:val="007E304E"/>
    <w:rsid w:val="007E31DC"/>
    <w:rsid w:val="007E335D"/>
    <w:rsid w:val="007E37FB"/>
    <w:rsid w:val="007E37FD"/>
    <w:rsid w:val="007E3A42"/>
    <w:rsid w:val="007E3C0F"/>
    <w:rsid w:val="007E3CD5"/>
    <w:rsid w:val="007E3D24"/>
    <w:rsid w:val="007E3E0E"/>
    <w:rsid w:val="007E402C"/>
    <w:rsid w:val="007E4187"/>
    <w:rsid w:val="007E43BF"/>
    <w:rsid w:val="007E4629"/>
    <w:rsid w:val="007E4818"/>
    <w:rsid w:val="007E4A0A"/>
    <w:rsid w:val="007E4AA1"/>
    <w:rsid w:val="007E4D61"/>
    <w:rsid w:val="007E4DA7"/>
    <w:rsid w:val="007E545B"/>
    <w:rsid w:val="007E545E"/>
    <w:rsid w:val="007E54E7"/>
    <w:rsid w:val="007E54FF"/>
    <w:rsid w:val="007E598C"/>
    <w:rsid w:val="007E5A46"/>
    <w:rsid w:val="007E5ACB"/>
    <w:rsid w:val="007E5B62"/>
    <w:rsid w:val="007E5CB2"/>
    <w:rsid w:val="007E5DDB"/>
    <w:rsid w:val="007E5E55"/>
    <w:rsid w:val="007E5F88"/>
    <w:rsid w:val="007E6012"/>
    <w:rsid w:val="007E6167"/>
    <w:rsid w:val="007E61D5"/>
    <w:rsid w:val="007E668D"/>
    <w:rsid w:val="007E69DD"/>
    <w:rsid w:val="007E6F11"/>
    <w:rsid w:val="007E6F7E"/>
    <w:rsid w:val="007E70B0"/>
    <w:rsid w:val="007E70F3"/>
    <w:rsid w:val="007E7347"/>
    <w:rsid w:val="007E74C5"/>
    <w:rsid w:val="007E7573"/>
    <w:rsid w:val="007E78AE"/>
    <w:rsid w:val="007E79DD"/>
    <w:rsid w:val="007E7AB5"/>
    <w:rsid w:val="007E7AE1"/>
    <w:rsid w:val="007E7C1A"/>
    <w:rsid w:val="007E7C2E"/>
    <w:rsid w:val="007E7D55"/>
    <w:rsid w:val="007E7DD2"/>
    <w:rsid w:val="007F0043"/>
    <w:rsid w:val="007F0290"/>
    <w:rsid w:val="007F036A"/>
    <w:rsid w:val="007F06D2"/>
    <w:rsid w:val="007F084F"/>
    <w:rsid w:val="007F08EE"/>
    <w:rsid w:val="007F099A"/>
    <w:rsid w:val="007F0B89"/>
    <w:rsid w:val="007F0C70"/>
    <w:rsid w:val="007F0DDE"/>
    <w:rsid w:val="007F0E34"/>
    <w:rsid w:val="007F0F21"/>
    <w:rsid w:val="007F10CD"/>
    <w:rsid w:val="007F122D"/>
    <w:rsid w:val="007F1271"/>
    <w:rsid w:val="007F1300"/>
    <w:rsid w:val="007F1319"/>
    <w:rsid w:val="007F16A1"/>
    <w:rsid w:val="007F16DE"/>
    <w:rsid w:val="007F17F9"/>
    <w:rsid w:val="007F19EE"/>
    <w:rsid w:val="007F1D12"/>
    <w:rsid w:val="007F1DC6"/>
    <w:rsid w:val="007F1FB1"/>
    <w:rsid w:val="007F241E"/>
    <w:rsid w:val="007F2446"/>
    <w:rsid w:val="007F248C"/>
    <w:rsid w:val="007F29BD"/>
    <w:rsid w:val="007F2D88"/>
    <w:rsid w:val="007F30A0"/>
    <w:rsid w:val="007F323C"/>
    <w:rsid w:val="007F32C6"/>
    <w:rsid w:val="007F352C"/>
    <w:rsid w:val="007F359C"/>
    <w:rsid w:val="007F35F2"/>
    <w:rsid w:val="007F36B0"/>
    <w:rsid w:val="007F3779"/>
    <w:rsid w:val="007F38BE"/>
    <w:rsid w:val="007F39AB"/>
    <w:rsid w:val="007F3BF7"/>
    <w:rsid w:val="007F3D5F"/>
    <w:rsid w:val="007F3EC9"/>
    <w:rsid w:val="007F4192"/>
    <w:rsid w:val="007F41F8"/>
    <w:rsid w:val="007F4313"/>
    <w:rsid w:val="007F4351"/>
    <w:rsid w:val="007F488D"/>
    <w:rsid w:val="007F49EA"/>
    <w:rsid w:val="007F4C02"/>
    <w:rsid w:val="007F4E32"/>
    <w:rsid w:val="007F4FC5"/>
    <w:rsid w:val="007F50B8"/>
    <w:rsid w:val="007F53CD"/>
    <w:rsid w:val="007F56C0"/>
    <w:rsid w:val="007F56E8"/>
    <w:rsid w:val="007F59EB"/>
    <w:rsid w:val="007F5F16"/>
    <w:rsid w:val="007F6239"/>
    <w:rsid w:val="007F6368"/>
    <w:rsid w:val="007F6404"/>
    <w:rsid w:val="007F658A"/>
    <w:rsid w:val="007F662D"/>
    <w:rsid w:val="007F6814"/>
    <w:rsid w:val="007F68C5"/>
    <w:rsid w:val="007F692C"/>
    <w:rsid w:val="007F6990"/>
    <w:rsid w:val="007F6DCF"/>
    <w:rsid w:val="007F6E29"/>
    <w:rsid w:val="007F6E35"/>
    <w:rsid w:val="007F6E62"/>
    <w:rsid w:val="007F6EAE"/>
    <w:rsid w:val="007F706B"/>
    <w:rsid w:val="007F7215"/>
    <w:rsid w:val="007F751E"/>
    <w:rsid w:val="007F787A"/>
    <w:rsid w:val="007F78D9"/>
    <w:rsid w:val="007F7938"/>
    <w:rsid w:val="007F797A"/>
    <w:rsid w:val="007F7B7F"/>
    <w:rsid w:val="007F7D3E"/>
    <w:rsid w:val="007F7E89"/>
    <w:rsid w:val="007F7FBA"/>
    <w:rsid w:val="00800160"/>
    <w:rsid w:val="008001D8"/>
    <w:rsid w:val="00800435"/>
    <w:rsid w:val="008004F9"/>
    <w:rsid w:val="00800688"/>
    <w:rsid w:val="008007DD"/>
    <w:rsid w:val="00800B86"/>
    <w:rsid w:val="00800BE5"/>
    <w:rsid w:val="00800C0A"/>
    <w:rsid w:val="00800CBA"/>
    <w:rsid w:val="00800F95"/>
    <w:rsid w:val="00800FC3"/>
    <w:rsid w:val="00800FC9"/>
    <w:rsid w:val="00801085"/>
    <w:rsid w:val="0080109C"/>
    <w:rsid w:val="00801191"/>
    <w:rsid w:val="00801540"/>
    <w:rsid w:val="008015C7"/>
    <w:rsid w:val="008016E4"/>
    <w:rsid w:val="00801B85"/>
    <w:rsid w:val="00801BCC"/>
    <w:rsid w:val="00801CB4"/>
    <w:rsid w:val="00801E22"/>
    <w:rsid w:val="00801E79"/>
    <w:rsid w:val="00802234"/>
    <w:rsid w:val="00802316"/>
    <w:rsid w:val="008025CC"/>
    <w:rsid w:val="00802654"/>
    <w:rsid w:val="008027E1"/>
    <w:rsid w:val="00802A48"/>
    <w:rsid w:val="00802AF0"/>
    <w:rsid w:val="00802CC8"/>
    <w:rsid w:val="00802D4E"/>
    <w:rsid w:val="00803141"/>
    <w:rsid w:val="00803278"/>
    <w:rsid w:val="00803336"/>
    <w:rsid w:val="0080339F"/>
    <w:rsid w:val="008034F5"/>
    <w:rsid w:val="008035E9"/>
    <w:rsid w:val="008038DD"/>
    <w:rsid w:val="0080393B"/>
    <w:rsid w:val="00803988"/>
    <w:rsid w:val="00803A66"/>
    <w:rsid w:val="00803AB2"/>
    <w:rsid w:val="00803B22"/>
    <w:rsid w:val="00803C75"/>
    <w:rsid w:val="008041DF"/>
    <w:rsid w:val="00804264"/>
    <w:rsid w:val="008043DE"/>
    <w:rsid w:val="008044AC"/>
    <w:rsid w:val="008045EB"/>
    <w:rsid w:val="008048F6"/>
    <w:rsid w:val="00804938"/>
    <w:rsid w:val="0080498D"/>
    <w:rsid w:val="00804AE7"/>
    <w:rsid w:val="00804D99"/>
    <w:rsid w:val="00804DFD"/>
    <w:rsid w:val="00804FC7"/>
    <w:rsid w:val="00804FD7"/>
    <w:rsid w:val="0080504F"/>
    <w:rsid w:val="00805760"/>
    <w:rsid w:val="00805B1C"/>
    <w:rsid w:val="00805C86"/>
    <w:rsid w:val="00805DA2"/>
    <w:rsid w:val="00805FB0"/>
    <w:rsid w:val="0080606A"/>
    <w:rsid w:val="008063AC"/>
    <w:rsid w:val="008063B6"/>
    <w:rsid w:val="0080640E"/>
    <w:rsid w:val="008064A5"/>
    <w:rsid w:val="008064D5"/>
    <w:rsid w:val="008065C1"/>
    <w:rsid w:val="008065C3"/>
    <w:rsid w:val="008065C4"/>
    <w:rsid w:val="008065F0"/>
    <w:rsid w:val="00806764"/>
    <w:rsid w:val="00806945"/>
    <w:rsid w:val="0080697E"/>
    <w:rsid w:val="00806CC5"/>
    <w:rsid w:val="00806D78"/>
    <w:rsid w:val="00806E1C"/>
    <w:rsid w:val="00807075"/>
    <w:rsid w:val="00807227"/>
    <w:rsid w:val="008072CA"/>
    <w:rsid w:val="00807438"/>
    <w:rsid w:val="008076B8"/>
    <w:rsid w:val="0080777C"/>
    <w:rsid w:val="0080787A"/>
    <w:rsid w:val="00807966"/>
    <w:rsid w:val="00807B6C"/>
    <w:rsid w:val="00807C2F"/>
    <w:rsid w:val="00807C57"/>
    <w:rsid w:val="00807C61"/>
    <w:rsid w:val="00807D4C"/>
    <w:rsid w:val="00807D54"/>
    <w:rsid w:val="00807D65"/>
    <w:rsid w:val="00807F5D"/>
    <w:rsid w:val="00807FFD"/>
    <w:rsid w:val="00810066"/>
    <w:rsid w:val="008100C0"/>
    <w:rsid w:val="00810209"/>
    <w:rsid w:val="00810290"/>
    <w:rsid w:val="00810323"/>
    <w:rsid w:val="008104EF"/>
    <w:rsid w:val="008105FF"/>
    <w:rsid w:val="008106A2"/>
    <w:rsid w:val="008107C7"/>
    <w:rsid w:val="00810E12"/>
    <w:rsid w:val="00811080"/>
    <w:rsid w:val="00811098"/>
    <w:rsid w:val="008110A2"/>
    <w:rsid w:val="008111A3"/>
    <w:rsid w:val="008111CA"/>
    <w:rsid w:val="0081157F"/>
    <w:rsid w:val="0081180C"/>
    <w:rsid w:val="00811968"/>
    <w:rsid w:val="00811C15"/>
    <w:rsid w:val="00811D19"/>
    <w:rsid w:val="00811F8D"/>
    <w:rsid w:val="00811FCA"/>
    <w:rsid w:val="0081238E"/>
    <w:rsid w:val="008125FA"/>
    <w:rsid w:val="008127A7"/>
    <w:rsid w:val="008127E4"/>
    <w:rsid w:val="00812918"/>
    <w:rsid w:val="00812983"/>
    <w:rsid w:val="008129C6"/>
    <w:rsid w:val="00812CA0"/>
    <w:rsid w:val="00812CAD"/>
    <w:rsid w:val="00812D0A"/>
    <w:rsid w:val="00812D7E"/>
    <w:rsid w:val="00812DB2"/>
    <w:rsid w:val="00812E0A"/>
    <w:rsid w:val="00812FED"/>
    <w:rsid w:val="00813022"/>
    <w:rsid w:val="00813139"/>
    <w:rsid w:val="0081314A"/>
    <w:rsid w:val="00813153"/>
    <w:rsid w:val="008131BD"/>
    <w:rsid w:val="008131CA"/>
    <w:rsid w:val="0081352B"/>
    <w:rsid w:val="00813554"/>
    <w:rsid w:val="008135FB"/>
    <w:rsid w:val="00813695"/>
    <w:rsid w:val="008136D8"/>
    <w:rsid w:val="00813745"/>
    <w:rsid w:val="00813995"/>
    <w:rsid w:val="00813C7B"/>
    <w:rsid w:val="00813D06"/>
    <w:rsid w:val="00814184"/>
    <w:rsid w:val="00814257"/>
    <w:rsid w:val="00814271"/>
    <w:rsid w:val="00814319"/>
    <w:rsid w:val="00814514"/>
    <w:rsid w:val="008145F8"/>
    <w:rsid w:val="00814798"/>
    <w:rsid w:val="00814837"/>
    <w:rsid w:val="00814AFC"/>
    <w:rsid w:val="00814B9F"/>
    <w:rsid w:val="00814C4D"/>
    <w:rsid w:val="00815020"/>
    <w:rsid w:val="00815629"/>
    <w:rsid w:val="00815648"/>
    <w:rsid w:val="00815AAE"/>
    <w:rsid w:val="00815B9D"/>
    <w:rsid w:val="00815FEF"/>
    <w:rsid w:val="00816044"/>
    <w:rsid w:val="0081605A"/>
    <w:rsid w:val="0081615F"/>
    <w:rsid w:val="00816386"/>
    <w:rsid w:val="008164DC"/>
    <w:rsid w:val="008164FD"/>
    <w:rsid w:val="00816565"/>
    <w:rsid w:val="0081656D"/>
    <w:rsid w:val="00816595"/>
    <w:rsid w:val="00816746"/>
    <w:rsid w:val="00816836"/>
    <w:rsid w:val="00816939"/>
    <w:rsid w:val="00816950"/>
    <w:rsid w:val="00816AB2"/>
    <w:rsid w:val="00816BC0"/>
    <w:rsid w:val="00816CDC"/>
    <w:rsid w:val="00816F86"/>
    <w:rsid w:val="00817093"/>
    <w:rsid w:val="008170F6"/>
    <w:rsid w:val="0081725D"/>
    <w:rsid w:val="00817352"/>
    <w:rsid w:val="008173AE"/>
    <w:rsid w:val="0081743F"/>
    <w:rsid w:val="008174AD"/>
    <w:rsid w:val="008174CF"/>
    <w:rsid w:val="00817577"/>
    <w:rsid w:val="008175A2"/>
    <w:rsid w:val="00817BEA"/>
    <w:rsid w:val="00817F86"/>
    <w:rsid w:val="008200AB"/>
    <w:rsid w:val="00820158"/>
    <w:rsid w:val="0082034A"/>
    <w:rsid w:val="00820476"/>
    <w:rsid w:val="0082058A"/>
    <w:rsid w:val="00820598"/>
    <w:rsid w:val="00820CF9"/>
    <w:rsid w:val="00820F41"/>
    <w:rsid w:val="00821077"/>
    <w:rsid w:val="00821245"/>
    <w:rsid w:val="008212E4"/>
    <w:rsid w:val="008214FD"/>
    <w:rsid w:val="00821B46"/>
    <w:rsid w:val="00821B4E"/>
    <w:rsid w:val="00821B97"/>
    <w:rsid w:val="00821DFE"/>
    <w:rsid w:val="00822393"/>
    <w:rsid w:val="008225FE"/>
    <w:rsid w:val="00822745"/>
    <w:rsid w:val="00822795"/>
    <w:rsid w:val="00822831"/>
    <w:rsid w:val="00822B48"/>
    <w:rsid w:val="00822D40"/>
    <w:rsid w:val="00822E6F"/>
    <w:rsid w:val="00822F4D"/>
    <w:rsid w:val="00822FF4"/>
    <w:rsid w:val="00823060"/>
    <w:rsid w:val="00823114"/>
    <w:rsid w:val="008232DA"/>
    <w:rsid w:val="00823374"/>
    <w:rsid w:val="008237E2"/>
    <w:rsid w:val="008237EE"/>
    <w:rsid w:val="00823857"/>
    <w:rsid w:val="008238DA"/>
    <w:rsid w:val="0082399A"/>
    <w:rsid w:val="008239E4"/>
    <w:rsid w:val="00823A59"/>
    <w:rsid w:val="00823B29"/>
    <w:rsid w:val="00823B8C"/>
    <w:rsid w:val="00823C31"/>
    <w:rsid w:val="00823C4A"/>
    <w:rsid w:val="00823E96"/>
    <w:rsid w:val="00823E9D"/>
    <w:rsid w:val="00823FE9"/>
    <w:rsid w:val="00823FF6"/>
    <w:rsid w:val="0082412B"/>
    <w:rsid w:val="008241EA"/>
    <w:rsid w:val="00824495"/>
    <w:rsid w:val="0082463B"/>
    <w:rsid w:val="0082474B"/>
    <w:rsid w:val="00824806"/>
    <w:rsid w:val="00824AEF"/>
    <w:rsid w:val="00824B68"/>
    <w:rsid w:val="00824C56"/>
    <w:rsid w:val="00824D25"/>
    <w:rsid w:val="00824D2A"/>
    <w:rsid w:val="00824D3F"/>
    <w:rsid w:val="00824DCF"/>
    <w:rsid w:val="00824ECB"/>
    <w:rsid w:val="00824F54"/>
    <w:rsid w:val="008252D4"/>
    <w:rsid w:val="00825392"/>
    <w:rsid w:val="008255E4"/>
    <w:rsid w:val="00825893"/>
    <w:rsid w:val="008258B4"/>
    <w:rsid w:val="00825900"/>
    <w:rsid w:val="0082595E"/>
    <w:rsid w:val="00825AC5"/>
    <w:rsid w:val="00825B93"/>
    <w:rsid w:val="00825C3D"/>
    <w:rsid w:val="00825EF0"/>
    <w:rsid w:val="00825F3B"/>
    <w:rsid w:val="0082606C"/>
    <w:rsid w:val="00826498"/>
    <w:rsid w:val="008268E0"/>
    <w:rsid w:val="00826A0B"/>
    <w:rsid w:val="00826AF9"/>
    <w:rsid w:val="00827022"/>
    <w:rsid w:val="008271C4"/>
    <w:rsid w:val="00827274"/>
    <w:rsid w:val="008272A4"/>
    <w:rsid w:val="0082740E"/>
    <w:rsid w:val="00827465"/>
    <w:rsid w:val="0082771F"/>
    <w:rsid w:val="0082774F"/>
    <w:rsid w:val="0082792A"/>
    <w:rsid w:val="008279AB"/>
    <w:rsid w:val="00827BAD"/>
    <w:rsid w:val="00827CF1"/>
    <w:rsid w:val="00827D05"/>
    <w:rsid w:val="00827E45"/>
    <w:rsid w:val="00827EBA"/>
    <w:rsid w:val="008300DD"/>
    <w:rsid w:val="0083035A"/>
    <w:rsid w:val="008303C1"/>
    <w:rsid w:val="00830437"/>
    <w:rsid w:val="00830478"/>
    <w:rsid w:val="00830514"/>
    <w:rsid w:val="00830543"/>
    <w:rsid w:val="00830639"/>
    <w:rsid w:val="00830757"/>
    <w:rsid w:val="008307A3"/>
    <w:rsid w:val="008308AA"/>
    <w:rsid w:val="008308DA"/>
    <w:rsid w:val="008308F8"/>
    <w:rsid w:val="00830943"/>
    <w:rsid w:val="008309C9"/>
    <w:rsid w:val="00830BC7"/>
    <w:rsid w:val="00830D1E"/>
    <w:rsid w:val="00830E5E"/>
    <w:rsid w:val="00830FBD"/>
    <w:rsid w:val="00830FC1"/>
    <w:rsid w:val="00830FCD"/>
    <w:rsid w:val="00831044"/>
    <w:rsid w:val="00831055"/>
    <w:rsid w:val="0083132E"/>
    <w:rsid w:val="008314A4"/>
    <w:rsid w:val="0083175D"/>
    <w:rsid w:val="008318F9"/>
    <w:rsid w:val="00831A78"/>
    <w:rsid w:val="00831C85"/>
    <w:rsid w:val="00831CC8"/>
    <w:rsid w:val="0083206F"/>
    <w:rsid w:val="00832112"/>
    <w:rsid w:val="00832367"/>
    <w:rsid w:val="008323D0"/>
    <w:rsid w:val="008324E4"/>
    <w:rsid w:val="00832611"/>
    <w:rsid w:val="00832662"/>
    <w:rsid w:val="008327CD"/>
    <w:rsid w:val="00832A2D"/>
    <w:rsid w:val="00832EC8"/>
    <w:rsid w:val="00832EC9"/>
    <w:rsid w:val="00833354"/>
    <w:rsid w:val="008333CF"/>
    <w:rsid w:val="008333DC"/>
    <w:rsid w:val="008335E3"/>
    <w:rsid w:val="008337DC"/>
    <w:rsid w:val="0083394F"/>
    <w:rsid w:val="00833993"/>
    <w:rsid w:val="00833AEC"/>
    <w:rsid w:val="00833D36"/>
    <w:rsid w:val="00833D5A"/>
    <w:rsid w:val="00833F59"/>
    <w:rsid w:val="008341C1"/>
    <w:rsid w:val="008343A5"/>
    <w:rsid w:val="008343E0"/>
    <w:rsid w:val="008344E1"/>
    <w:rsid w:val="0083457B"/>
    <w:rsid w:val="00834AB3"/>
    <w:rsid w:val="00834AF1"/>
    <w:rsid w:val="00834B85"/>
    <w:rsid w:val="00834CF5"/>
    <w:rsid w:val="00834D33"/>
    <w:rsid w:val="00834DCB"/>
    <w:rsid w:val="00834EDD"/>
    <w:rsid w:val="0083502F"/>
    <w:rsid w:val="0083522C"/>
    <w:rsid w:val="008352B0"/>
    <w:rsid w:val="008352D7"/>
    <w:rsid w:val="00835600"/>
    <w:rsid w:val="008356C7"/>
    <w:rsid w:val="0083574A"/>
    <w:rsid w:val="00835807"/>
    <w:rsid w:val="00835A1E"/>
    <w:rsid w:val="00835AEC"/>
    <w:rsid w:val="00835B46"/>
    <w:rsid w:val="00835DB0"/>
    <w:rsid w:val="00835E96"/>
    <w:rsid w:val="0083618C"/>
    <w:rsid w:val="0083632B"/>
    <w:rsid w:val="00836673"/>
    <w:rsid w:val="00836732"/>
    <w:rsid w:val="00836760"/>
    <w:rsid w:val="008367AC"/>
    <w:rsid w:val="0083689D"/>
    <w:rsid w:val="008369C6"/>
    <w:rsid w:val="00836A7A"/>
    <w:rsid w:val="00836BD8"/>
    <w:rsid w:val="00836D51"/>
    <w:rsid w:val="00837053"/>
    <w:rsid w:val="008370AC"/>
    <w:rsid w:val="0083723B"/>
    <w:rsid w:val="0083724F"/>
    <w:rsid w:val="008372CD"/>
    <w:rsid w:val="0083768D"/>
    <w:rsid w:val="0083768E"/>
    <w:rsid w:val="0083770B"/>
    <w:rsid w:val="008377A3"/>
    <w:rsid w:val="008377FC"/>
    <w:rsid w:val="008378C4"/>
    <w:rsid w:val="00837A29"/>
    <w:rsid w:val="00837A44"/>
    <w:rsid w:val="00837C94"/>
    <w:rsid w:val="00837E0E"/>
    <w:rsid w:val="00837F4D"/>
    <w:rsid w:val="00837FB6"/>
    <w:rsid w:val="0084025F"/>
    <w:rsid w:val="00840338"/>
    <w:rsid w:val="008403D9"/>
    <w:rsid w:val="008404BD"/>
    <w:rsid w:val="008404E7"/>
    <w:rsid w:val="0084065C"/>
    <w:rsid w:val="0084084F"/>
    <w:rsid w:val="00840885"/>
    <w:rsid w:val="0084099D"/>
    <w:rsid w:val="00840A47"/>
    <w:rsid w:val="00840A7A"/>
    <w:rsid w:val="00840AA8"/>
    <w:rsid w:val="00840C01"/>
    <w:rsid w:val="00840C42"/>
    <w:rsid w:val="00840CF4"/>
    <w:rsid w:val="00840DF3"/>
    <w:rsid w:val="00840EB3"/>
    <w:rsid w:val="0084101A"/>
    <w:rsid w:val="00841215"/>
    <w:rsid w:val="0084167C"/>
    <w:rsid w:val="008423CA"/>
    <w:rsid w:val="0084263B"/>
    <w:rsid w:val="00842654"/>
    <w:rsid w:val="008426FA"/>
    <w:rsid w:val="008427ED"/>
    <w:rsid w:val="0084280C"/>
    <w:rsid w:val="00842858"/>
    <w:rsid w:val="00842976"/>
    <w:rsid w:val="00842BF1"/>
    <w:rsid w:val="00842CF6"/>
    <w:rsid w:val="00842DF4"/>
    <w:rsid w:val="00843131"/>
    <w:rsid w:val="008431AB"/>
    <w:rsid w:val="008432FE"/>
    <w:rsid w:val="0084338B"/>
    <w:rsid w:val="00843477"/>
    <w:rsid w:val="008435DF"/>
    <w:rsid w:val="0084378C"/>
    <w:rsid w:val="00843869"/>
    <w:rsid w:val="00843A4D"/>
    <w:rsid w:val="00843E6F"/>
    <w:rsid w:val="008440BF"/>
    <w:rsid w:val="008441FC"/>
    <w:rsid w:val="00844276"/>
    <w:rsid w:val="0084430B"/>
    <w:rsid w:val="008443D6"/>
    <w:rsid w:val="00844570"/>
    <w:rsid w:val="008446C4"/>
    <w:rsid w:val="008447BC"/>
    <w:rsid w:val="0084488F"/>
    <w:rsid w:val="008448CF"/>
    <w:rsid w:val="0084490D"/>
    <w:rsid w:val="00844AB0"/>
    <w:rsid w:val="00844D0D"/>
    <w:rsid w:val="00844DE2"/>
    <w:rsid w:val="00844F03"/>
    <w:rsid w:val="00844F10"/>
    <w:rsid w:val="00844FCC"/>
    <w:rsid w:val="00845035"/>
    <w:rsid w:val="00845185"/>
    <w:rsid w:val="00845186"/>
    <w:rsid w:val="00845271"/>
    <w:rsid w:val="00845346"/>
    <w:rsid w:val="008454C8"/>
    <w:rsid w:val="008455CB"/>
    <w:rsid w:val="0084590E"/>
    <w:rsid w:val="008459E2"/>
    <w:rsid w:val="00845A97"/>
    <w:rsid w:val="00845BBC"/>
    <w:rsid w:val="00845D02"/>
    <w:rsid w:val="00845F6F"/>
    <w:rsid w:val="00845FA0"/>
    <w:rsid w:val="00846166"/>
    <w:rsid w:val="0084624F"/>
    <w:rsid w:val="008465BA"/>
    <w:rsid w:val="0084674C"/>
    <w:rsid w:val="008468EC"/>
    <w:rsid w:val="008469FB"/>
    <w:rsid w:val="00846C0C"/>
    <w:rsid w:val="00846C26"/>
    <w:rsid w:val="00846CA4"/>
    <w:rsid w:val="00846F3D"/>
    <w:rsid w:val="00846F8E"/>
    <w:rsid w:val="0084700B"/>
    <w:rsid w:val="008471DF"/>
    <w:rsid w:val="00847485"/>
    <w:rsid w:val="0084762F"/>
    <w:rsid w:val="0084766F"/>
    <w:rsid w:val="00847776"/>
    <w:rsid w:val="008477ED"/>
    <w:rsid w:val="00847883"/>
    <w:rsid w:val="00847A1C"/>
    <w:rsid w:val="00847C5D"/>
    <w:rsid w:val="00847DBA"/>
    <w:rsid w:val="00847F2B"/>
    <w:rsid w:val="00850048"/>
    <w:rsid w:val="008501B6"/>
    <w:rsid w:val="00850237"/>
    <w:rsid w:val="008502BF"/>
    <w:rsid w:val="00850403"/>
    <w:rsid w:val="00850466"/>
    <w:rsid w:val="00850480"/>
    <w:rsid w:val="00850500"/>
    <w:rsid w:val="0085054B"/>
    <w:rsid w:val="00850610"/>
    <w:rsid w:val="0085067A"/>
    <w:rsid w:val="008506D5"/>
    <w:rsid w:val="00850950"/>
    <w:rsid w:val="00850B8A"/>
    <w:rsid w:val="00850CDD"/>
    <w:rsid w:val="00850DF7"/>
    <w:rsid w:val="00851016"/>
    <w:rsid w:val="008510C1"/>
    <w:rsid w:val="008513D8"/>
    <w:rsid w:val="008513DA"/>
    <w:rsid w:val="00851419"/>
    <w:rsid w:val="0085153E"/>
    <w:rsid w:val="008516ED"/>
    <w:rsid w:val="00851CBC"/>
    <w:rsid w:val="00851FAA"/>
    <w:rsid w:val="008520ED"/>
    <w:rsid w:val="00852262"/>
    <w:rsid w:val="00852463"/>
    <w:rsid w:val="00852921"/>
    <w:rsid w:val="00852982"/>
    <w:rsid w:val="00852988"/>
    <w:rsid w:val="008529A8"/>
    <w:rsid w:val="00852AEB"/>
    <w:rsid w:val="00852C25"/>
    <w:rsid w:val="00852C2A"/>
    <w:rsid w:val="00852D6E"/>
    <w:rsid w:val="00852E5A"/>
    <w:rsid w:val="0085303F"/>
    <w:rsid w:val="0085313A"/>
    <w:rsid w:val="00853274"/>
    <w:rsid w:val="008533FF"/>
    <w:rsid w:val="00853456"/>
    <w:rsid w:val="00853521"/>
    <w:rsid w:val="008535F5"/>
    <w:rsid w:val="0085368A"/>
    <w:rsid w:val="0085383E"/>
    <w:rsid w:val="00853874"/>
    <w:rsid w:val="0085389A"/>
    <w:rsid w:val="00853A30"/>
    <w:rsid w:val="00853A68"/>
    <w:rsid w:val="00853A86"/>
    <w:rsid w:val="008541B8"/>
    <w:rsid w:val="008542C9"/>
    <w:rsid w:val="0085463B"/>
    <w:rsid w:val="008548AF"/>
    <w:rsid w:val="00854B62"/>
    <w:rsid w:val="00854BA4"/>
    <w:rsid w:val="00854D1F"/>
    <w:rsid w:val="00854DC0"/>
    <w:rsid w:val="00855038"/>
    <w:rsid w:val="008551C1"/>
    <w:rsid w:val="008552B0"/>
    <w:rsid w:val="008552BF"/>
    <w:rsid w:val="008555B4"/>
    <w:rsid w:val="00855651"/>
    <w:rsid w:val="00855994"/>
    <w:rsid w:val="00855CCC"/>
    <w:rsid w:val="00855D43"/>
    <w:rsid w:val="00855E62"/>
    <w:rsid w:val="008560AB"/>
    <w:rsid w:val="008560B5"/>
    <w:rsid w:val="008561D6"/>
    <w:rsid w:val="008561D7"/>
    <w:rsid w:val="0085638D"/>
    <w:rsid w:val="00856393"/>
    <w:rsid w:val="008563E6"/>
    <w:rsid w:val="008565C4"/>
    <w:rsid w:val="008565F0"/>
    <w:rsid w:val="00856600"/>
    <w:rsid w:val="00856815"/>
    <w:rsid w:val="008568B3"/>
    <w:rsid w:val="008568CB"/>
    <w:rsid w:val="008569AD"/>
    <w:rsid w:val="00856CA3"/>
    <w:rsid w:val="008571C5"/>
    <w:rsid w:val="00857222"/>
    <w:rsid w:val="008572D6"/>
    <w:rsid w:val="0085747C"/>
    <w:rsid w:val="008577D6"/>
    <w:rsid w:val="00857877"/>
    <w:rsid w:val="00857AD0"/>
    <w:rsid w:val="00857B51"/>
    <w:rsid w:val="00857C4C"/>
    <w:rsid w:val="00857FFE"/>
    <w:rsid w:val="00860194"/>
    <w:rsid w:val="008601CE"/>
    <w:rsid w:val="00860602"/>
    <w:rsid w:val="00860709"/>
    <w:rsid w:val="0086085B"/>
    <w:rsid w:val="00860972"/>
    <w:rsid w:val="0086099B"/>
    <w:rsid w:val="00860A08"/>
    <w:rsid w:val="00860B22"/>
    <w:rsid w:val="00860B75"/>
    <w:rsid w:val="00860DA6"/>
    <w:rsid w:val="00861074"/>
    <w:rsid w:val="0086109D"/>
    <w:rsid w:val="008610E7"/>
    <w:rsid w:val="00861110"/>
    <w:rsid w:val="00861214"/>
    <w:rsid w:val="00861278"/>
    <w:rsid w:val="008616A6"/>
    <w:rsid w:val="0086180D"/>
    <w:rsid w:val="00861B04"/>
    <w:rsid w:val="00861B90"/>
    <w:rsid w:val="00861C0B"/>
    <w:rsid w:val="00861C49"/>
    <w:rsid w:val="00861C63"/>
    <w:rsid w:val="00862029"/>
    <w:rsid w:val="00862047"/>
    <w:rsid w:val="00862269"/>
    <w:rsid w:val="008628D4"/>
    <w:rsid w:val="008628D8"/>
    <w:rsid w:val="00862920"/>
    <w:rsid w:val="00862AF5"/>
    <w:rsid w:val="00862C0B"/>
    <w:rsid w:val="00862CDC"/>
    <w:rsid w:val="00862D2E"/>
    <w:rsid w:val="00862EAB"/>
    <w:rsid w:val="00863113"/>
    <w:rsid w:val="0086314A"/>
    <w:rsid w:val="00863172"/>
    <w:rsid w:val="008634C7"/>
    <w:rsid w:val="0086352B"/>
    <w:rsid w:val="008635ED"/>
    <w:rsid w:val="008636DC"/>
    <w:rsid w:val="008636FC"/>
    <w:rsid w:val="00863A35"/>
    <w:rsid w:val="00863B12"/>
    <w:rsid w:val="00863B54"/>
    <w:rsid w:val="00863B67"/>
    <w:rsid w:val="00863B77"/>
    <w:rsid w:val="00863DB6"/>
    <w:rsid w:val="00863DFB"/>
    <w:rsid w:val="00863E76"/>
    <w:rsid w:val="00863ED1"/>
    <w:rsid w:val="00863EEB"/>
    <w:rsid w:val="00864131"/>
    <w:rsid w:val="008643F1"/>
    <w:rsid w:val="0086452D"/>
    <w:rsid w:val="00864563"/>
    <w:rsid w:val="00864638"/>
    <w:rsid w:val="00864648"/>
    <w:rsid w:val="00864975"/>
    <w:rsid w:val="00864ABD"/>
    <w:rsid w:val="00864B63"/>
    <w:rsid w:val="00864C5B"/>
    <w:rsid w:val="00864C87"/>
    <w:rsid w:val="008650F9"/>
    <w:rsid w:val="00865141"/>
    <w:rsid w:val="00865182"/>
    <w:rsid w:val="008652A3"/>
    <w:rsid w:val="00865496"/>
    <w:rsid w:val="008654D4"/>
    <w:rsid w:val="00865731"/>
    <w:rsid w:val="00865761"/>
    <w:rsid w:val="00865787"/>
    <w:rsid w:val="0086589B"/>
    <w:rsid w:val="00865D02"/>
    <w:rsid w:val="00865F01"/>
    <w:rsid w:val="0086623E"/>
    <w:rsid w:val="0086624B"/>
    <w:rsid w:val="0086628B"/>
    <w:rsid w:val="0086631D"/>
    <w:rsid w:val="008664C3"/>
    <w:rsid w:val="00866503"/>
    <w:rsid w:val="00866666"/>
    <w:rsid w:val="00866758"/>
    <w:rsid w:val="00866E0B"/>
    <w:rsid w:val="00866EED"/>
    <w:rsid w:val="00867319"/>
    <w:rsid w:val="008673CC"/>
    <w:rsid w:val="0086753C"/>
    <w:rsid w:val="00867574"/>
    <w:rsid w:val="008675E7"/>
    <w:rsid w:val="00867624"/>
    <w:rsid w:val="00867642"/>
    <w:rsid w:val="008677AA"/>
    <w:rsid w:val="00867856"/>
    <w:rsid w:val="00867876"/>
    <w:rsid w:val="008678DB"/>
    <w:rsid w:val="00867A27"/>
    <w:rsid w:val="00867A53"/>
    <w:rsid w:val="00867A73"/>
    <w:rsid w:val="00867DA9"/>
    <w:rsid w:val="0087009B"/>
    <w:rsid w:val="008702CC"/>
    <w:rsid w:val="008702DE"/>
    <w:rsid w:val="0087042D"/>
    <w:rsid w:val="0087063E"/>
    <w:rsid w:val="008706C8"/>
    <w:rsid w:val="00870E25"/>
    <w:rsid w:val="00870E92"/>
    <w:rsid w:val="00870EDD"/>
    <w:rsid w:val="00870F01"/>
    <w:rsid w:val="00870F94"/>
    <w:rsid w:val="00871137"/>
    <w:rsid w:val="00871164"/>
    <w:rsid w:val="0087120D"/>
    <w:rsid w:val="00871431"/>
    <w:rsid w:val="008715C2"/>
    <w:rsid w:val="008716C3"/>
    <w:rsid w:val="00871ADD"/>
    <w:rsid w:val="00871B8A"/>
    <w:rsid w:val="00871F0B"/>
    <w:rsid w:val="00871F62"/>
    <w:rsid w:val="00872008"/>
    <w:rsid w:val="00872059"/>
    <w:rsid w:val="008720E7"/>
    <w:rsid w:val="0087211D"/>
    <w:rsid w:val="0087256D"/>
    <w:rsid w:val="008726A4"/>
    <w:rsid w:val="008726C6"/>
    <w:rsid w:val="00872A08"/>
    <w:rsid w:val="00872ADD"/>
    <w:rsid w:val="00872B40"/>
    <w:rsid w:val="00872DAE"/>
    <w:rsid w:val="00872FC5"/>
    <w:rsid w:val="00873028"/>
    <w:rsid w:val="0087305F"/>
    <w:rsid w:val="008732CB"/>
    <w:rsid w:val="008733C2"/>
    <w:rsid w:val="00873420"/>
    <w:rsid w:val="008734DC"/>
    <w:rsid w:val="00873513"/>
    <w:rsid w:val="0087365A"/>
    <w:rsid w:val="008737EF"/>
    <w:rsid w:val="008738A2"/>
    <w:rsid w:val="00873A06"/>
    <w:rsid w:val="00873ABF"/>
    <w:rsid w:val="00873BC6"/>
    <w:rsid w:val="00873C16"/>
    <w:rsid w:val="00873CB9"/>
    <w:rsid w:val="00873EE3"/>
    <w:rsid w:val="008741C3"/>
    <w:rsid w:val="008741E8"/>
    <w:rsid w:val="00874277"/>
    <w:rsid w:val="008742CB"/>
    <w:rsid w:val="008743F3"/>
    <w:rsid w:val="00874500"/>
    <w:rsid w:val="008746C6"/>
    <w:rsid w:val="0087470D"/>
    <w:rsid w:val="00874837"/>
    <w:rsid w:val="00874936"/>
    <w:rsid w:val="00874AE4"/>
    <w:rsid w:val="00874B5A"/>
    <w:rsid w:val="00874BA5"/>
    <w:rsid w:val="00874D8E"/>
    <w:rsid w:val="00874FB1"/>
    <w:rsid w:val="0087508E"/>
    <w:rsid w:val="008750F1"/>
    <w:rsid w:val="0087532E"/>
    <w:rsid w:val="00875421"/>
    <w:rsid w:val="00875480"/>
    <w:rsid w:val="00875685"/>
    <w:rsid w:val="008756AC"/>
    <w:rsid w:val="00875A6F"/>
    <w:rsid w:val="00875BB1"/>
    <w:rsid w:val="00875DE2"/>
    <w:rsid w:val="00875DE6"/>
    <w:rsid w:val="0087653E"/>
    <w:rsid w:val="0087664C"/>
    <w:rsid w:val="00876894"/>
    <w:rsid w:val="0087691A"/>
    <w:rsid w:val="008769D2"/>
    <w:rsid w:val="00876AB6"/>
    <w:rsid w:val="00876BCF"/>
    <w:rsid w:val="00876C80"/>
    <w:rsid w:val="00876D16"/>
    <w:rsid w:val="00876D24"/>
    <w:rsid w:val="00876F95"/>
    <w:rsid w:val="008770B9"/>
    <w:rsid w:val="008771F4"/>
    <w:rsid w:val="008774BD"/>
    <w:rsid w:val="008776BA"/>
    <w:rsid w:val="008776DA"/>
    <w:rsid w:val="0087772C"/>
    <w:rsid w:val="00877B6E"/>
    <w:rsid w:val="00877BA8"/>
    <w:rsid w:val="00877F92"/>
    <w:rsid w:val="008808B4"/>
    <w:rsid w:val="00880902"/>
    <w:rsid w:val="0088094A"/>
    <w:rsid w:val="008809B1"/>
    <w:rsid w:val="00880D23"/>
    <w:rsid w:val="00880EC0"/>
    <w:rsid w:val="00880EC1"/>
    <w:rsid w:val="00880F22"/>
    <w:rsid w:val="008810B7"/>
    <w:rsid w:val="008812AE"/>
    <w:rsid w:val="008812C7"/>
    <w:rsid w:val="0088194D"/>
    <w:rsid w:val="00881ABF"/>
    <w:rsid w:val="00881DDE"/>
    <w:rsid w:val="00881E3C"/>
    <w:rsid w:val="00881F13"/>
    <w:rsid w:val="00881F7A"/>
    <w:rsid w:val="00882217"/>
    <w:rsid w:val="008824FD"/>
    <w:rsid w:val="0088251A"/>
    <w:rsid w:val="00882587"/>
    <w:rsid w:val="008825B5"/>
    <w:rsid w:val="00882852"/>
    <w:rsid w:val="008828CC"/>
    <w:rsid w:val="00882C16"/>
    <w:rsid w:val="00882F27"/>
    <w:rsid w:val="00883009"/>
    <w:rsid w:val="00883097"/>
    <w:rsid w:val="0088311E"/>
    <w:rsid w:val="008831C4"/>
    <w:rsid w:val="00883267"/>
    <w:rsid w:val="00883424"/>
    <w:rsid w:val="00883770"/>
    <w:rsid w:val="00883F4F"/>
    <w:rsid w:val="00883FE6"/>
    <w:rsid w:val="008841F3"/>
    <w:rsid w:val="008842CD"/>
    <w:rsid w:val="008842F1"/>
    <w:rsid w:val="008843D8"/>
    <w:rsid w:val="008843DD"/>
    <w:rsid w:val="00884618"/>
    <w:rsid w:val="0088461F"/>
    <w:rsid w:val="00884937"/>
    <w:rsid w:val="00884A12"/>
    <w:rsid w:val="00884A76"/>
    <w:rsid w:val="00884D81"/>
    <w:rsid w:val="00884F15"/>
    <w:rsid w:val="00884FCA"/>
    <w:rsid w:val="0088501C"/>
    <w:rsid w:val="0088504E"/>
    <w:rsid w:val="008852E3"/>
    <w:rsid w:val="00885400"/>
    <w:rsid w:val="00885932"/>
    <w:rsid w:val="00885C25"/>
    <w:rsid w:val="00886586"/>
    <w:rsid w:val="0088660A"/>
    <w:rsid w:val="0088662C"/>
    <w:rsid w:val="0088668B"/>
    <w:rsid w:val="0088680C"/>
    <w:rsid w:val="008868D7"/>
    <w:rsid w:val="008869AF"/>
    <w:rsid w:val="008869FB"/>
    <w:rsid w:val="00886B74"/>
    <w:rsid w:val="00886B7F"/>
    <w:rsid w:val="00886B8F"/>
    <w:rsid w:val="00886FD6"/>
    <w:rsid w:val="0088709B"/>
    <w:rsid w:val="0088740E"/>
    <w:rsid w:val="0088741C"/>
    <w:rsid w:val="0088749B"/>
    <w:rsid w:val="00887857"/>
    <w:rsid w:val="008878C4"/>
    <w:rsid w:val="00887956"/>
    <w:rsid w:val="00887A53"/>
    <w:rsid w:val="00887C34"/>
    <w:rsid w:val="00887C45"/>
    <w:rsid w:val="00887C56"/>
    <w:rsid w:val="00887C6E"/>
    <w:rsid w:val="00887DA0"/>
    <w:rsid w:val="00887E46"/>
    <w:rsid w:val="00890113"/>
    <w:rsid w:val="008901CB"/>
    <w:rsid w:val="00890231"/>
    <w:rsid w:val="00890421"/>
    <w:rsid w:val="00890545"/>
    <w:rsid w:val="008906A2"/>
    <w:rsid w:val="008906CA"/>
    <w:rsid w:val="00890795"/>
    <w:rsid w:val="0089086E"/>
    <w:rsid w:val="0089094E"/>
    <w:rsid w:val="008909E7"/>
    <w:rsid w:val="00890D01"/>
    <w:rsid w:val="00890DB6"/>
    <w:rsid w:val="00890DF1"/>
    <w:rsid w:val="00890E25"/>
    <w:rsid w:val="00890E26"/>
    <w:rsid w:val="00890E8F"/>
    <w:rsid w:val="008911C2"/>
    <w:rsid w:val="00891363"/>
    <w:rsid w:val="00891465"/>
    <w:rsid w:val="008914AB"/>
    <w:rsid w:val="008917BF"/>
    <w:rsid w:val="008919E6"/>
    <w:rsid w:val="00891E96"/>
    <w:rsid w:val="00891F0E"/>
    <w:rsid w:val="00891F2B"/>
    <w:rsid w:val="00891FB4"/>
    <w:rsid w:val="00891FFC"/>
    <w:rsid w:val="00892132"/>
    <w:rsid w:val="0089215D"/>
    <w:rsid w:val="008921FA"/>
    <w:rsid w:val="00892360"/>
    <w:rsid w:val="008928BE"/>
    <w:rsid w:val="00892994"/>
    <w:rsid w:val="00892A4E"/>
    <w:rsid w:val="00892B59"/>
    <w:rsid w:val="00892D49"/>
    <w:rsid w:val="00892D5A"/>
    <w:rsid w:val="00892F4D"/>
    <w:rsid w:val="0089306C"/>
    <w:rsid w:val="0089324E"/>
    <w:rsid w:val="00893483"/>
    <w:rsid w:val="0089370A"/>
    <w:rsid w:val="00893725"/>
    <w:rsid w:val="00893879"/>
    <w:rsid w:val="00893AF0"/>
    <w:rsid w:val="00893B40"/>
    <w:rsid w:val="00893B92"/>
    <w:rsid w:val="00893D39"/>
    <w:rsid w:val="00893D43"/>
    <w:rsid w:val="00893D47"/>
    <w:rsid w:val="00893F77"/>
    <w:rsid w:val="00894075"/>
    <w:rsid w:val="0089428E"/>
    <w:rsid w:val="008942BC"/>
    <w:rsid w:val="00894733"/>
    <w:rsid w:val="0089486E"/>
    <w:rsid w:val="00894A27"/>
    <w:rsid w:val="00894A92"/>
    <w:rsid w:val="00894B1E"/>
    <w:rsid w:val="00894F02"/>
    <w:rsid w:val="00894F3B"/>
    <w:rsid w:val="00894FAC"/>
    <w:rsid w:val="0089512D"/>
    <w:rsid w:val="008952D1"/>
    <w:rsid w:val="0089532F"/>
    <w:rsid w:val="00895414"/>
    <w:rsid w:val="00895434"/>
    <w:rsid w:val="00895540"/>
    <w:rsid w:val="00895558"/>
    <w:rsid w:val="0089567A"/>
    <w:rsid w:val="00895885"/>
    <w:rsid w:val="00895997"/>
    <w:rsid w:val="00895C2D"/>
    <w:rsid w:val="00895C68"/>
    <w:rsid w:val="00895D36"/>
    <w:rsid w:val="00895DF6"/>
    <w:rsid w:val="00895F77"/>
    <w:rsid w:val="00896113"/>
    <w:rsid w:val="00896131"/>
    <w:rsid w:val="00896243"/>
    <w:rsid w:val="008962A4"/>
    <w:rsid w:val="008962E9"/>
    <w:rsid w:val="008963E0"/>
    <w:rsid w:val="00896554"/>
    <w:rsid w:val="008968ED"/>
    <w:rsid w:val="00896A4C"/>
    <w:rsid w:val="00896ABA"/>
    <w:rsid w:val="00896B77"/>
    <w:rsid w:val="00896BF7"/>
    <w:rsid w:val="00896CEE"/>
    <w:rsid w:val="00896D7F"/>
    <w:rsid w:val="00896EB8"/>
    <w:rsid w:val="00896EBA"/>
    <w:rsid w:val="00896ED9"/>
    <w:rsid w:val="00896F75"/>
    <w:rsid w:val="00897288"/>
    <w:rsid w:val="00897305"/>
    <w:rsid w:val="00897764"/>
    <w:rsid w:val="0089781B"/>
    <w:rsid w:val="0089797F"/>
    <w:rsid w:val="00897B0B"/>
    <w:rsid w:val="00897B19"/>
    <w:rsid w:val="00897C18"/>
    <w:rsid w:val="00897CED"/>
    <w:rsid w:val="00897D86"/>
    <w:rsid w:val="00897DE2"/>
    <w:rsid w:val="008A006D"/>
    <w:rsid w:val="008A018E"/>
    <w:rsid w:val="008A01FF"/>
    <w:rsid w:val="008A02BB"/>
    <w:rsid w:val="008A0611"/>
    <w:rsid w:val="008A0706"/>
    <w:rsid w:val="008A07B4"/>
    <w:rsid w:val="008A0845"/>
    <w:rsid w:val="008A0939"/>
    <w:rsid w:val="008A0AFF"/>
    <w:rsid w:val="008A0CD8"/>
    <w:rsid w:val="008A0EB9"/>
    <w:rsid w:val="008A1343"/>
    <w:rsid w:val="008A1474"/>
    <w:rsid w:val="008A147F"/>
    <w:rsid w:val="008A15A5"/>
    <w:rsid w:val="008A1775"/>
    <w:rsid w:val="008A1A27"/>
    <w:rsid w:val="008A1A9A"/>
    <w:rsid w:val="008A1AD2"/>
    <w:rsid w:val="008A1B54"/>
    <w:rsid w:val="008A1BBE"/>
    <w:rsid w:val="008A1C9C"/>
    <w:rsid w:val="008A1D76"/>
    <w:rsid w:val="008A1E87"/>
    <w:rsid w:val="008A1EE8"/>
    <w:rsid w:val="008A1FB5"/>
    <w:rsid w:val="008A2110"/>
    <w:rsid w:val="008A23C9"/>
    <w:rsid w:val="008A2695"/>
    <w:rsid w:val="008A2C0A"/>
    <w:rsid w:val="008A2EFC"/>
    <w:rsid w:val="008A300A"/>
    <w:rsid w:val="008A3399"/>
    <w:rsid w:val="008A3426"/>
    <w:rsid w:val="008A3735"/>
    <w:rsid w:val="008A39F8"/>
    <w:rsid w:val="008A3A08"/>
    <w:rsid w:val="008A3BF3"/>
    <w:rsid w:val="008A3C8B"/>
    <w:rsid w:val="008A3CC8"/>
    <w:rsid w:val="008A4088"/>
    <w:rsid w:val="008A426A"/>
    <w:rsid w:val="008A435B"/>
    <w:rsid w:val="008A4437"/>
    <w:rsid w:val="008A452B"/>
    <w:rsid w:val="008A45EA"/>
    <w:rsid w:val="008A4742"/>
    <w:rsid w:val="008A499E"/>
    <w:rsid w:val="008A4AA5"/>
    <w:rsid w:val="008A4B04"/>
    <w:rsid w:val="008A4C08"/>
    <w:rsid w:val="008A4CC2"/>
    <w:rsid w:val="008A4DF5"/>
    <w:rsid w:val="008A4F65"/>
    <w:rsid w:val="008A4F86"/>
    <w:rsid w:val="008A4FA1"/>
    <w:rsid w:val="008A5909"/>
    <w:rsid w:val="008A5A45"/>
    <w:rsid w:val="008A60A8"/>
    <w:rsid w:val="008A6217"/>
    <w:rsid w:val="008A6515"/>
    <w:rsid w:val="008A65FE"/>
    <w:rsid w:val="008A6847"/>
    <w:rsid w:val="008A693A"/>
    <w:rsid w:val="008A6C9D"/>
    <w:rsid w:val="008A6E08"/>
    <w:rsid w:val="008A728B"/>
    <w:rsid w:val="008A7389"/>
    <w:rsid w:val="008A749A"/>
    <w:rsid w:val="008A7575"/>
    <w:rsid w:val="008A7690"/>
    <w:rsid w:val="008A77BD"/>
    <w:rsid w:val="008A79AE"/>
    <w:rsid w:val="008A7AD2"/>
    <w:rsid w:val="008A7C16"/>
    <w:rsid w:val="008A7D39"/>
    <w:rsid w:val="008A7E69"/>
    <w:rsid w:val="008B0407"/>
    <w:rsid w:val="008B0412"/>
    <w:rsid w:val="008B072E"/>
    <w:rsid w:val="008B0857"/>
    <w:rsid w:val="008B0948"/>
    <w:rsid w:val="008B0A18"/>
    <w:rsid w:val="008B0AAF"/>
    <w:rsid w:val="008B0B3A"/>
    <w:rsid w:val="008B0B92"/>
    <w:rsid w:val="008B0D16"/>
    <w:rsid w:val="008B0EEE"/>
    <w:rsid w:val="008B1054"/>
    <w:rsid w:val="008B13F8"/>
    <w:rsid w:val="008B161E"/>
    <w:rsid w:val="008B164F"/>
    <w:rsid w:val="008B172C"/>
    <w:rsid w:val="008B17A2"/>
    <w:rsid w:val="008B196B"/>
    <w:rsid w:val="008B1AE3"/>
    <w:rsid w:val="008B1B58"/>
    <w:rsid w:val="008B1DC1"/>
    <w:rsid w:val="008B1ECC"/>
    <w:rsid w:val="008B1F40"/>
    <w:rsid w:val="008B1FF3"/>
    <w:rsid w:val="008B203B"/>
    <w:rsid w:val="008B204B"/>
    <w:rsid w:val="008B206C"/>
    <w:rsid w:val="008B2080"/>
    <w:rsid w:val="008B2246"/>
    <w:rsid w:val="008B225E"/>
    <w:rsid w:val="008B2513"/>
    <w:rsid w:val="008B2718"/>
    <w:rsid w:val="008B2767"/>
    <w:rsid w:val="008B27A9"/>
    <w:rsid w:val="008B2868"/>
    <w:rsid w:val="008B2922"/>
    <w:rsid w:val="008B29A8"/>
    <w:rsid w:val="008B2BB3"/>
    <w:rsid w:val="008B3044"/>
    <w:rsid w:val="008B3105"/>
    <w:rsid w:val="008B31D4"/>
    <w:rsid w:val="008B31EE"/>
    <w:rsid w:val="008B32A9"/>
    <w:rsid w:val="008B33F6"/>
    <w:rsid w:val="008B344D"/>
    <w:rsid w:val="008B357D"/>
    <w:rsid w:val="008B375A"/>
    <w:rsid w:val="008B376D"/>
    <w:rsid w:val="008B3A63"/>
    <w:rsid w:val="008B3A73"/>
    <w:rsid w:val="008B3C18"/>
    <w:rsid w:val="008B3C9E"/>
    <w:rsid w:val="008B3E51"/>
    <w:rsid w:val="008B3F6C"/>
    <w:rsid w:val="008B4031"/>
    <w:rsid w:val="008B4071"/>
    <w:rsid w:val="008B40D9"/>
    <w:rsid w:val="008B4269"/>
    <w:rsid w:val="008B44D5"/>
    <w:rsid w:val="008B44DD"/>
    <w:rsid w:val="008B4649"/>
    <w:rsid w:val="008B469E"/>
    <w:rsid w:val="008B46C0"/>
    <w:rsid w:val="008B47CB"/>
    <w:rsid w:val="008B490E"/>
    <w:rsid w:val="008B4AFF"/>
    <w:rsid w:val="008B4CF1"/>
    <w:rsid w:val="008B4D2C"/>
    <w:rsid w:val="008B4DE1"/>
    <w:rsid w:val="008B4E4B"/>
    <w:rsid w:val="008B4ED0"/>
    <w:rsid w:val="008B4EFB"/>
    <w:rsid w:val="008B4FED"/>
    <w:rsid w:val="008B50F3"/>
    <w:rsid w:val="008B5120"/>
    <w:rsid w:val="008B5252"/>
    <w:rsid w:val="008B52D9"/>
    <w:rsid w:val="008B53D5"/>
    <w:rsid w:val="008B5535"/>
    <w:rsid w:val="008B599B"/>
    <w:rsid w:val="008B5BC0"/>
    <w:rsid w:val="008B5D98"/>
    <w:rsid w:val="008B6278"/>
    <w:rsid w:val="008B628C"/>
    <w:rsid w:val="008B657D"/>
    <w:rsid w:val="008B6584"/>
    <w:rsid w:val="008B6705"/>
    <w:rsid w:val="008B6769"/>
    <w:rsid w:val="008B6776"/>
    <w:rsid w:val="008B682B"/>
    <w:rsid w:val="008B6835"/>
    <w:rsid w:val="008B6887"/>
    <w:rsid w:val="008B6D44"/>
    <w:rsid w:val="008B6E73"/>
    <w:rsid w:val="008B6EBD"/>
    <w:rsid w:val="008B6F2A"/>
    <w:rsid w:val="008B6F9A"/>
    <w:rsid w:val="008B6FD3"/>
    <w:rsid w:val="008B70B8"/>
    <w:rsid w:val="008B76F7"/>
    <w:rsid w:val="008B7A42"/>
    <w:rsid w:val="008B7D1D"/>
    <w:rsid w:val="008B7FAD"/>
    <w:rsid w:val="008C0083"/>
    <w:rsid w:val="008C02A4"/>
    <w:rsid w:val="008C02E2"/>
    <w:rsid w:val="008C02FA"/>
    <w:rsid w:val="008C03C7"/>
    <w:rsid w:val="008C03CD"/>
    <w:rsid w:val="008C074F"/>
    <w:rsid w:val="008C0B50"/>
    <w:rsid w:val="008C0D28"/>
    <w:rsid w:val="008C0EF1"/>
    <w:rsid w:val="008C1078"/>
    <w:rsid w:val="008C12BB"/>
    <w:rsid w:val="008C1529"/>
    <w:rsid w:val="008C171D"/>
    <w:rsid w:val="008C1774"/>
    <w:rsid w:val="008C18A1"/>
    <w:rsid w:val="008C18B6"/>
    <w:rsid w:val="008C196E"/>
    <w:rsid w:val="008C1A50"/>
    <w:rsid w:val="008C1CD6"/>
    <w:rsid w:val="008C1D02"/>
    <w:rsid w:val="008C1D96"/>
    <w:rsid w:val="008C1F8C"/>
    <w:rsid w:val="008C20BA"/>
    <w:rsid w:val="008C2115"/>
    <w:rsid w:val="008C231F"/>
    <w:rsid w:val="008C23D8"/>
    <w:rsid w:val="008C23F4"/>
    <w:rsid w:val="008C2448"/>
    <w:rsid w:val="008C248A"/>
    <w:rsid w:val="008C2538"/>
    <w:rsid w:val="008C2875"/>
    <w:rsid w:val="008C28EB"/>
    <w:rsid w:val="008C2A97"/>
    <w:rsid w:val="008C2A9C"/>
    <w:rsid w:val="008C2AF3"/>
    <w:rsid w:val="008C2CA2"/>
    <w:rsid w:val="008C2E33"/>
    <w:rsid w:val="008C2EDB"/>
    <w:rsid w:val="008C2F5B"/>
    <w:rsid w:val="008C2FAF"/>
    <w:rsid w:val="008C304A"/>
    <w:rsid w:val="008C3325"/>
    <w:rsid w:val="008C3410"/>
    <w:rsid w:val="008C3658"/>
    <w:rsid w:val="008C365D"/>
    <w:rsid w:val="008C36D8"/>
    <w:rsid w:val="008C392F"/>
    <w:rsid w:val="008C39C4"/>
    <w:rsid w:val="008C3CF4"/>
    <w:rsid w:val="008C3CFF"/>
    <w:rsid w:val="008C41D2"/>
    <w:rsid w:val="008C45FB"/>
    <w:rsid w:val="008C4687"/>
    <w:rsid w:val="008C4B05"/>
    <w:rsid w:val="008C4C2E"/>
    <w:rsid w:val="008C4D25"/>
    <w:rsid w:val="008C4DEA"/>
    <w:rsid w:val="008C4FF7"/>
    <w:rsid w:val="008C50DC"/>
    <w:rsid w:val="008C52D4"/>
    <w:rsid w:val="008C563B"/>
    <w:rsid w:val="008C59D6"/>
    <w:rsid w:val="008C5CC4"/>
    <w:rsid w:val="008C5F5A"/>
    <w:rsid w:val="008C6492"/>
    <w:rsid w:val="008C6601"/>
    <w:rsid w:val="008C66E7"/>
    <w:rsid w:val="008C675D"/>
    <w:rsid w:val="008C681A"/>
    <w:rsid w:val="008C6A91"/>
    <w:rsid w:val="008C6BDB"/>
    <w:rsid w:val="008C6C6E"/>
    <w:rsid w:val="008C6C9A"/>
    <w:rsid w:val="008C6CE3"/>
    <w:rsid w:val="008C6E64"/>
    <w:rsid w:val="008C6F72"/>
    <w:rsid w:val="008C6FB9"/>
    <w:rsid w:val="008C701E"/>
    <w:rsid w:val="008C70C7"/>
    <w:rsid w:val="008C724C"/>
    <w:rsid w:val="008C7358"/>
    <w:rsid w:val="008C741F"/>
    <w:rsid w:val="008C75A4"/>
    <w:rsid w:val="008C76FB"/>
    <w:rsid w:val="008C784B"/>
    <w:rsid w:val="008C7869"/>
    <w:rsid w:val="008C78C3"/>
    <w:rsid w:val="008C7CEB"/>
    <w:rsid w:val="008D00FA"/>
    <w:rsid w:val="008D0178"/>
    <w:rsid w:val="008D018F"/>
    <w:rsid w:val="008D01B9"/>
    <w:rsid w:val="008D01CD"/>
    <w:rsid w:val="008D03C4"/>
    <w:rsid w:val="008D03CD"/>
    <w:rsid w:val="008D058D"/>
    <w:rsid w:val="008D06AD"/>
    <w:rsid w:val="008D06DC"/>
    <w:rsid w:val="008D075B"/>
    <w:rsid w:val="008D07B1"/>
    <w:rsid w:val="008D08EB"/>
    <w:rsid w:val="008D0906"/>
    <w:rsid w:val="008D098C"/>
    <w:rsid w:val="008D09FB"/>
    <w:rsid w:val="008D0A53"/>
    <w:rsid w:val="008D0AC7"/>
    <w:rsid w:val="008D0B35"/>
    <w:rsid w:val="008D0E83"/>
    <w:rsid w:val="008D0EF4"/>
    <w:rsid w:val="008D1007"/>
    <w:rsid w:val="008D10A0"/>
    <w:rsid w:val="008D1185"/>
    <w:rsid w:val="008D1463"/>
    <w:rsid w:val="008D146A"/>
    <w:rsid w:val="008D154A"/>
    <w:rsid w:val="008D156C"/>
    <w:rsid w:val="008D178A"/>
    <w:rsid w:val="008D19D1"/>
    <w:rsid w:val="008D1AD1"/>
    <w:rsid w:val="008D1B64"/>
    <w:rsid w:val="008D1E0D"/>
    <w:rsid w:val="008D1F02"/>
    <w:rsid w:val="008D1F84"/>
    <w:rsid w:val="008D1F9E"/>
    <w:rsid w:val="008D1FB0"/>
    <w:rsid w:val="008D2043"/>
    <w:rsid w:val="008D20E5"/>
    <w:rsid w:val="008D210B"/>
    <w:rsid w:val="008D2110"/>
    <w:rsid w:val="008D23B1"/>
    <w:rsid w:val="008D2765"/>
    <w:rsid w:val="008D2AF7"/>
    <w:rsid w:val="008D2CB6"/>
    <w:rsid w:val="008D2FCC"/>
    <w:rsid w:val="008D3148"/>
    <w:rsid w:val="008D3176"/>
    <w:rsid w:val="008D3197"/>
    <w:rsid w:val="008D334B"/>
    <w:rsid w:val="008D3600"/>
    <w:rsid w:val="008D3795"/>
    <w:rsid w:val="008D3864"/>
    <w:rsid w:val="008D3883"/>
    <w:rsid w:val="008D3887"/>
    <w:rsid w:val="008D3B19"/>
    <w:rsid w:val="008D3D57"/>
    <w:rsid w:val="008D3E00"/>
    <w:rsid w:val="008D3E2F"/>
    <w:rsid w:val="008D3ED5"/>
    <w:rsid w:val="008D4162"/>
    <w:rsid w:val="008D4285"/>
    <w:rsid w:val="008D4394"/>
    <w:rsid w:val="008D4410"/>
    <w:rsid w:val="008D4493"/>
    <w:rsid w:val="008D4903"/>
    <w:rsid w:val="008D4927"/>
    <w:rsid w:val="008D4981"/>
    <w:rsid w:val="008D4E54"/>
    <w:rsid w:val="008D4F68"/>
    <w:rsid w:val="008D5377"/>
    <w:rsid w:val="008D53B1"/>
    <w:rsid w:val="008D5430"/>
    <w:rsid w:val="008D5568"/>
    <w:rsid w:val="008D56A6"/>
    <w:rsid w:val="008D57C5"/>
    <w:rsid w:val="008D585B"/>
    <w:rsid w:val="008D5984"/>
    <w:rsid w:val="008D59C8"/>
    <w:rsid w:val="008D5A35"/>
    <w:rsid w:val="008D5AC0"/>
    <w:rsid w:val="008D6053"/>
    <w:rsid w:val="008D606F"/>
    <w:rsid w:val="008D618C"/>
    <w:rsid w:val="008D62DA"/>
    <w:rsid w:val="008D63E9"/>
    <w:rsid w:val="008D6408"/>
    <w:rsid w:val="008D66AB"/>
    <w:rsid w:val="008D6EE2"/>
    <w:rsid w:val="008D6FCD"/>
    <w:rsid w:val="008D718B"/>
    <w:rsid w:val="008D723C"/>
    <w:rsid w:val="008D72EB"/>
    <w:rsid w:val="008D7409"/>
    <w:rsid w:val="008D74D9"/>
    <w:rsid w:val="008D763B"/>
    <w:rsid w:val="008D77E0"/>
    <w:rsid w:val="008D7A81"/>
    <w:rsid w:val="008D7D01"/>
    <w:rsid w:val="008D7E2B"/>
    <w:rsid w:val="008D7F2B"/>
    <w:rsid w:val="008E000F"/>
    <w:rsid w:val="008E0026"/>
    <w:rsid w:val="008E017E"/>
    <w:rsid w:val="008E027D"/>
    <w:rsid w:val="008E0539"/>
    <w:rsid w:val="008E0612"/>
    <w:rsid w:val="008E08C5"/>
    <w:rsid w:val="008E0AFC"/>
    <w:rsid w:val="008E0E4D"/>
    <w:rsid w:val="008E0EE8"/>
    <w:rsid w:val="008E0FC2"/>
    <w:rsid w:val="008E10BD"/>
    <w:rsid w:val="008E12C1"/>
    <w:rsid w:val="008E12DA"/>
    <w:rsid w:val="008E1412"/>
    <w:rsid w:val="008E157A"/>
    <w:rsid w:val="008E1594"/>
    <w:rsid w:val="008E1605"/>
    <w:rsid w:val="008E1639"/>
    <w:rsid w:val="008E1955"/>
    <w:rsid w:val="008E19F9"/>
    <w:rsid w:val="008E1A96"/>
    <w:rsid w:val="008E1ABF"/>
    <w:rsid w:val="008E1E68"/>
    <w:rsid w:val="008E1E74"/>
    <w:rsid w:val="008E219A"/>
    <w:rsid w:val="008E2449"/>
    <w:rsid w:val="008E24AE"/>
    <w:rsid w:val="008E250B"/>
    <w:rsid w:val="008E27A2"/>
    <w:rsid w:val="008E297B"/>
    <w:rsid w:val="008E29AF"/>
    <w:rsid w:val="008E29F0"/>
    <w:rsid w:val="008E2A45"/>
    <w:rsid w:val="008E2A71"/>
    <w:rsid w:val="008E2B45"/>
    <w:rsid w:val="008E2D39"/>
    <w:rsid w:val="008E3047"/>
    <w:rsid w:val="008E30EA"/>
    <w:rsid w:val="008E31E3"/>
    <w:rsid w:val="008E3253"/>
    <w:rsid w:val="008E32AF"/>
    <w:rsid w:val="008E334C"/>
    <w:rsid w:val="008E3379"/>
    <w:rsid w:val="008E34DE"/>
    <w:rsid w:val="008E3569"/>
    <w:rsid w:val="008E36E3"/>
    <w:rsid w:val="008E385F"/>
    <w:rsid w:val="008E3A41"/>
    <w:rsid w:val="008E3BBA"/>
    <w:rsid w:val="008E3D26"/>
    <w:rsid w:val="008E3DF1"/>
    <w:rsid w:val="008E40A5"/>
    <w:rsid w:val="008E4209"/>
    <w:rsid w:val="008E423E"/>
    <w:rsid w:val="008E4306"/>
    <w:rsid w:val="008E4375"/>
    <w:rsid w:val="008E4624"/>
    <w:rsid w:val="008E46AC"/>
    <w:rsid w:val="008E47A0"/>
    <w:rsid w:val="008E4AA7"/>
    <w:rsid w:val="008E4E28"/>
    <w:rsid w:val="008E4F15"/>
    <w:rsid w:val="008E4F3F"/>
    <w:rsid w:val="008E4FEA"/>
    <w:rsid w:val="008E50CF"/>
    <w:rsid w:val="008E51AF"/>
    <w:rsid w:val="008E548A"/>
    <w:rsid w:val="008E55DA"/>
    <w:rsid w:val="008E5676"/>
    <w:rsid w:val="008E568A"/>
    <w:rsid w:val="008E5C33"/>
    <w:rsid w:val="008E5D02"/>
    <w:rsid w:val="008E5DBA"/>
    <w:rsid w:val="008E5F83"/>
    <w:rsid w:val="008E61AB"/>
    <w:rsid w:val="008E6469"/>
    <w:rsid w:val="008E6516"/>
    <w:rsid w:val="008E67C7"/>
    <w:rsid w:val="008E6886"/>
    <w:rsid w:val="008E688C"/>
    <w:rsid w:val="008E6905"/>
    <w:rsid w:val="008E6977"/>
    <w:rsid w:val="008E6A3F"/>
    <w:rsid w:val="008E6D5E"/>
    <w:rsid w:val="008E6FEF"/>
    <w:rsid w:val="008E70CE"/>
    <w:rsid w:val="008E71F4"/>
    <w:rsid w:val="008E73AC"/>
    <w:rsid w:val="008E74A2"/>
    <w:rsid w:val="008E7A29"/>
    <w:rsid w:val="008E7BA9"/>
    <w:rsid w:val="008F012D"/>
    <w:rsid w:val="008F01ED"/>
    <w:rsid w:val="008F0397"/>
    <w:rsid w:val="008F057E"/>
    <w:rsid w:val="008F05BE"/>
    <w:rsid w:val="008F0695"/>
    <w:rsid w:val="008F0704"/>
    <w:rsid w:val="008F08A0"/>
    <w:rsid w:val="008F09C4"/>
    <w:rsid w:val="008F0A36"/>
    <w:rsid w:val="008F0A60"/>
    <w:rsid w:val="008F0D22"/>
    <w:rsid w:val="008F10DB"/>
    <w:rsid w:val="008F12D2"/>
    <w:rsid w:val="008F12D7"/>
    <w:rsid w:val="008F14A3"/>
    <w:rsid w:val="008F14EB"/>
    <w:rsid w:val="008F1792"/>
    <w:rsid w:val="008F185D"/>
    <w:rsid w:val="008F1A3D"/>
    <w:rsid w:val="008F1A7A"/>
    <w:rsid w:val="008F1A7D"/>
    <w:rsid w:val="008F1D8B"/>
    <w:rsid w:val="008F1D96"/>
    <w:rsid w:val="008F2141"/>
    <w:rsid w:val="008F2143"/>
    <w:rsid w:val="008F23D5"/>
    <w:rsid w:val="008F2506"/>
    <w:rsid w:val="008F256B"/>
    <w:rsid w:val="008F25A9"/>
    <w:rsid w:val="008F25E2"/>
    <w:rsid w:val="008F2AB4"/>
    <w:rsid w:val="008F2AD4"/>
    <w:rsid w:val="008F2AD6"/>
    <w:rsid w:val="008F2B08"/>
    <w:rsid w:val="008F2F87"/>
    <w:rsid w:val="008F2FEE"/>
    <w:rsid w:val="008F300A"/>
    <w:rsid w:val="008F317A"/>
    <w:rsid w:val="008F31D0"/>
    <w:rsid w:val="008F3314"/>
    <w:rsid w:val="008F3426"/>
    <w:rsid w:val="008F34F6"/>
    <w:rsid w:val="008F3570"/>
    <w:rsid w:val="008F37A5"/>
    <w:rsid w:val="008F389F"/>
    <w:rsid w:val="008F39A7"/>
    <w:rsid w:val="008F39DD"/>
    <w:rsid w:val="008F3D1E"/>
    <w:rsid w:val="008F3FB1"/>
    <w:rsid w:val="008F431B"/>
    <w:rsid w:val="008F480E"/>
    <w:rsid w:val="008F4A29"/>
    <w:rsid w:val="008F4B82"/>
    <w:rsid w:val="008F4D9C"/>
    <w:rsid w:val="008F4E94"/>
    <w:rsid w:val="008F4F28"/>
    <w:rsid w:val="008F4F50"/>
    <w:rsid w:val="008F523D"/>
    <w:rsid w:val="008F551B"/>
    <w:rsid w:val="008F552A"/>
    <w:rsid w:val="008F56E2"/>
    <w:rsid w:val="008F5707"/>
    <w:rsid w:val="008F5758"/>
    <w:rsid w:val="008F58A3"/>
    <w:rsid w:val="008F58FB"/>
    <w:rsid w:val="008F5A96"/>
    <w:rsid w:val="008F5DD3"/>
    <w:rsid w:val="008F5F11"/>
    <w:rsid w:val="008F5F7A"/>
    <w:rsid w:val="008F609A"/>
    <w:rsid w:val="008F65C1"/>
    <w:rsid w:val="008F6715"/>
    <w:rsid w:val="008F67A8"/>
    <w:rsid w:val="008F6C21"/>
    <w:rsid w:val="008F6C76"/>
    <w:rsid w:val="008F6D52"/>
    <w:rsid w:val="008F6EAD"/>
    <w:rsid w:val="008F707F"/>
    <w:rsid w:val="008F708E"/>
    <w:rsid w:val="008F73A9"/>
    <w:rsid w:val="008F73FB"/>
    <w:rsid w:val="008F74AD"/>
    <w:rsid w:val="008F7558"/>
    <w:rsid w:val="008F75B5"/>
    <w:rsid w:val="008F7629"/>
    <w:rsid w:val="008F7652"/>
    <w:rsid w:val="008F77F3"/>
    <w:rsid w:val="008F7A2F"/>
    <w:rsid w:val="008F7DA9"/>
    <w:rsid w:val="008F7E19"/>
    <w:rsid w:val="00900266"/>
    <w:rsid w:val="00900278"/>
    <w:rsid w:val="009002B7"/>
    <w:rsid w:val="009003E9"/>
    <w:rsid w:val="009003F6"/>
    <w:rsid w:val="00900539"/>
    <w:rsid w:val="0090065F"/>
    <w:rsid w:val="00900B27"/>
    <w:rsid w:val="00900E8A"/>
    <w:rsid w:val="009011AC"/>
    <w:rsid w:val="009011E0"/>
    <w:rsid w:val="00901374"/>
    <w:rsid w:val="00901423"/>
    <w:rsid w:val="0090146C"/>
    <w:rsid w:val="00901564"/>
    <w:rsid w:val="009015DF"/>
    <w:rsid w:val="00901806"/>
    <w:rsid w:val="0090180E"/>
    <w:rsid w:val="00901BE7"/>
    <w:rsid w:val="00901C06"/>
    <w:rsid w:val="00901D78"/>
    <w:rsid w:val="009020E1"/>
    <w:rsid w:val="00902399"/>
    <w:rsid w:val="00902457"/>
    <w:rsid w:val="00902513"/>
    <w:rsid w:val="0090269D"/>
    <w:rsid w:val="00902775"/>
    <w:rsid w:val="0090286B"/>
    <w:rsid w:val="00902B6E"/>
    <w:rsid w:val="00902D55"/>
    <w:rsid w:val="00902DBF"/>
    <w:rsid w:val="00903142"/>
    <w:rsid w:val="00903195"/>
    <w:rsid w:val="009033E6"/>
    <w:rsid w:val="009034CF"/>
    <w:rsid w:val="00903502"/>
    <w:rsid w:val="00903515"/>
    <w:rsid w:val="0090373D"/>
    <w:rsid w:val="00903874"/>
    <w:rsid w:val="00903AC3"/>
    <w:rsid w:val="00903B60"/>
    <w:rsid w:val="00903B66"/>
    <w:rsid w:val="00903EAD"/>
    <w:rsid w:val="00903FD2"/>
    <w:rsid w:val="0090412E"/>
    <w:rsid w:val="00904191"/>
    <w:rsid w:val="00904321"/>
    <w:rsid w:val="00904536"/>
    <w:rsid w:val="009046A5"/>
    <w:rsid w:val="0090478A"/>
    <w:rsid w:val="00904BCA"/>
    <w:rsid w:val="00905041"/>
    <w:rsid w:val="00905227"/>
    <w:rsid w:val="00905239"/>
    <w:rsid w:val="009052DE"/>
    <w:rsid w:val="009054F3"/>
    <w:rsid w:val="0090577F"/>
    <w:rsid w:val="00905780"/>
    <w:rsid w:val="0090586B"/>
    <w:rsid w:val="00905947"/>
    <w:rsid w:val="00905A08"/>
    <w:rsid w:val="00905A43"/>
    <w:rsid w:val="00905D9B"/>
    <w:rsid w:val="00906097"/>
    <w:rsid w:val="009060A2"/>
    <w:rsid w:val="00906286"/>
    <w:rsid w:val="00906318"/>
    <w:rsid w:val="0090640D"/>
    <w:rsid w:val="00906491"/>
    <w:rsid w:val="0090651C"/>
    <w:rsid w:val="00906803"/>
    <w:rsid w:val="00906B30"/>
    <w:rsid w:val="00906B86"/>
    <w:rsid w:val="00906C56"/>
    <w:rsid w:val="00906DE5"/>
    <w:rsid w:val="00906EB4"/>
    <w:rsid w:val="009071E7"/>
    <w:rsid w:val="00907245"/>
    <w:rsid w:val="009072C7"/>
    <w:rsid w:val="0090744B"/>
    <w:rsid w:val="00907686"/>
    <w:rsid w:val="00907A13"/>
    <w:rsid w:val="00907A15"/>
    <w:rsid w:val="00907CC5"/>
    <w:rsid w:val="00907D08"/>
    <w:rsid w:val="00907D50"/>
    <w:rsid w:val="00907DF2"/>
    <w:rsid w:val="009102A7"/>
    <w:rsid w:val="0091032E"/>
    <w:rsid w:val="009106B7"/>
    <w:rsid w:val="00910708"/>
    <w:rsid w:val="0091076E"/>
    <w:rsid w:val="0091076F"/>
    <w:rsid w:val="00910772"/>
    <w:rsid w:val="0091084B"/>
    <w:rsid w:val="00910A51"/>
    <w:rsid w:val="00910DB6"/>
    <w:rsid w:val="00910E3E"/>
    <w:rsid w:val="009111BA"/>
    <w:rsid w:val="009111C7"/>
    <w:rsid w:val="009112C5"/>
    <w:rsid w:val="009115AB"/>
    <w:rsid w:val="0091199F"/>
    <w:rsid w:val="009119B8"/>
    <w:rsid w:val="00911AD1"/>
    <w:rsid w:val="00911B61"/>
    <w:rsid w:val="00911BDD"/>
    <w:rsid w:val="00911D33"/>
    <w:rsid w:val="00911D86"/>
    <w:rsid w:val="00911E50"/>
    <w:rsid w:val="00911E63"/>
    <w:rsid w:val="00911F8E"/>
    <w:rsid w:val="0091209D"/>
    <w:rsid w:val="00912324"/>
    <w:rsid w:val="00912416"/>
    <w:rsid w:val="00912DC2"/>
    <w:rsid w:val="00912EA8"/>
    <w:rsid w:val="0091315D"/>
    <w:rsid w:val="009131E5"/>
    <w:rsid w:val="009134A7"/>
    <w:rsid w:val="0091355A"/>
    <w:rsid w:val="0091385B"/>
    <w:rsid w:val="0091393B"/>
    <w:rsid w:val="00913990"/>
    <w:rsid w:val="009139B6"/>
    <w:rsid w:val="00913BAB"/>
    <w:rsid w:val="00914006"/>
    <w:rsid w:val="0091405D"/>
    <w:rsid w:val="0091406F"/>
    <w:rsid w:val="009142C6"/>
    <w:rsid w:val="009144B5"/>
    <w:rsid w:val="009146F3"/>
    <w:rsid w:val="009146F6"/>
    <w:rsid w:val="0091486F"/>
    <w:rsid w:val="009149B1"/>
    <w:rsid w:val="009149D7"/>
    <w:rsid w:val="00914E6A"/>
    <w:rsid w:val="009150CC"/>
    <w:rsid w:val="0091524E"/>
    <w:rsid w:val="0091527F"/>
    <w:rsid w:val="009152B1"/>
    <w:rsid w:val="00915351"/>
    <w:rsid w:val="0091546D"/>
    <w:rsid w:val="009154C3"/>
    <w:rsid w:val="0091560E"/>
    <w:rsid w:val="0091577A"/>
    <w:rsid w:val="0091582F"/>
    <w:rsid w:val="00915863"/>
    <w:rsid w:val="009158E6"/>
    <w:rsid w:val="009159B8"/>
    <w:rsid w:val="00915BA0"/>
    <w:rsid w:val="00915C93"/>
    <w:rsid w:val="00915CD0"/>
    <w:rsid w:val="00915EBA"/>
    <w:rsid w:val="00916106"/>
    <w:rsid w:val="0091611E"/>
    <w:rsid w:val="009163E7"/>
    <w:rsid w:val="009165F4"/>
    <w:rsid w:val="00916790"/>
    <w:rsid w:val="009167FA"/>
    <w:rsid w:val="00916AB4"/>
    <w:rsid w:val="00916ACA"/>
    <w:rsid w:val="00916B91"/>
    <w:rsid w:val="00916BA1"/>
    <w:rsid w:val="00916BE2"/>
    <w:rsid w:val="00916DA1"/>
    <w:rsid w:val="00916ED7"/>
    <w:rsid w:val="00916F1A"/>
    <w:rsid w:val="00917121"/>
    <w:rsid w:val="009173B4"/>
    <w:rsid w:val="0091758E"/>
    <w:rsid w:val="00917736"/>
    <w:rsid w:val="009179AA"/>
    <w:rsid w:val="009179DB"/>
    <w:rsid w:val="00917A84"/>
    <w:rsid w:val="00917B6A"/>
    <w:rsid w:val="00917CC7"/>
    <w:rsid w:val="00917E1A"/>
    <w:rsid w:val="009202D3"/>
    <w:rsid w:val="0092032A"/>
    <w:rsid w:val="00920358"/>
    <w:rsid w:val="009205F1"/>
    <w:rsid w:val="009206E5"/>
    <w:rsid w:val="0092083A"/>
    <w:rsid w:val="0092092B"/>
    <w:rsid w:val="00920C77"/>
    <w:rsid w:val="00920DE3"/>
    <w:rsid w:val="00920F31"/>
    <w:rsid w:val="009211DD"/>
    <w:rsid w:val="009212A5"/>
    <w:rsid w:val="009214A9"/>
    <w:rsid w:val="009218FC"/>
    <w:rsid w:val="00921D90"/>
    <w:rsid w:val="00921DD1"/>
    <w:rsid w:val="00921E2F"/>
    <w:rsid w:val="00921EDF"/>
    <w:rsid w:val="009220DA"/>
    <w:rsid w:val="0092257B"/>
    <w:rsid w:val="00922696"/>
    <w:rsid w:val="00922AC1"/>
    <w:rsid w:val="00922B16"/>
    <w:rsid w:val="00922B17"/>
    <w:rsid w:val="00922B96"/>
    <w:rsid w:val="00922CE5"/>
    <w:rsid w:val="00922D83"/>
    <w:rsid w:val="00922E27"/>
    <w:rsid w:val="00922E30"/>
    <w:rsid w:val="0092342D"/>
    <w:rsid w:val="0092350E"/>
    <w:rsid w:val="00923740"/>
    <w:rsid w:val="0092388A"/>
    <w:rsid w:val="0092396E"/>
    <w:rsid w:val="00923CA1"/>
    <w:rsid w:val="00923E35"/>
    <w:rsid w:val="0092427F"/>
    <w:rsid w:val="0092451E"/>
    <w:rsid w:val="00924691"/>
    <w:rsid w:val="0092486D"/>
    <w:rsid w:val="00924A87"/>
    <w:rsid w:val="00924BB0"/>
    <w:rsid w:val="00924CAF"/>
    <w:rsid w:val="00924E9F"/>
    <w:rsid w:val="00924ED2"/>
    <w:rsid w:val="009250B8"/>
    <w:rsid w:val="00925331"/>
    <w:rsid w:val="00925358"/>
    <w:rsid w:val="009253BA"/>
    <w:rsid w:val="00925410"/>
    <w:rsid w:val="009256E2"/>
    <w:rsid w:val="009258CF"/>
    <w:rsid w:val="00925BFB"/>
    <w:rsid w:val="00925DF9"/>
    <w:rsid w:val="00926164"/>
    <w:rsid w:val="009261E6"/>
    <w:rsid w:val="00926255"/>
    <w:rsid w:val="0092627C"/>
    <w:rsid w:val="009262B2"/>
    <w:rsid w:val="0092645E"/>
    <w:rsid w:val="0092657A"/>
    <w:rsid w:val="0092667C"/>
    <w:rsid w:val="00926846"/>
    <w:rsid w:val="00926A1C"/>
    <w:rsid w:val="00926A8A"/>
    <w:rsid w:val="00926B58"/>
    <w:rsid w:val="00926E69"/>
    <w:rsid w:val="009270AB"/>
    <w:rsid w:val="0092725E"/>
    <w:rsid w:val="009274DE"/>
    <w:rsid w:val="009275D5"/>
    <w:rsid w:val="00927732"/>
    <w:rsid w:val="00927763"/>
    <w:rsid w:val="00927903"/>
    <w:rsid w:val="00927985"/>
    <w:rsid w:val="009279D6"/>
    <w:rsid w:val="00927AAF"/>
    <w:rsid w:val="00927C67"/>
    <w:rsid w:val="00927D22"/>
    <w:rsid w:val="00927E3F"/>
    <w:rsid w:val="0093011C"/>
    <w:rsid w:val="0093024F"/>
    <w:rsid w:val="00930404"/>
    <w:rsid w:val="00930538"/>
    <w:rsid w:val="00930553"/>
    <w:rsid w:val="009305AB"/>
    <w:rsid w:val="009306A0"/>
    <w:rsid w:val="009308F2"/>
    <w:rsid w:val="0093097E"/>
    <w:rsid w:val="009309F3"/>
    <w:rsid w:val="00930B62"/>
    <w:rsid w:val="00930B64"/>
    <w:rsid w:val="00930CFB"/>
    <w:rsid w:val="00930EF7"/>
    <w:rsid w:val="00930F00"/>
    <w:rsid w:val="00930F90"/>
    <w:rsid w:val="00931031"/>
    <w:rsid w:val="0093112C"/>
    <w:rsid w:val="009314F5"/>
    <w:rsid w:val="00931574"/>
    <w:rsid w:val="0093158E"/>
    <w:rsid w:val="009317B8"/>
    <w:rsid w:val="009317EC"/>
    <w:rsid w:val="00931826"/>
    <w:rsid w:val="00931894"/>
    <w:rsid w:val="0093190C"/>
    <w:rsid w:val="00931AB7"/>
    <w:rsid w:val="00931B77"/>
    <w:rsid w:val="009321B4"/>
    <w:rsid w:val="00932295"/>
    <w:rsid w:val="0093252C"/>
    <w:rsid w:val="00932565"/>
    <w:rsid w:val="00932579"/>
    <w:rsid w:val="00932586"/>
    <w:rsid w:val="009329C1"/>
    <w:rsid w:val="00932C0D"/>
    <w:rsid w:val="00932C32"/>
    <w:rsid w:val="00932D0E"/>
    <w:rsid w:val="00932DE7"/>
    <w:rsid w:val="00932EE3"/>
    <w:rsid w:val="0093307F"/>
    <w:rsid w:val="009330C1"/>
    <w:rsid w:val="0093324D"/>
    <w:rsid w:val="00933543"/>
    <w:rsid w:val="0093360E"/>
    <w:rsid w:val="00933731"/>
    <w:rsid w:val="009337A1"/>
    <w:rsid w:val="009337F1"/>
    <w:rsid w:val="00933883"/>
    <w:rsid w:val="00933B1D"/>
    <w:rsid w:val="00933C0A"/>
    <w:rsid w:val="00933E93"/>
    <w:rsid w:val="00933FF9"/>
    <w:rsid w:val="00934068"/>
    <w:rsid w:val="009344C9"/>
    <w:rsid w:val="009344FA"/>
    <w:rsid w:val="0093469B"/>
    <w:rsid w:val="00934740"/>
    <w:rsid w:val="009347CF"/>
    <w:rsid w:val="0093488B"/>
    <w:rsid w:val="009349F6"/>
    <w:rsid w:val="00934AC1"/>
    <w:rsid w:val="00934B4A"/>
    <w:rsid w:val="00934D3C"/>
    <w:rsid w:val="00934DA9"/>
    <w:rsid w:val="00934ED1"/>
    <w:rsid w:val="0093514D"/>
    <w:rsid w:val="00935545"/>
    <w:rsid w:val="00935707"/>
    <w:rsid w:val="0093571A"/>
    <w:rsid w:val="009357C3"/>
    <w:rsid w:val="009357D6"/>
    <w:rsid w:val="00935A5B"/>
    <w:rsid w:val="00935ADB"/>
    <w:rsid w:val="00935B57"/>
    <w:rsid w:val="00935BF5"/>
    <w:rsid w:val="009360D6"/>
    <w:rsid w:val="009364EA"/>
    <w:rsid w:val="00936510"/>
    <w:rsid w:val="00936549"/>
    <w:rsid w:val="0093661A"/>
    <w:rsid w:val="0093662C"/>
    <w:rsid w:val="0093669A"/>
    <w:rsid w:val="0093688F"/>
    <w:rsid w:val="00936A56"/>
    <w:rsid w:val="00936A8B"/>
    <w:rsid w:val="00936AEB"/>
    <w:rsid w:val="00936B5C"/>
    <w:rsid w:val="00936C89"/>
    <w:rsid w:val="00936CDC"/>
    <w:rsid w:val="009372C6"/>
    <w:rsid w:val="009375FD"/>
    <w:rsid w:val="00937786"/>
    <w:rsid w:val="00937827"/>
    <w:rsid w:val="00937973"/>
    <w:rsid w:val="00937C71"/>
    <w:rsid w:val="00937C82"/>
    <w:rsid w:val="00937D0C"/>
    <w:rsid w:val="00937DB8"/>
    <w:rsid w:val="00937E0A"/>
    <w:rsid w:val="00940228"/>
    <w:rsid w:val="009403DA"/>
    <w:rsid w:val="009406D8"/>
    <w:rsid w:val="009407A8"/>
    <w:rsid w:val="0094088F"/>
    <w:rsid w:val="009408C5"/>
    <w:rsid w:val="00940B5A"/>
    <w:rsid w:val="00940B83"/>
    <w:rsid w:val="00940F27"/>
    <w:rsid w:val="00940F65"/>
    <w:rsid w:val="00940FEB"/>
    <w:rsid w:val="00941032"/>
    <w:rsid w:val="00941336"/>
    <w:rsid w:val="0094144D"/>
    <w:rsid w:val="00941490"/>
    <w:rsid w:val="009414D8"/>
    <w:rsid w:val="009416FA"/>
    <w:rsid w:val="0094179A"/>
    <w:rsid w:val="00941B6A"/>
    <w:rsid w:val="00941D1D"/>
    <w:rsid w:val="00941D8C"/>
    <w:rsid w:val="00941E72"/>
    <w:rsid w:val="00942038"/>
    <w:rsid w:val="00942044"/>
    <w:rsid w:val="00942125"/>
    <w:rsid w:val="009422D8"/>
    <w:rsid w:val="00942443"/>
    <w:rsid w:val="00942573"/>
    <w:rsid w:val="00942579"/>
    <w:rsid w:val="009428BC"/>
    <w:rsid w:val="00942BE0"/>
    <w:rsid w:val="00942C6C"/>
    <w:rsid w:val="00942E15"/>
    <w:rsid w:val="00942EE8"/>
    <w:rsid w:val="009431AD"/>
    <w:rsid w:val="00943323"/>
    <w:rsid w:val="0094332F"/>
    <w:rsid w:val="00943372"/>
    <w:rsid w:val="009434B6"/>
    <w:rsid w:val="00943515"/>
    <w:rsid w:val="00943654"/>
    <w:rsid w:val="009439C7"/>
    <w:rsid w:val="00943EA5"/>
    <w:rsid w:val="00943EF5"/>
    <w:rsid w:val="00943F49"/>
    <w:rsid w:val="00943F73"/>
    <w:rsid w:val="0094422C"/>
    <w:rsid w:val="009442E6"/>
    <w:rsid w:val="00944381"/>
    <w:rsid w:val="00944452"/>
    <w:rsid w:val="009446E5"/>
    <w:rsid w:val="009446FF"/>
    <w:rsid w:val="009448F3"/>
    <w:rsid w:val="009449D1"/>
    <w:rsid w:val="00944AA1"/>
    <w:rsid w:val="00944ADA"/>
    <w:rsid w:val="00944C3D"/>
    <w:rsid w:val="00944EE4"/>
    <w:rsid w:val="0094511C"/>
    <w:rsid w:val="009454E1"/>
    <w:rsid w:val="00945546"/>
    <w:rsid w:val="00945567"/>
    <w:rsid w:val="0094596E"/>
    <w:rsid w:val="00945A1D"/>
    <w:rsid w:val="00945A56"/>
    <w:rsid w:val="00945AC0"/>
    <w:rsid w:val="00945B6A"/>
    <w:rsid w:val="00945E92"/>
    <w:rsid w:val="00945F05"/>
    <w:rsid w:val="00945FE6"/>
    <w:rsid w:val="00946002"/>
    <w:rsid w:val="00946105"/>
    <w:rsid w:val="00946129"/>
    <w:rsid w:val="009461BF"/>
    <w:rsid w:val="00946370"/>
    <w:rsid w:val="0094662E"/>
    <w:rsid w:val="009466AC"/>
    <w:rsid w:val="009466EE"/>
    <w:rsid w:val="0094691F"/>
    <w:rsid w:val="00946A29"/>
    <w:rsid w:val="00946B2B"/>
    <w:rsid w:val="00946C2C"/>
    <w:rsid w:val="00946F37"/>
    <w:rsid w:val="00946F8D"/>
    <w:rsid w:val="00947015"/>
    <w:rsid w:val="0094714B"/>
    <w:rsid w:val="00947460"/>
    <w:rsid w:val="009475CD"/>
    <w:rsid w:val="00947694"/>
    <w:rsid w:val="0094770B"/>
    <w:rsid w:val="00947A09"/>
    <w:rsid w:val="00947A27"/>
    <w:rsid w:val="00947B6E"/>
    <w:rsid w:val="00947BEC"/>
    <w:rsid w:val="00947C6D"/>
    <w:rsid w:val="00947EB2"/>
    <w:rsid w:val="00947F94"/>
    <w:rsid w:val="00947FB6"/>
    <w:rsid w:val="0095016A"/>
    <w:rsid w:val="00950186"/>
    <w:rsid w:val="009501C2"/>
    <w:rsid w:val="00950346"/>
    <w:rsid w:val="00950349"/>
    <w:rsid w:val="0095047E"/>
    <w:rsid w:val="0095052A"/>
    <w:rsid w:val="00950681"/>
    <w:rsid w:val="009507DA"/>
    <w:rsid w:val="009509BE"/>
    <w:rsid w:val="00950A96"/>
    <w:rsid w:val="00950B93"/>
    <w:rsid w:val="00950BDD"/>
    <w:rsid w:val="00950FAD"/>
    <w:rsid w:val="00951095"/>
    <w:rsid w:val="0095140F"/>
    <w:rsid w:val="009514F6"/>
    <w:rsid w:val="0095167A"/>
    <w:rsid w:val="009518AE"/>
    <w:rsid w:val="00951AB2"/>
    <w:rsid w:val="00951B3C"/>
    <w:rsid w:val="00951BF9"/>
    <w:rsid w:val="00951CE8"/>
    <w:rsid w:val="00951E93"/>
    <w:rsid w:val="00951F26"/>
    <w:rsid w:val="00952081"/>
    <w:rsid w:val="00952173"/>
    <w:rsid w:val="00952189"/>
    <w:rsid w:val="009521E0"/>
    <w:rsid w:val="009523BD"/>
    <w:rsid w:val="009523C6"/>
    <w:rsid w:val="0095253E"/>
    <w:rsid w:val="009528C9"/>
    <w:rsid w:val="00952940"/>
    <w:rsid w:val="00952A12"/>
    <w:rsid w:val="00952AD3"/>
    <w:rsid w:val="00952D9F"/>
    <w:rsid w:val="00952E3F"/>
    <w:rsid w:val="00952EE4"/>
    <w:rsid w:val="00952F22"/>
    <w:rsid w:val="00952F49"/>
    <w:rsid w:val="00952F50"/>
    <w:rsid w:val="00953361"/>
    <w:rsid w:val="009533D1"/>
    <w:rsid w:val="00953FA9"/>
    <w:rsid w:val="00954104"/>
    <w:rsid w:val="009542C5"/>
    <w:rsid w:val="0095432D"/>
    <w:rsid w:val="00954694"/>
    <w:rsid w:val="00954704"/>
    <w:rsid w:val="00954887"/>
    <w:rsid w:val="00954A65"/>
    <w:rsid w:val="00954BE3"/>
    <w:rsid w:val="00954E2F"/>
    <w:rsid w:val="00954FBF"/>
    <w:rsid w:val="00955091"/>
    <w:rsid w:val="009552E8"/>
    <w:rsid w:val="009555B5"/>
    <w:rsid w:val="0095561C"/>
    <w:rsid w:val="00955761"/>
    <w:rsid w:val="00955A5B"/>
    <w:rsid w:val="00955AF5"/>
    <w:rsid w:val="00955B06"/>
    <w:rsid w:val="00955E44"/>
    <w:rsid w:val="00955FD3"/>
    <w:rsid w:val="00956024"/>
    <w:rsid w:val="00956079"/>
    <w:rsid w:val="00956314"/>
    <w:rsid w:val="009563AD"/>
    <w:rsid w:val="009563FB"/>
    <w:rsid w:val="0095650E"/>
    <w:rsid w:val="009568F1"/>
    <w:rsid w:val="00956A85"/>
    <w:rsid w:val="00956B4A"/>
    <w:rsid w:val="00956E5A"/>
    <w:rsid w:val="00956E7B"/>
    <w:rsid w:val="00956F92"/>
    <w:rsid w:val="00956FB8"/>
    <w:rsid w:val="009572CE"/>
    <w:rsid w:val="00957365"/>
    <w:rsid w:val="009573D6"/>
    <w:rsid w:val="0095740D"/>
    <w:rsid w:val="00957440"/>
    <w:rsid w:val="00957575"/>
    <w:rsid w:val="009575E1"/>
    <w:rsid w:val="009576B8"/>
    <w:rsid w:val="0095774A"/>
    <w:rsid w:val="00957884"/>
    <w:rsid w:val="00957921"/>
    <w:rsid w:val="0095799D"/>
    <w:rsid w:val="00957A04"/>
    <w:rsid w:val="00957AD5"/>
    <w:rsid w:val="00957B5D"/>
    <w:rsid w:val="00957C62"/>
    <w:rsid w:val="00957D9F"/>
    <w:rsid w:val="00957F8F"/>
    <w:rsid w:val="00960015"/>
    <w:rsid w:val="009600C1"/>
    <w:rsid w:val="009601B0"/>
    <w:rsid w:val="0096024D"/>
    <w:rsid w:val="00960254"/>
    <w:rsid w:val="00960367"/>
    <w:rsid w:val="009603A8"/>
    <w:rsid w:val="0096053B"/>
    <w:rsid w:val="0096054D"/>
    <w:rsid w:val="0096061C"/>
    <w:rsid w:val="009607DF"/>
    <w:rsid w:val="0096087E"/>
    <w:rsid w:val="009608A7"/>
    <w:rsid w:val="009609F9"/>
    <w:rsid w:val="00960AA6"/>
    <w:rsid w:val="00960AF7"/>
    <w:rsid w:val="00960B2E"/>
    <w:rsid w:val="00960B6E"/>
    <w:rsid w:val="00960BC7"/>
    <w:rsid w:val="00960C69"/>
    <w:rsid w:val="00960DD9"/>
    <w:rsid w:val="00960E18"/>
    <w:rsid w:val="00961243"/>
    <w:rsid w:val="00961365"/>
    <w:rsid w:val="009615C9"/>
    <w:rsid w:val="0096171F"/>
    <w:rsid w:val="00961742"/>
    <w:rsid w:val="0096174E"/>
    <w:rsid w:val="00961A41"/>
    <w:rsid w:val="00961A7F"/>
    <w:rsid w:val="00961D4C"/>
    <w:rsid w:val="00961DCF"/>
    <w:rsid w:val="0096205C"/>
    <w:rsid w:val="009620F4"/>
    <w:rsid w:val="00962129"/>
    <w:rsid w:val="00962417"/>
    <w:rsid w:val="00962481"/>
    <w:rsid w:val="00962679"/>
    <w:rsid w:val="00962925"/>
    <w:rsid w:val="00962934"/>
    <w:rsid w:val="00962B56"/>
    <w:rsid w:val="00962BD0"/>
    <w:rsid w:val="00962D8D"/>
    <w:rsid w:val="00962F3D"/>
    <w:rsid w:val="00962FC3"/>
    <w:rsid w:val="00963091"/>
    <w:rsid w:val="0096309E"/>
    <w:rsid w:val="00963151"/>
    <w:rsid w:val="0096318A"/>
    <w:rsid w:val="00963196"/>
    <w:rsid w:val="00963238"/>
    <w:rsid w:val="009632C9"/>
    <w:rsid w:val="00963429"/>
    <w:rsid w:val="00963561"/>
    <w:rsid w:val="00963758"/>
    <w:rsid w:val="009638CF"/>
    <w:rsid w:val="009639FA"/>
    <w:rsid w:val="00963AA8"/>
    <w:rsid w:val="00963BF2"/>
    <w:rsid w:val="00963E9E"/>
    <w:rsid w:val="009641B2"/>
    <w:rsid w:val="0096427D"/>
    <w:rsid w:val="00964388"/>
    <w:rsid w:val="009645B5"/>
    <w:rsid w:val="00964625"/>
    <w:rsid w:val="0096477F"/>
    <w:rsid w:val="0096479D"/>
    <w:rsid w:val="00964969"/>
    <w:rsid w:val="009649A3"/>
    <w:rsid w:val="00964CF0"/>
    <w:rsid w:val="00964F64"/>
    <w:rsid w:val="009651BD"/>
    <w:rsid w:val="009653F4"/>
    <w:rsid w:val="0096559E"/>
    <w:rsid w:val="0096562A"/>
    <w:rsid w:val="00965877"/>
    <w:rsid w:val="00965AD9"/>
    <w:rsid w:val="00965B32"/>
    <w:rsid w:val="00965C80"/>
    <w:rsid w:val="00965E47"/>
    <w:rsid w:val="009660A1"/>
    <w:rsid w:val="00966192"/>
    <w:rsid w:val="0096650B"/>
    <w:rsid w:val="0096678C"/>
    <w:rsid w:val="009667BC"/>
    <w:rsid w:val="009667EE"/>
    <w:rsid w:val="009668A1"/>
    <w:rsid w:val="009668AE"/>
    <w:rsid w:val="00966A50"/>
    <w:rsid w:val="00966BD9"/>
    <w:rsid w:val="00966C0C"/>
    <w:rsid w:val="00966DD1"/>
    <w:rsid w:val="00966FBF"/>
    <w:rsid w:val="00967023"/>
    <w:rsid w:val="009670E6"/>
    <w:rsid w:val="00967110"/>
    <w:rsid w:val="0096743E"/>
    <w:rsid w:val="0096745F"/>
    <w:rsid w:val="00967469"/>
    <w:rsid w:val="009674D7"/>
    <w:rsid w:val="00967569"/>
    <w:rsid w:val="00967572"/>
    <w:rsid w:val="009675D6"/>
    <w:rsid w:val="009676BB"/>
    <w:rsid w:val="009676E3"/>
    <w:rsid w:val="00967AC3"/>
    <w:rsid w:val="00967B8D"/>
    <w:rsid w:val="00967C22"/>
    <w:rsid w:val="00967C33"/>
    <w:rsid w:val="00967D81"/>
    <w:rsid w:val="00967EDF"/>
    <w:rsid w:val="0097012B"/>
    <w:rsid w:val="009704C9"/>
    <w:rsid w:val="009705A0"/>
    <w:rsid w:val="009706B4"/>
    <w:rsid w:val="00970710"/>
    <w:rsid w:val="00970E8C"/>
    <w:rsid w:val="00971079"/>
    <w:rsid w:val="009711FD"/>
    <w:rsid w:val="00971268"/>
    <w:rsid w:val="0097141A"/>
    <w:rsid w:val="00971796"/>
    <w:rsid w:val="009718B3"/>
    <w:rsid w:val="00971949"/>
    <w:rsid w:val="00971989"/>
    <w:rsid w:val="00971BA0"/>
    <w:rsid w:val="00971E57"/>
    <w:rsid w:val="00971F62"/>
    <w:rsid w:val="00972047"/>
    <w:rsid w:val="00972063"/>
    <w:rsid w:val="009720FD"/>
    <w:rsid w:val="00972129"/>
    <w:rsid w:val="009723B1"/>
    <w:rsid w:val="0097261E"/>
    <w:rsid w:val="0097280C"/>
    <w:rsid w:val="0097293C"/>
    <w:rsid w:val="00972A25"/>
    <w:rsid w:val="00972BD2"/>
    <w:rsid w:val="00972C60"/>
    <w:rsid w:val="00972D81"/>
    <w:rsid w:val="00972F2C"/>
    <w:rsid w:val="00972F3D"/>
    <w:rsid w:val="00973028"/>
    <w:rsid w:val="0097308D"/>
    <w:rsid w:val="009730A8"/>
    <w:rsid w:val="0097316B"/>
    <w:rsid w:val="00973179"/>
    <w:rsid w:val="009732BE"/>
    <w:rsid w:val="00973379"/>
    <w:rsid w:val="0097354A"/>
    <w:rsid w:val="0097392E"/>
    <w:rsid w:val="00973AF2"/>
    <w:rsid w:val="00973CE5"/>
    <w:rsid w:val="00973F67"/>
    <w:rsid w:val="00974135"/>
    <w:rsid w:val="0097431D"/>
    <w:rsid w:val="0097435E"/>
    <w:rsid w:val="00974464"/>
    <w:rsid w:val="0097470E"/>
    <w:rsid w:val="009747BF"/>
    <w:rsid w:val="0097495D"/>
    <w:rsid w:val="00974AB6"/>
    <w:rsid w:val="00974FAA"/>
    <w:rsid w:val="00974FAB"/>
    <w:rsid w:val="0097504A"/>
    <w:rsid w:val="00975156"/>
    <w:rsid w:val="0097528A"/>
    <w:rsid w:val="009752A4"/>
    <w:rsid w:val="009752D6"/>
    <w:rsid w:val="0097559B"/>
    <w:rsid w:val="00975616"/>
    <w:rsid w:val="00975780"/>
    <w:rsid w:val="00975B0D"/>
    <w:rsid w:val="00975BF9"/>
    <w:rsid w:val="00975E57"/>
    <w:rsid w:val="00975F81"/>
    <w:rsid w:val="00975FA1"/>
    <w:rsid w:val="00976248"/>
    <w:rsid w:val="00976301"/>
    <w:rsid w:val="0097634C"/>
    <w:rsid w:val="009763D6"/>
    <w:rsid w:val="00976491"/>
    <w:rsid w:val="009766EF"/>
    <w:rsid w:val="0097675B"/>
    <w:rsid w:val="00976907"/>
    <w:rsid w:val="00976A2E"/>
    <w:rsid w:val="00976A78"/>
    <w:rsid w:val="00976ADC"/>
    <w:rsid w:val="00976BDE"/>
    <w:rsid w:val="00976DC3"/>
    <w:rsid w:val="00976FF2"/>
    <w:rsid w:val="00977184"/>
    <w:rsid w:val="0097718F"/>
    <w:rsid w:val="00977195"/>
    <w:rsid w:val="00977364"/>
    <w:rsid w:val="00977584"/>
    <w:rsid w:val="009778D9"/>
    <w:rsid w:val="00977900"/>
    <w:rsid w:val="0097796B"/>
    <w:rsid w:val="009779D5"/>
    <w:rsid w:val="00977B5A"/>
    <w:rsid w:val="00977BE8"/>
    <w:rsid w:val="00977F6C"/>
    <w:rsid w:val="00977FE7"/>
    <w:rsid w:val="009800F7"/>
    <w:rsid w:val="009802A8"/>
    <w:rsid w:val="009802C9"/>
    <w:rsid w:val="0098040C"/>
    <w:rsid w:val="009804E4"/>
    <w:rsid w:val="00980581"/>
    <w:rsid w:val="0098076D"/>
    <w:rsid w:val="00980861"/>
    <w:rsid w:val="009808D5"/>
    <w:rsid w:val="00980ACF"/>
    <w:rsid w:val="00980BBE"/>
    <w:rsid w:val="00980BF6"/>
    <w:rsid w:val="00980D01"/>
    <w:rsid w:val="00980D27"/>
    <w:rsid w:val="00980F3B"/>
    <w:rsid w:val="0098114A"/>
    <w:rsid w:val="009811BF"/>
    <w:rsid w:val="009814B2"/>
    <w:rsid w:val="009817E8"/>
    <w:rsid w:val="009818CF"/>
    <w:rsid w:val="00981930"/>
    <w:rsid w:val="009819EC"/>
    <w:rsid w:val="00981A86"/>
    <w:rsid w:val="00981A88"/>
    <w:rsid w:val="00981D2B"/>
    <w:rsid w:val="00981DF1"/>
    <w:rsid w:val="00981F19"/>
    <w:rsid w:val="0098209D"/>
    <w:rsid w:val="009821FB"/>
    <w:rsid w:val="0098223B"/>
    <w:rsid w:val="00982244"/>
    <w:rsid w:val="009822BA"/>
    <w:rsid w:val="009822E9"/>
    <w:rsid w:val="00982B49"/>
    <w:rsid w:val="00982CA1"/>
    <w:rsid w:val="00982F6A"/>
    <w:rsid w:val="00983149"/>
    <w:rsid w:val="00983211"/>
    <w:rsid w:val="009835F8"/>
    <w:rsid w:val="00983A43"/>
    <w:rsid w:val="00983B28"/>
    <w:rsid w:val="00983BE4"/>
    <w:rsid w:val="0098405C"/>
    <w:rsid w:val="009840DF"/>
    <w:rsid w:val="00984288"/>
    <w:rsid w:val="00984303"/>
    <w:rsid w:val="009844EF"/>
    <w:rsid w:val="00984642"/>
    <w:rsid w:val="009847E7"/>
    <w:rsid w:val="00984898"/>
    <w:rsid w:val="00984A7B"/>
    <w:rsid w:val="00984AF9"/>
    <w:rsid w:val="00984B66"/>
    <w:rsid w:val="00985075"/>
    <w:rsid w:val="00985194"/>
    <w:rsid w:val="0098539C"/>
    <w:rsid w:val="0098542B"/>
    <w:rsid w:val="009854A0"/>
    <w:rsid w:val="009854CE"/>
    <w:rsid w:val="009856DC"/>
    <w:rsid w:val="00985759"/>
    <w:rsid w:val="00985771"/>
    <w:rsid w:val="009858C5"/>
    <w:rsid w:val="00985AA2"/>
    <w:rsid w:val="00985ABF"/>
    <w:rsid w:val="00985C28"/>
    <w:rsid w:val="00985D2E"/>
    <w:rsid w:val="00985E27"/>
    <w:rsid w:val="00985E9B"/>
    <w:rsid w:val="00985ED6"/>
    <w:rsid w:val="00985F5B"/>
    <w:rsid w:val="00985FD6"/>
    <w:rsid w:val="009863ED"/>
    <w:rsid w:val="00986421"/>
    <w:rsid w:val="00986450"/>
    <w:rsid w:val="00986454"/>
    <w:rsid w:val="009865B8"/>
    <w:rsid w:val="0098674B"/>
    <w:rsid w:val="00986874"/>
    <w:rsid w:val="00986876"/>
    <w:rsid w:val="00986B8B"/>
    <w:rsid w:val="00986F91"/>
    <w:rsid w:val="00987239"/>
    <w:rsid w:val="00987257"/>
    <w:rsid w:val="00987315"/>
    <w:rsid w:val="00987418"/>
    <w:rsid w:val="009874A8"/>
    <w:rsid w:val="00987586"/>
    <w:rsid w:val="00987891"/>
    <w:rsid w:val="009878EA"/>
    <w:rsid w:val="00990044"/>
    <w:rsid w:val="0099022D"/>
    <w:rsid w:val="009903A8"/>
    <w:rsid w:val="00990455"/>
    <w:rsid w:val="00990473"/>
    <w:rsid w:val="00990726"/>
    <w:rsid w:val="009907D1"/>
    <w:rsid w:val="00990850"/>
    <w:rsid w:val="0099089F"/>
    <w:rsid w:val="00990B63"/>
    <w:rsid w:val="00990C5D"/>
    <w:rsid w:val="00990CBE"/>
    <w:rsid w:val="00990E43"/>
    <w:rsid w:val="0099111A"/>
    <w:rsid w:val="009911A7"/>
    <w:rsid w:val="0099137F"/>
    <w:rsid w:val="00991402"/>
    <w:rsid w:val="00991414"/>
    <w:rsid w:val="00991594"/>
    <w:rsid w:val="00991650"/>
    <w:rsid w:val="00991685"/>
    <w:rsid w:val="0099176C"/>
    <w:rsid w:val="0099177F"/>
    <w:rsid w:val="009918E2"/>
    <w:rsid w:val="00991B71"/>
    <w:rsid w:val="0099210C"/>
    <w:rsid w:val="00992152"/>
    <w:rsid w:val="00992403"/>
    <w:rsid w:val="00992492"/>
    <w:rsid w:val="009924A0"/>
    <w:rsid w:val="00992577"/>
    <w:rsid w:val="009926CA"/>
    <w:rsid w:val="009927FA"/>
    <w:rsid w:val="00992839"/>
    <w:rsid w:val="00992E7D"/>
    <w:rsid w:val="00992EBF"/>
    <w:rsid w:val="00992F54"/>
    <w:rsid w:val="009931FD"/>
    <w:rsid w:val="00993305"/>
    <w:rsid w:val="00993332"/>
    <w:rsid w:val="00993507"/>
    <w:rsid w:val="00993945"/>
    <w:rsid w:val="00993B63"/>
    <w:rsid w:val="00993BE1"/>
    <w:rsid w:val="00993C23"/>
    <w:rsid w:val="00993E8E"/>
    <w:rsid w:val="00994196"/>
    <w:rsid w:val="0099424A"/>
    <w:rsid w:val="00994399"/>
    <w:rsid w:val="00994424"/>
    <w:rsid w:val="009947A6"/>
    <w:rsid w:val="00994994"/>
    <w:rsid w:val="009949DE"/>
    <w:rsid w:val="00994A74"/>
    <w:rsid w:val="00994BA7"/>
    <w:rsid w:val="00994E6B"/>
    <w:rsid w:val="00995154"/>
    <w:rsid w:val="0099522E"/>
    <w:rsid w:val="009952F2"/>
    <w:rsid w:val="009954D9"/>
    <w:rsid w:val="00995836"/>
    <w:rsid w:val="00995878"/>
    <w:rsid w:val="00995892"/>
    <w:rsid w:val="00995A3D"/>
    <w:rsid w:val="00995A6A"/>
    <w:rsid w:val="00995B9E"/>
    <w:rsid w:val="0099614A"/>
    <w:rsid w:val="0099614C"/>
    <w:rsid w:val="009961C7"/>
    <w:rsid w:val="0099628A"/>
    <w:rsid w:val="0099638E"/>
    <w:rsid w:val="009964E4"/>
    <w:rsid w:val="009966F0"/>
    <w:rsid w:val="009967F2"/>
    <w:rsid w:val="0099680A"/>
    <w:rsid w:val="00996A3F"/>
    <w:rsid w:val="00996C51"/>
    <w:rsid w:val="00996C54"/>
    <w:rsid w:val="00996F99"/>
    <w:rsid w:val="009974E1"/>
    <w:rsid w:val="00997523"/>
    <w:rsid w:val="00997609"/>
    <w:rsid w:val="00997762"/>
    <w:rsid w:val="00997790"/>
    <w:rsid w:val="009979BE"/>
    <w:rsid w:val="00997AA3"/>
    <w:rsid w:val="00997C65"/>
    <w:rsid w:val="00997CF6"/>
    <w:rsid w:val="009A03B5"/>
    <w:rsid w:val="009A041D"/>
    <w:rsid w:val="009A06BC"/>
    <w:rsid w:val="009A09CA"/>
    <w:rsid w:val="009A0A2C"/>
    <w:rsid w:val="009A0BB4"/>
    <w:rsid w:val="009A0C12"/>
    <w:rsid w:val="009A0CD4"/>
    <w:rsid w:val="009A1078"/>
    <w:rsid w:val="009A139F"/>
    <w:rsid w:val="009A1470"/>
    <w:rsid w:val="009A1568"/>
    <w:rsid w:val="009A15B1"/>
    <w:rsid w:val="009A1671"/>
    <w:rsid w:val="009A16B7"/>
    <w:rsid w:val="009A16C3"/>
    <w:rsid w:val="009A1BC7"/>
    <w:rsid w:val="009A1BE0"/>
    <w:rsid w:val="009A1FB1"/>
    <w:rsid w:val="009A21A9"/>
    <w:rsid w:val="009A2298"/>
    <w:rsid w:val="009A2385"/>
    <w:rsid w:val="009A24EF"/>
    <w:rsid w:val="009A26FA"/>
    <w:rsid w:val="009A2790"/>
    <w:rsid w:val="009A2AB0"/>
    <w:rsid w:val="009A2B0C"/>
    <w:rsid w:val="009A2FC9"/>
    <w:rsid w:val="009A32B9"/>
    <w:rsid w:val="009A32F0"/>
    <w:rsid w:val="009A34A6"/>
    <w:rsid w:val="009A3714"/>
    <w:rsid w:val="009A3740"/>
    <w:rsid w:val="009A3941"/>
    <w:rsid w:val="009A39E9"/>
    <w:rsid w:val="009A3A6B"/>
    <w:rsid w:val="009A3BF6"/>
    <w:rsid w:val="009A3D3D"/>
    <w:rsid w:val="009A3EFC"/>
    <w:rsid w:val="009A3FE0"/>
    <w:rsid w:val="009A4285"/>
    <w:rsid w:val="009A45F4"/>
    <w:rsid w:val="009A4643"/>
    <w:rsid w:val="009A48BC"/>
    <w:rsid w:val="009A4B33"/>
    <w:rsid w:val="009A4C71"/>
    <w:rsid w:val="009A4E1C"/>
    <w:rsid w:val="009A4EF9"/>
    <w:rsid w:val="009A50CE"/>
    <w:rsid w:val="009A523B"/>
    <w:rsid w:val="009A5695"/>
    <w:rsid w:val="009A56AC"/>
    <w:rsid w:val="009A572D"/>
    <w:rsid w:val="009A5862"/>
    <w:rsid w:val="009A58EE"/>
    <w:rsid w:val="009A593D"/>
    <w:rsid w:val="009A5A73"/>
    <w:rsid w:val="009A5A7C"/>
    <w:rsid w:val="009A5A8C"/>
    <w:rsid w:val="009A5BF3"/>
    <w:rsid w:val="009A5C6C"/>
    <w:rsid w:val="009A5CBE"/>
    <w:rsid w:val="009A5F19"/>
    <w:rsid w:val="009A6234"/>
    <w:rsid w:val="009A6374"/>
    <w:rsid w:val="009A6465"/>
    <w:rsid w:val="009A657E"/>
    <w:rsid w:val="009A66D0"/>
    <w:rsid w:val="009A6704"/>
    <w:rsid w:val="009A678D"/>
    <w:rsid w:val="009A6844"/>
    <w:rsid w:val="009A69D9"/>
    <w:rsid w:val="009A69E6"/>
    <w:rsid w:val="009A6C18"/>
    <w:rsid w:val="009A6C77"/>
    <w:rsid w:val="009A71EA"/>
    <w:rsid w:val="009A72A2"/>
    <w:rsid w:val="009A7317"/>
    <w:rsid w:val="009A7536"/>
    <w:rsid w:val="009A774F"/>
    <w:rsid w:val="009A7917"/>
    <w:rsid w:val="009A7AE2"/>
    <w:rsid w:val="009B0082"/>
    <w:rsid w:val="009B0092"/>
    <w:rsid w:val="009B01FC"/>
    <w:rsid w:val="009B03B2"/>
    <w:rsid w:val="009B069F"/>
    <w:rsid w:val="009B0A94"/>
    <w:rsid w:val="009B0C96"/>
    <w:rsid w:val="009B0CE0"/>
    <w:rsid w:val="009B0D2E"/>
    <w:rsid w:val="009B0DA7"/>
    <w:rsid w:val="009B1030"/>
    <w:rsid w:val="009B122E"/>
    <w:rsid w:val="009B12A2"/>
    <w:rsid w:val="009B16D0"/>
    <w:rsid w:val="009B175E"/>
    <w:rsid w:val="009B19A6"/>
    <w:rsid w:val="009B1A6A"/>
    <w:rsid w:val="009B1A7C"/>
    <w:rsid w:val="009B1B44"/>
    <w:rsid w:val="009B1B81"/>
    <w:rsid w:val="009B1BB5"/>
    <w:rsid w:val="009B1BFE"/>
    <w:rsid w:val="009B1FCA"/>
    <w:rsid w:val="009B226B"/>
    <w:rsid w:val="009B229B"/>
    <w:rsid w:val="009B237D"/>
    <w:rsid w:val="009B23A6"/>
    <w:rsid w:val="009B257D"/>
    <w:rsid w:val="009B25E1"/>
    <w:rsid w:val="009B265C"/>
    <w:rsid w:val="009B2735"/>
    <w:rsid w:val="009B2766"/>
    <w:rsid w:val="009B2FD8"/>
    <w:rsid w:val="009B30FA"/>
    <w:rsid w:val="009B3499"/>
    <w:rsid w:val="009B34A4"/>
    <w:rsid w:val="009B3638"/>
    <w:rsid w:val="009B3679"/>
    <w:rsid w:val="009B37B0"/>
    <w:rsid w:val="009B3E18"/>
    <w:rsid w:val="009B3E25"/>
    <w:rsid w:val="009B3F0D"/>
    <w:rsid w:val="009B3F10"/>
    <w:rsid w:val="009B40ED"/>
    <w:rsid w:val="009B414A"/>
    <w:rsid w:val="009B4179"/>
    <w:rsid w:val="009B4208"/>
    <w:rsid w:val="009B426A"/>
    <w:rsid w:val="009B426C"/>
    <w:rsid w:val="009B431C"/>
    <w:rsid w:val="009B4514"/>
    <w:rsid w:val="009B4561"/>
    <w:rsid w:val="009B48F1"/>
    <w:rsid w:val="009B4B0D"/>
    <w:rsid w:val="009B4B42"/>
    <w:rsid w:val="009B4DB9"/>
    <w:rsid w:val="009B5245"/>
    <w:rsid w:val="009B538F"/>
    <w:rsid w:val="009B5476"/>
    <w:rsid w:val="009B54F5"/>
    <w:rsid w:val="009B5503"/>
    <w:rsid w:val="009B5713"/>
    <w:rsid w:val="009B57A9"/>
    <w:rsid w:val="009B57C4"/>
    <w:rsid w:val="009B588E"/>
    <w:rsid w:val="009B5911"/>
    <w:rsid w:val="009B5982"/>
    <w:rsid w:val="009B5A5A"/>
    <w:rsid w:val="009B5BD5"/>
    <w:rsid w:val="009B5C12"/>
    <w:rsid w:val="009B5CC5"/>
    <w:rsid w:val="009B5D37"/>
    <w:rsid w:val="009B5DA0"/>
    <w:rsid w:val="009B5F4A"/>
    <w:rsid w:val="009B5F5F"/>
    <w:rsid w:val="009B5FF2"/>
    <w:rsid w:val="009B613C"/>
    <w:rsid w:val="009B627C"/>
    <w:rsid w:val="009B648E"/>
    <w:rsid w:val="009B65E4"/>
    <w:rsid w:val="009B666D"/>
    <w:rsid w:val="009B693D"/>
    <w:rsid w:val="009B6A8E"/>
    <w:rsid w:val="009B6B23"/>
    <w:rsid w:val="009B6C32"/>
    <w:rsid w:val="009B6C77"/>
    <w:rsid w:val="009B7029"/>
    <w:rsid w:val="009B70F2"/>
    <w:rsid w:val="009B71C5"/>
    <w:rsid w:val="009B72A7"/>
    <w:rsid w:val="009B72D6"/>
    <w:rsid w:val="009B7367"/>
    <w:rsid w:val="009B73E7"/>
    <w:rsid w:val="009B7551"/>
    <w:rsid w:val="009B7A3A"/>
    <w:rsid w:val="009B7D4D"/>
    <w:rsid w:val="009B7DA4"/>
    <w:rsid w:val="009C008F"/>
    <w:rsid w:val="009C0153"/>
    <w:rsid w:val="009C0231"/>
    <w:rsid w:val="009C0306"/>
    <w:rsid w:val="009C033B"/>
    <w:rsid w:val="009C03E3"/>
    <w:rsid w:val="009C03F4"/>
    <w:rsid w:val="009C064B"/>
    <w:rsid w:val="009C06C5"/>
    <w:rsid w:val="009C09A9"/>
    <w:rsid w:val="009C0B11"/>
    <w:rsid w:val="009C0C0C"/>
    <w:rsid w:val="009C0C64"/>
    <w:rsid w:val="009C0EF4"/>
    <w:rsid w:val="009C1062"/>
    <w:rsid w:val="009C10C0"/>
    <w:rsid w:val="009C1169"/>
    <w:rsid w:val="009C136D"/>
    <w:rsid w:val="009C14B6"/>
    <w:rsid w:val="009C14EA"/>
    <w:rsid w:val="009C1711"/>
    <w:rsid w:val="009C1959"/>
    <w:rsid w:val="009C1971"/>
    <w:rsid w:val="009C1A27"/>
    <w:rsid w:val="009C1A41"/>
    <w:rsid w:val="009C1E80"/>
    <w:rsid w:val="009C24D9"/>
    <w:rsid w:val="009C27A3"/>
    <w:rsid w:val="009C27EC"/>
    <w:rsid w:val="009C303D"/>
    <w:rsid w:val="009C3170"/>
    <w:rsid w:val="009C3288"/>
    <w:rsid w:val="009C3429"/>
    <w:rsid w:val="009C34C9"/>
    <w:rsid w:val="009C373C"/>
    <w:rsid w:val="009C37E0"/>
    <w:rsid w:val="009C39A2"/>
    <w:rsid w:val="009C3A66"/>
    <w:rsid w:val="009C3B50"/>
    <w:rsid w:val="009C3B61"/>
    <w:rsid w:val="009C3D05"/>
    <w:rsid w:val="009C3E28"/>
    <w:rsid w:val="009C3F08"/>
    <w:rsid w:val="009C3FAF"/>
    <w:rsid w:val="009C406F"/>
    <w:rsid w:val="009C44F8"/>
    <w:rsid w:val="009C457C"/>
    <w:rsid w:val="009C47B9"/>
    <w:rsid w:val="009C4DD4"/>
    <w:rsid w:val="009C4E12"/>
    <w:rsid w:val="009C4ED7"/>
    <w:rsid w:val="009C4F48"/>
    <w:rsid w:val="009C4FED"/>
    <w:rsid w:val="009C50DA"/>
    <w:rsid w:val="009C518B"/>
    <w:rsid w:val="009C55A9"/>
    <w:rsid w:val="009C56E8"/>
    <w:rsid w:val="009C5951"/>
    <w:rsid w:val="009C596A"/>
    <w:rsid w:val="009C5AC4"/>
    <w:rsid w:val="009C5C18"/>
    <w:rsid w:val="009C5C25"/>
    <w:rsid w:val="009C5D1F"/>
    <w:rsid w:val="009C5E9A"/>
    <w:rsid w:val="009C6153"/>
    <w:rsid w:val="009C6394"/>
    <w:rsid w:val="009C63AC"/>
    <w:rsid w:val="009C66F0"/>
    <w:rsid w:val="009C675A"/>
    <w:rsid w:val="009C6822"/>
    <w:rsid w:val="009C6AA6"/>
    <w:rsid w:val="009C6B58"/>
    <w:rsid w:val="009C6B6A"/>
    <w:rsid w:val="009C6BE0"/>
    <w:rsid w:val="009C6D08"/>
    <w:rsid w:val="009C6F56"/>
    <w:rsid w:val="009C6F7F"/>
    <w:rsid w:val="009C7089"/>
    <w:rsid w:val="009C71B1"/>
    <w:rsid w:val="009C72FF"/>
    <w:rsid w:val="009C75FA"/>
    <w:rsid w:val="009C7788"/>
    <w:rsid w:val="009C77A5"/>
    <w:rsid w:val="009C7B06"/>
    <w:rsid w:val="009C7C50"/>
    <w:rsid w:val="009C7DD3"/>
    <w:rsid w:val="009C7EA9"/>
    <w:rsid w:val="009D0044"/>
    <w:rsid w:val="009D023E"/>
    <w:rsid w:val="009D0856"/>
    <w:rsid w:val="009D0981"/>
    <w:rsid w:val="009D0A77"/>
    <w:rsid w:val="009D0B18"/>
    <w:rsid w:val="009D0D8A"/>
    <w:rsid w:val="009D0E45"/>
    <w:rsid w:val="009D1038"/>
    <w:rsid w:val="009D10BD"/>
    <w:rsid w:val="009D10E7"/>
    <w:rsid w:val="009D1297"/>
    <w:rsid w:val="009D1467"/>
    <w:rsid w:val="009D1621"/>
    <w:rsid w:val="009D1666"/>
    <w:rsid w:val="009D167F"/>
    <w:rsid w:val="009D16F5"/>
    <w:rsid w:val="009D1837"/>
    <w:rsid w:val="009D1949"/>
    <w:rsid w:val="009D1BAF"/>
    <w:rsid w:val="009D1BEA"/>
    <w:rsid w:val="009D1F0E"/>
    <w:rsid w:val="009D1F89"/>
    <w:rsid w:val="009D20A3"/>
    <w:rsid w:val="009D20EB"/>
    <w:rsid w:val="009D213C"/>
    <w:rsid w:val="009D215C"/>
    <w:rsid w:val="009D21CC"/>
    <w:rsid w:val="009D22BC"/>
    <w:rsid w:val="009D231E"/>
    <w:rsid w:val="009D2528"/>
    <w:rsid w:val="009D25B1"/>
    <w:rsid w:val="009D26BB"/>
    <w:rsid w:val="009D27BE"/>
    <w:rsid w:val="009D28CC"/>
    <w:rsid w:val="009D294C"/>
    <w:rsid w:val="009D2A4C"/>
    <w:rsid w:val="009D2B09"/>
    <w:rsid w:val="009D2BB9"/>
    <w:rsid w:val="009D2BDC"/>
    <w:rsid w:val="009D2BF9"/>
    <w:rsid w:val="009D2C36"/>
    <w:rsid w:val="009D2C5C"/>
    <w:rsid w:val="009D3037"/>
    <w:rsid w:val="009D3100"/>
    <w:rsid w:val="009D31C8"/>
    <w:rsid w:val="009D31EF"/>
    <w:rsid w:val="009D3242"/>
    <w:rsid w:val="009D3379"/>
    <w:rsid w:val="009D3526"/>
    <w:rsid w:val="009D361A"/>
    <w:rsid w:val="009D363D"/>
    <w:rsid w:val="009D367F"/>
    <w:rsid w:val="009D3AEB"/>
    <w:rsid w:val="009D3D41"/>
    <w:rsid w:val="009D3D95"/>
    <w:rsid w:val="009D3DE4"/>
    <w:rsid w:val="009D3E57"/>
    <w:rsid w:val="009D3F76"/>
    <w:rsid w:val="009D4372"/>
    <w:rsid w:val="009D43A9"/>
    <w:rsid w:val="009D4644"/>
    <w:rsid w:val="009D4A82"/>
    <w:rsid w:val="009D4A8E"/>
    <w:rsid w:val="009D4B7A"/>
    <w:rsid w:val="009D4CF0"/>
    <w:rsid w:val="009D4D7E"/>
    <w:rsid w:val="009D5031"/>
    <w:rsid w:val="009D5080"/>
    <w:rsid w:val="009D5089"/>
    <w:rsid w:val="009D5507"/>
    <w:rsid w:val="009D550F"/>
    <w:rsid w:val="009D554C"/>
    <w:rsid w:val="009D55A7"/>
    <w:rsid w:val="009D595D"/>
    <w:rsid w:val="009D59E6"/>
    <w:rsid w:val="009D5A5A"/>
    <w:rsid w:val="009D5C5F"/>
    <w:rsid w:val="009D5D23"/>
    <w:rsid w:val="009D5E93"/>
    <w:rsid w:val="009D5F51"/>
    <w:rsid w:val="009D6077"/>
    <w:rsid w:val="009D609B"/>
    <w:rsid w:val="009D6184"/>
    <w:rsid w:val="009D62A5"/>
    <w:rsid w:val="009D63B9"/>
    <w:rsid w:val="009D66F6"/>
    <w:rsid w:val="009D697B"/>
    <w:rsid w:val="009D6AA1"/>
    <w:rsid w:val="009D6BA0"/>
    <w:rsid w:val="009D6BA5"/>
    <w:rsid w:val="009D6BCC"/>
    <w:rsid w:val="009D6DE7"/>
    <w:rsid w:val="009D6E1F"/>
    <w:rsid w:val="009D6FE2"/>
    <w:rsid w:val="009D7247"/>
    <w:rsid w:val="009D7309"/>
    <w:rsid w:val="009D73EF"/>
    <w:rsid w:val="009D7C00"/>
    <w:rsid w:val="009E00E9"/>
    <w:rsid w:val="009E021A"/>
    <w:rsid w:val="009E02BC"/>
    <w:rsid w:val="009E03CF"/>
    <w:rsid w:val="009E03E8"/>
    <w:rsid w:val="009E05C9"/>
    <w:rsid w:val="009E05D0"/>
    <w:rsid w:val="009E0698"/>
    <w:rsid w:val="009E06E0"/>
    <w:rsid w:val="009E06E3"/>
    <w:rsid w:val="009E0982"/>
    <w:rsid w:val="009E0A4D"/>
    <w:rsid w:val="009E0B84"/>
    <w:rsid w:val="009E0CE7"/>
    <w:rsid w:val="009E0D56"/>
    <w:rsid w:val="009E0E5D"/>
    <w:rsid w:val="009E0EA2"/>
    <w:rsid w:val="009E111E"/>
    <w:rsid w:val="009E1135"/>
    <w:rsid w:val="009E1195"/>
    <w:rsid w:val="009E1315"/>
    <w:rsid w:val="009E1336"/>
    <w:rsid w:val="009E1363"/>
    <w:rsid w:val="009E143E"/>
    <w:rsid w:val="009E151B"/>
    <w:rsid w:val="009E174B"/>
    <w:rsid w:val="009E1765"/>
    <w:rsid w:val="009E1846"/>
    <w:rsid w:val="009E18F3"/>
    <w:rsid w:val="009E1AD0"/>
    <w:rsid w:val="009E1F69"/>
    <w:rsid w:val="009E1FBA"/>
    <w:rsid w:val="009E1FF8"/>
    <w:rsid w:val="009E2030"/>
    <w:rsid w:val="009E20C0"/>
    <w:rsid w:val="009E20C8"/>
    <w:rsid w:val="009E2117"/>
    <w:rsid w:val="009E214D"/>
    <w:rsid w:val="009E2273"/>
    <w:rsid w:val="009E2312"/>
    <w:rsid w:val="009E2313"/>
    <w:rsid w:val="009E2400"/>
    <w:rsid w:val="009E2580"/>
    <w:rsid w:val="009E287A"/>
    <w:rsid w:val="009E28EC"/>
    <w:rsid w:val="009E2968"/>
    <w:rsid w:val="009E29CE"/>
    <w:rsid w:val="009E2A83"/>
    <w:rsid w:val="009E2C60"/>
    <w:rsid w:val="009E2E34"/>
    <w:rsid w:val="009E2F37"/>
    <w:rsid w:val="009E2F84"/>
    <w:rsid w:val="009E2FD4"/>
    <w:rsid w:val="009E3191"/>
    <w:rsid w:val="009E334E"/>
    <w:rsid w:val="009E3AE7"/>
    <w:rsid w:val="009E3AF3"/>
    <w:rsid w:val="009E3B3C"/>
    <w:rsid w:val="009E3B7A"/>
    <w:rsid w:val="009E435E"/>
    <w:rsid w:val="009E480F"/>
    <w:rsid w:val="009E4841"/>
    <w:rsid w:val="009E4AC6"/>
    <w:rsid w:val="009E4B31"/>
    <w:rsid w:val="009E4E6B"/>
    <w:rsid w:val="009E4FB3"/>
    <w:rsid w:val="009E50EF"/>
    <w:rsid w:val="009E5356"/>
    <w:rsid w:val="009E5365"/>
    <w:rsid w:val="009E5634"/>
    <w:rsid w:val="009E566B"/>
    <w:rsid w:val="009E5751"/>
    <w:rsid w:val="009E57C9"/>
    <w:rsid w:val="009E5935"/>
    <w:rsid w:val="009E5BAE"/>
    <w:rsid w:val="009E5D1E"/>
    <w:rsid w:val="009E5D67"/>
    <w:rsid w:val="009E5DA1"/>
    <w:rsid w:val="009E5E6D"/>
    <w:rsid w:val="009E5F17"/>
    <w:rsid w:val="009E6129"/>
    <w:rsid w:val="009E61AA"/>
    <w:rsid w:val="009E62FF"/>
    <w:rsid w:val="009E6724"/>
    <w:rsid w:val="009E67BF"/>
    <w:rsid w:val="009E69F1"/>
    <w:rsid w:val="009E6B50"/>
    <w:rsid w:val="009E6CD9"/>
    <w:rsid w:val="009E6CEC"/>
    <w:rsid w:val="009E7584"/>
    <w:rsid w:val="009E766E"/>
    <w:rsid w:val="009E76CC"/>
    <w:rsid w:val="009E77CB"/>
    <w:rsid w:val="009E78E9"/>
    <w:rsid w:val="009E7983"/>
    <w:rsid w:val="009E7BA6"/>
    <w:rsid w:val="009E7CA5"/>
    <w:rsid w:val="009E7D17"/>
    <w:rsid w:val="009F0103"/>
    <w:rsid w:val="009F012F"/>
    <w:rsid w:val="009F03DA"/>
    <w:rsid w:val="009F045D"/>
    <w:rsid w:val="009F04C8"/>
    <w:rsid w:val="009F0529"/>
    <w:rsid w:val="009F053F"/>
    <w:rsid w:val="009F054C"/>
    <w:rsid w:val="009F0736"/>
    <w:rsid w:val="009F0874"/>
    <w:rsid w:val="009F0966"/>
    <w:rsid w:val="009F0B1A"/>
    <w:rsid w:val="009F0D90"/>
    <w:rsid w:val="009F103C"/>
    <w:rsid w:val="009F1382"/>
    <w:rsid w:val="009F151D"/>
    <w:rsid w:val="009F1613"/>
    <w:rsid w:val="009F16AA"/>
    <w:rsid w:val="009F1785"/>
    <w:rsid w:val="009F17C4"/>
    <w:rsid w:val="009F18CC"/>
    <w:rsid w:val="009F19DF"/>
    <w:rsid w:val="009F19E1"/>
    <w:rsid w:val="009F1AE8"/>
    <w:rsid w:val="009F1B38"/>
    <w:rsid w:val="009F1CE1"/>
    <w:rsid w:val="009F1DD9"/>
    <w:rsid w:val="009F234C"/>
    <w:rsid w:val="009F2433"/>
    <w:rsid w:val="009F2522"/>
    <w:rsid w:val="009F25CE"/>
    <w:rsid w:val="009F26C7"/>
    <w:rsid w:val="009F27A5"/>
    <w:rsid w:val="009F27E2"/>
    <w:rsid w:val="009F2A9F"/>
    <w:rsid w:val="009F2B36"/>
    <w:rsid w:val="009F2CD3"/>
    <w:rsid w:val="009F2E31"/>
    <w:rsid w:val="009F2EF5"/>
    <w:rsid w:val="009F2FE0"/>
    <w:rsid w:val="009F3032"/>
    <w:rsid w:val="009F30C5"/>
    <w:rsid w:val="009F31B5"/>
    <w:rsid w:val="009F31EC"/>
    <w:rsid w:val="009F3587"/>
    <w:rsid w:val="009F37EB"/>
    <w:rsid w:val="009F3B65"/>
    <w:rsid w:val="009F3C0A"/>
    <w:rsid w:val="009F3C2D"/>
    <w:rsid w:val="009F3F06"/>
    <w:rsid w:val="009F3F1F"/>
    <w:rsid w:val="009F40B3"/>
    <w:rsid w:val="009F40E7"/>
    <w:rsid w:val="009F41CF"/>
    <w:rsid w:val="009F4288"/>
    <w:rsid w:val="009F4317"/>
    <w:rsid w:val="009F4492"/>
    <w:rsid w:val="009F458F"/>
    <w:rsid w:val="009F46F9"/>
    <w:rsid w:val="009F4903"/>
    <w:rsid w:val="009F49A9"/>
    <w:rsid w:val="009F49E1"/>
    <w:rsid w:val="009F4CFE"/>
    <w:rsid w:val="009F4EF3"/>
    <w:rsid w:val="009F4FB3"/>
    <w:rsid w:val="009F5213"/>
    <w:rsid w:val="009F53CC"/>
    <w:rsid w:val="009F5415"/>
    <w:rsid w:val="009F5569"/>
    <w:rsid w:val="009F5CCE"/>
    <w:rsid w:val="009F5CEC"/>
    <w:rsid w:val="009F5E70"/>
    <w:rsid w:val="009F60C8"/>
    <w:rsid w:val="009F6328"/>
    <w:rsid w:val="009F640D"/>
    <w:rsid w:val="009F6422"/>
    <w:rsid w:val="009F65F1"/>
    <w:rsid w:val="009F6B84"/>
    <w:rsid w:val="009F6D30"/>
    <w:rsid w:val="009F6E29"/>
    <w:rsid w:val="009F6EB6"/>
    <w:rsid w:val="009F7008"/>
    <w:rsid w:val="009F71D1"/>
    <w:rsid w:val="009F7437"/>
    <w:rsid w:val="009F76D0"/>
    <w:rsid w:val="009F791C"/>
    <w:rsid w:val="009F7A33"/>
    <w:rsid w:val="009F7AD1"/>
    <w:rsid w:val="009F7B13"/>
    <w:rsid w:val="009F7B29"/>
    <w:rsid w:val="009F7BC7"/>
    <w:rsid w:val="009F7C6A"/>
    <w:rsid w:val="009F7E9C"/>
    <w:rsid w:val="00A001A4"/>
    <w:rsid w:val="00A006A6"/>
    <w:rsid w:val="00A007D4"/>
    <w:rsid w:val="00A007F7"/>
    <w:rsid w:val="00A008F8"/>
    <w:rsid w:val="00A00C76"/>
    <w:rsid w:val="00A00CEB"/>
    <w:rsid w:val="00A00DD6"/>
    <w:rsid w:val="00A01011"/>
    <w:rsid w:val="00A010CA"/>
    <w:rsid w:val="00A010E2"/>
    <w:rsid w:val="00A012C3"/>
    <w:rsid w:val="00A012D1"/>
    <w:rsid w:val="00A01473"/>
    <w:rsid w:val="00A01482"/>
    <w:rsid w:val="00A014EC"/>
    <w:rsid w:val="00A01616"/>
    <w:rsid w:val="00A0168A"/>
    <w:rsid w:val="00A017BA"/>
    <w:rsid w:val="00A01C8C"/>
    <w:rsid w:val="00A01DA5"/>
    <w:rsid w:val="00A01E9D"/>
    <w:rsid w:val="00A01EFD"/>
    <w:rsid w:val="00A02352"/>
    <w:rsid w:val="00A0252D"/>
    <w:rsid w:val="00A02635"/>
    <w:rsid w:val="00A026DF"/>
    <w:rsid w:val="00A02A0F"/>
    <w:rsid w:val="00A02A85"/>
    <w:rsid w:val="00A02AE8"/>
    <w:rsid w:val="00A02AEF"/>
    <w:rsid w:val="00A02DCD"/>
    <w:rsid w:val="00A02FBC"/>
    <w:rsid w:val="00A03016"/>
    <w:rsid w:val="00A03034"/>
    <w:rsid w:val="00A030CA"/>
    <w:rsid w:val="00A032F9"/>
    <w:rsid w:val="00A033BF"/>
    <w:rsid w:val="00A0355F"/>
    <w:rsid w:val="00A037A3"/>
    <w:rsid w:val="00A038C8"/>
    <w:rsid w:val="00A039A7"/>
    <w:rsid w:val="00A03A5F"/>
    <w:rsid w:val="00A03BBC"/>
    <w:rsid w:val="00A03C2F"/>
    <w:rsid w:val="00A03CB4"/>
    <w:rsid w:val="00A03D28"/>
    <w:rsid w:val="00A03E5B"/>
    <w:rsid w:val="00A04100"/>
    <w:rsid w:val="00A041B5"/>
    <w:rsid w:val="00A041F3"/>
    <w:rsid w:val="00A04218"/>
    <w:rsid w:val="00A043EF"/>
    <w:rsid w:val="00A04A39"/>
    <w:rsid w:val="00A04A4A"/>
    <w:rsid w:val="00A04B17"/>
    <w:rsid w:val="00A04BE1"/>
    <w:rsid w:val="00A04F99"/>
    <w:rsid w:val="00A051E8"/>
    <w:rsid w:val="00A052E1"/>
    <w:rsid w:val="00A054BC"/>
    <w:rsid w:val="00A054D1"/>
    <w:rsid w:val="00A05740"/>
    <w:rsid w:val="00A05BC7"/>
    <w:rsid w:val="00A05C16"/>
    <w:rsid w:val="00A05CD1"/>
    <w:rsid w:val="00A05CED"/>
    <w:rsid w:val="00A06224"/>
    <w:rsid w:val="00A0626A"/>
    <w:rsid w:val="00A06336"/>
    <w:rsid w:val="00A064B4"/>
    <w:rsid w:val="00A065E2"/>
    <w:rsid w:val="00A06675"/>
    <w:rsid w:val="00A066B7"/>
    <w:rsid w:val="00A066DE"/>
    <w:rsid w:val="00A069BF"/>
    <w:rsid w:val="00A06C1D"/>
    <w:rsid w:val="00A06D73"/>
    <w:rsid w:val="00A06EB6"/>
    <w:rsid w:val="00A06FC4"/>
    <w:rsid w:val="00A070E9"/>
    <w:rsid w:val="00A07180"/>
    <w:rsid w:val="00A0741B"/>
    <w:rsid w:val="00A0749D"/>
    <w:rsid w:val="00A075C8"/>
    <w:rsid w:val="00A076B0"/>
    <w:rsid w:val="00A077FD"/>
    <w:rsid w:val="00A0788C"/>
    <w:rsid w:val="00A078CF"/>
    <w:rsid w:val="00A07CBD"/>
    <w:rsid w:val="00A07D52"/>
    <w:rsid w:val="00A07D54"/>
    <w:rsid w:val="00A10086"/>
    <w:rsid w:val="00A102BB"/>
    <w:rsid w:val="00A103F3"/>
    <w:rsid w:val="00A104F3"/>
    <w:rsid w:val="00A10522"/>
    <w:rsid w:val="00A105A5"/>
    <w:rsid w:val="00A105CE"/>
    <w:rsid w:val="00A109D5"/>
    <w:rsid w:val="00A109F7"/>
    <w:rsid w:val="00A10A38"/>
    <w:rsid w:val="00A10B65"/>
    <w:rsid w:val="00A10E07"/>
    <w:rsid w:val="00A10F22"/>
    <w:rsid w:val="00A11174"/>
    <w:rsid w:val="00A11190"/>
    <w:rsid w:val="00A114B3"/>
    <w:rsid w:val="00A11547"/>
    <w:rsid w:val="00A1193B"/>
    <w:rsid w:val="00A11AD0"/>
    <w:rsid w:val="00A11B06"/>
    <w:rsid w:val="00A11B16"/>
    <w:rsid w:val="00A11DAC"/>
    <w:rsid w:val="00A121B4"/>
    <w:rsid w:val="00A1233D"/>
    <w:rsid w:val="00A12348"/>
    <w:rsid w:val="00A124F7"/>
    <w:rsid w:val="00A1265E"/>
    <w:rsid w:val="00A1278A"/>
    <w:rsid w:val="00A127AC"/>
    <w:rsid w:val="00A12B6A"/>
    <w:rsid w:val="00A12DC2"/>
    <w:rsid w:val="00A12F5D"/>
    <w:rsid w:val="00A1304C"/>
    <w:rsid w:val="00A13141"/>
    <w:rsid w:val="00A13184"/>
    <w:rsid w:val="00A131F2"/>
    <w:rsid w:val="00A13221"/>
    <w:rsid w:val="00A13753"/>
    <w:rsid w:val="00A1384A"/>
    <w:rsid w:val="00A138BA"/>
    <w:rsid w:val="00A13AF4"/>
    <w:rsid w:val="00A13B66"/>
    <w:rsid w:val="00A13BDF"/>
    <w:rsid w:val="00A13CEF"/>
    <w:rsid w:val="00A13E29"/>
    <w:rsid w:val="00A13EC2"/>
    <w:rsid w:val="00A13F69"/>
    <w:rsid w:val="00A13F6D"/>
    <w:rsid w:val="00A1416A"/>
    <w:rsid w:val="00A141E5"/>
    <w:rsid w:val="00A145FF"/>
    <w:rsid w:val="00A14627"/>
    <w:rsid w:val="00A14844"/>
    <w:rsid w:val="00A148AF"/>
    <w:rsid w:val="00A1498D"/>
    <w:rsid w:val="00A14C5C"/>
    <w:rsid w:val="00A14C9C"/>
    <w:rsid w:val="00A151AE"/>
    <w:rsid w:val="00A153D6"/>
    <w:rsid w:val="00A15573"/>
    <w:rsid w:val="00A15581"/>
    <w:rsid w:val="00A15646"/>
    <w:rsid w:val="00A15649"/>
    <w:rsid w:val="00A1573E"/>
    <w:rsid w:val="00A15752"/>
    <w:rsid w:val="00A15828"/>
    <w:rsid w:val="00A15847"/>
    <w:rsid w:val="00A1587C"/>
    <w:rsid w:val="00A1593F"/>
    <w:rsid w:val="00A159FF"/>
    <w:rsid w:val="00A15A1A"/>
    <w:rsid w:val="00A15B57"/>
    <w:rsid w:val="00A15D96"/>
    <w:rsid w:val="00A15DBE"/>
    <w:rsid w:val="00A15EA0"/>
    <w:rsid w:val="00A15FA1"/>
    <w:rsid w:val="00A160BB"/>
    <w:rsid w:val="00A161D2"/>
    <w:rsid w:val="00A16755"/>
    <w:rsid w:val="00A167DE"/>
    <w:rsid w:val="00A16AC0"/>
    <w:rsid w:val="00A16B95"/>
    <w:rsid w:val="00A16E05"/>
    <w:rsid w:val="00A16ECC"/>
    <w:rsid w:val="00A16FCE"/>
    <w:rsid w:val="00A17115"/>
    <w:rsid w:val="00A17399"/>
    <w:rsid w:val="00A1759C"/>
    <w:rsid w:val="00A175B0"/>
    <w:rsid w:val="00A176E3"/>
    <w:rsid w:val="00A17912"/>
    <w:rsid w:val="00A17A63"/>
    <w:rsid w:val="00A17DBB"/>
    <w:rsid w:val="00A17FB5"/>
    <w:rsid w:val="00A17FD0"/>
    <w:rsid w:val="00A200B2"/>
    <w:rsid w:val="00A201DB"/>
    <w:rsid w:val="00A20324"/>
    <w:rsid w:val="00A20419"/>
    <w:rsid w:val="00A20486"/>
    <w:rsid w:val="00A20844"/>
    <w:rsid w:val="00A20852"/>
    <w:rsid w:val="00A2093B"/>
    <w:rsid w:val="00A2098E"/>
    <w:rsid w:val="00A20BD0"/>
    <w:rsid w:val="00A20E17"/>
    <w:rsid w:val="00A20F1D"/>
    <w:rsid w:val="00A213EF"/>
    <w:rsid w:val="00A21442"/>
    <w:rsid w:val="00A21795"/>
    <w:rsid w:val="00A2187A"/>
    <w:rsid w:val="00A219E7"/>
    <w:rsid w:val="00A219E9"/>
    <w:rsid w:val="00A21BC8"/>
    <w:rsid w:val="00A21D09"/>
    <w:rsid w:val="00A21E10"/>
    <w:rsid w:val="00A21F92"/>
    <w:rsid w:val="00A21FA1"/>
    <w:rsid w:val="00A2228F"/>
    <w:rsid w:val="00A222BA"/>
    <w:rsid w:val="00A22666"/>
    <w:rsid w:val="00A22856"/>
    <w:rsid w:val="00A229F0"/>
    <w:rsid w:val="00A22A1E"/>
    <w:rsid w:val="00A22A3F"/>
    <w:rsid w:val="00A22C50"/>
    <w:rsid w:val="00A22D89"/>
    <w:rsid w:val="00A22E72"/>
    <w:rsid w:val="00A23198"/>
    <w:rsid w:val="00A23264"/>
    <w:rsid w:val="00A235D1"/>
    <w:rsid w:val="00A23670"/>
    <w:rsid w:val="00A23897"/>
    <w:rsid w:val="00A23B32"/>
    <w:rsid w:val="00A23CFD"/>
    <w:rsid w:val="00A23E85"/>
    <w:rsid w:val="00A23FD7"/>
    <w:rsid w:val="00A24192"/>
    <w:rsid w:val="00A242C8"/>
    <w:rsid w:val="00A24542"/>
    <w:rsid w:val="00A2455A"/>
    <w:rsid w:val="00A2473B"/>
    <w:rsid w:val="00A24948"/>
    <w:rsid w:val="00A24B94"/>
    <w:rsid w:val="00A24D44"/>
    <w:rsid w:val="00A24EDC"/>
    <w:rsid w:val="00A2501B"/>
    <w:rsid w:val="00A25049"/>
    <w:rsid w:val="00A250F9"/>
    <w:rsid w:val="00A2530D"/>
    <w:rsid w:val="00A2536F"/>
    <w:rsid w:val="00A253D4"/>
    <w:rsid w:val="00A25618"/>
    <w:rsid w:val="00A2563E"/>
    <w:rsid w:val="00A256DE"/>
    <w:rsid w:val="00A258B4"/>
    <w:rsid w:val="00A25943"/>
    <w:rsid w:val="00A259BD"/>
    <w:rsid w:val="00A25B7A"/>
    <w:rsid w:val="00A25C93"/>
    <w:rsid w:val="00A25CEE"/>
    <w:rsid w:val="00A25E48"/>
    <w:rsid w:val="00A25F8D"/>
    <w:rsid w:val="00A25FF4"/>
    <w:rsid w:val="00A263F4"/>
    <w:rsid w:val="00A265A7"/>
    <w:rsid w:val="00A266CD"/>
    <w:rsid w:val="00A266F9"/>
    <w:rsid w:val="00A267A4"/>
    <w:rsid w:val="00A267C7"/>
    <w:rsid w:val="00A26904"/>
    <w:rsid w:val="00A26924"/>
    <w:rsid w:val="00A26AF6"/>
    <w:rsid w:val="00A270B2"/>
    <w:rsid w:val="00A2749B"/>
    <w:rsid w:val="00A2751C"/>
    <w:rsid w:val="00A2761A"/>
    <w:rsid w:val="00A27682"/>
    <w:rsid w:val="00A2781A"/>
    <w:rsid w:val="00A27884"/>
    <w:rsid w:val="00A279B3"/>
    <w:rsid w:val="00A27C0F"/>
    <w:rsid w:val="00A27C71"/>
    <w:rsid w:val="00A27DFC"/>
    <w:rsid w:val="00A27EC6"/>
    <w:rsid w:val="00A27EE4"/>
    <w:rsid w:val="00A27F62"/>
    <w:rsid w:val="00A27FEE"/>
    <w:rsid w:val="00A30111"/>
    <w:rsid w:val="00A303EA"/>
    <w:rsid w:val="00A3060D"/>
    <w:rsid w:val="00A30684"/>
    <w:rsid w:val="00A30762"/>
    <w:rsid w:val="00A309C9"/>
    <w:rsid w:val="00A30A63"/>
    <w:rsid w:val="00A30BA9"/>
    <w:rsid w:val="00A30DB3"/>
    <w:rsid w:val="00A31084"/>
    <w:rsid w:val="00A3135A"/>
    <w:rsid w:val="00A3138E"/>
    <w:rsid w:val="00A313E4"/>
    <w:rsid w:val="00A3150B"/>
    <w:rsid w:val="00A318F8"/>
    <w:rsid w:val="00A319D1"/>
    <w:rsid w:val="00A319DB"/>
    <w:rsid w:val="00A319FD"/>
    <w:rsid w:val="00A319FE"/>
    <w:rsid w:val="00A31BBF"/>
    <w:rsid w:val="00A31D6B"/>
    <w:rsid w:val="00A31DFE"/>
    <w:rsid w:val="00A31F6B"/>
    <w:rsid w:val="00A320C8"/>
    <w:rsid w:val="00A32313"/>
    <w:rsid w:val="00A3236A"/>
    <w:rsid w:val="00A323A3"/>
    <w:rsid w:val="00A32525"/>
    <w:rsid w:val="00A32647"/>
    <w:rsid w:val="00A326FD"/>
    <w:rsid w:val="00A327E2"/>
    <w:rsid w:val="00A328F9"/>
    <w:rsid w:val="00A32A95"/>
    <w:rsid w:val="00A32C06"/>
    <w:rsid w:val="00A32C2B"/>
    <w:rsid w:val="00A32C98"/>
    <w:rsid w:val="00A32CC7"/>
    <w:rsid w:val="00A32CCF"/>
    <w:rsid w:val="00A32CEB"/>
    <w:rsid w:val="00A33159"/>
    <w:rsid w:val="00A331A4"/>
    <w:rsid w:val="00A332AA"/>
    <w:rsid w:val="00A33365"/>
    <w:rsid w:val="00A33779"/>
    <w:rsid w:val="00A33920"/>
    <w:rsid w:val="00A33A4B"/>
    <w:rsid w:val="00A33BC0"/>
    <w:rsid w:val="00A33BD3"/>
    <w:rsid w:val="00A33D5A"/>
    <w:rsid w:val="00A34068"/>
    <w:rsid w:val="00A34202"/>
    <w:rsid w:val="00A342B5"/>
    <w:rsid w:val="00A343C1"/>
    <w:rsid w:val="00A34430"/>
    <w:rsid w:val="00A3449F"/>
    <w:rsid w:val="00A344A6"/>
    <w:rsid w:val="00A34522"/>
    <w:rsid w:val="00A34525"/>
    <w:rsid w:val="00A34B04"/>
    <w:rsid w:val="00A34B1F"/>
    <w:rsid w:val="00A34B3F"/>
    <w:rsid w:val="00A34B75"/>
    <w:rsid w:val="00A34D22"/>
    <w:rsid w:val="00A350A4"/>
    <w:rsid w:val="00A354BD"/>
    <w:rsid w:val="00A354E5"/>
    <w:rsid w:val="00A35513"/>
    <w:rsid w:val="00A35661"/>
    <w:rsid w:val="00A3566E"/>
    <w:rsid w:val="00A356C5"/>
    <w:rsid w:val="00A35908"/>
    <w:rsid w:val="00A35949"/>
    <w:rsid w:val="00A35A2E"/>
    <w:rsid w:val="00A35AC4"/>
    <w:rsid w:val="00A35BF8"/>
    <w:rsid w:val="00A35CB8"/>
    <w:rsid w:val="00A35D1E"/>
    <w:rsid w:val="00A35DA4"/>
    <w:rsid w:val="00A35DC9"/>
    <w:rsid w:val="00A35E0A"/>
    <w:rsid w:val="00A35E64"/>
    <w:rsid w:val="00A35F1E"/>
    <w:rsid w:val="00A35FCE"/>
    <w:rsid w:val="00A36107"/>
    <w:rsid w:val="00A363C7"/>
    <w:rsid w:val="00A36689"/>
    <w:rsid w:val="00A3672D"/>
    <w:rsid w:val="00A3674A"/>
    <w:rsid w:val="00A368CC"/>
    <w:rsid w:val="00A368E3"/>
    <w:rsid w:val="00A36985"/>
    <w:rsid w:val="00A36E2D"/>
    <w:rsid w:val="00A36E8A"/>
    <w:rsid w:val="00A36F29"/>
    <w:rsid w:val="00A36FDF"/>
    <w:rsid w:val="00A37013"/>
    <w:rsid w:val="00A37033"/>
    <w:rsid w:val="00A37133"/>
    <w:rsid w:val="00A374BF"/>
    <w:rsid w:val="00A375DE"/>
    <w:rsid w:val="00A37771"/>
    <w:rsid w:val="00A377C9"/>
    <w:rsid w:val="00A37B7A"/>
    <w:rsid w:val="00A37DE1"/>
    <w:rsid w:val="00A37E9F"/>
    <w:rsid w:val="00A37ECB"/>
    <w:rsid w:val="00A37F72"/>
    <w:rsid w:val="00A40101"/>
    <w:rsid w:val="00A4010C"/>
    <w:rsid w:val="00A40137"/>
    <w:rsid w:val="00A40299"/>
    <w:rsid w:val="00A40363"/>
    <w:rsid w:val="00A403E9"/>
    <w:rsid w:val="00A406DC"/>
    <w:rsid w:val="00A408C2"/>
    <w:rsid w:val="00A40AE4"/>
    <w:rsid w:val="00A40BE4"/>
    <w:rsid w:val="00A40C48"/>
    <w:rsid w:val="00A40CE3"/>
    <w:rsid w:val="00A40EE8"/>
    <w:rsid w:val="00A41119"/>
    <w:rsid w:val="00A41225"/>
    <w:rsid w:val="00A413E1"/>
    <w:rsid w:val="00A413F5"/>
    <w:rsid w:val="00A415BB"/>
    <w:rsid w:val="00A416A8"/>
    <w:rsid w:val="00A417D2"/>
    <w:rsid w:val="00A41CEA"/>
    <w:rsid w:val="00A41D34"/>
    <w:rsid w:val="00A41DF0"/>
    <w:rsid w:val="00A41EA6"/>
    <w:rsid w:val="00A41F2C"/>
    <w:rsid w:val="00A42377"/>
    <w:rsid w:val="00A4241F"/>
    <w:rsid w:val="00A425E4"/>
    <w:rsid w:val="00A42662"/>
    <w:rsid w:val="00A426DE"/>
    <w:rsid w:val="00A426E6"/>
    <w:rsid w:val="00A4277C"/>
    <w:rsid w:val="00A42D4D"/>
    <w:rsid w:val="00A42D6E"/>
    <w:rsid w:val="00A42DA9"/>
    <w:rsid w:val="00A42E9E"/>
    <w:rsid w:val="00A42FD1"/>
    <w:rsid w:val="00A430A3"/>
    <w:rsid w:val="00A4347E"/>
    <w:rsid w:val="00A434F0"/>
    <w:rsid w:val="00A43758"/>
    <w:rsid w:val="00A4381E"/>
    <w:rsid w:val="00A4399D"/>
    <w:rsid w:val="00A439FC"/>
    <w:rsid w:val="00A43A60"/>
    <w:rsid w:val="00A43B87"/>
    <w:rsid w:val="00A43C98"/>
    <w:rsid w:val="00A43D6B"/>
    <w:rsid w:val="00A43EBC"/>
    <w:rsid w:val="00A441A6"/>
    <w:rsid w:val="00A44335"/>
    <w:rsid w:val="00A446A9"/>
    <w:rsid w:val="00A44787"/>
    <w:rsid w:val="00A44862"/>
    <w:rsid w:val="00A4486E"/>
    <w:rsid w:val="00A448A2"/>
    <w:rsid w:val="00A449D8"/>
    <w:rsid w:val="00A44ACC"/>
    <w:rsid w:val="00A44AEA"/>
    <w:rsid w:val="00A44AF4"/>
    <w:rsid w:val="00A44CC9"/>
    <w:rsid w:val="00A44D43"/>
    <w:rsid w:val="00A45129"/>
    <w:rsid w:val="00A45165"/>
    <w:rsid w:val="00A45284"/>
    <w:rsid w:val="00A4547E"/>
    <w:rsid w:val="00A454B6"/>
    <w:rsid w:val="00A45559"/>
    <w:rsid w:val="00A458D0"/>
    <w:rsid w:val="00A458D6"/>
    <w:rsid w:val="00A45A1C"/>
    <w:rsid w:val="00A45D77"/>
    <w:rsid w:val="00A45E97"/>
    <w:rsid w:val="00A45FE7"/>
    <w:rsid w:val="00A462EE"/>
    <w:rsid w:val="00A4630E"/>
    <w:rsid w:val="00A46723"/>
    <w:rsid w:val="00A467A5"/>
    <w:rsid w:val="00A46C6D"/>
    <w:rsid w:val="00A46FC8"/>
    <w:rsid w:val="00A4713B"/>
    <w:rsid w:val="00A4723B"/>
    <w:rsid w:val="00A4730D"/>
    <w:rsid w:val="00A47428"/>
    <w:rsid w:val="00A4752A"/>
    <w:rsid w:val="00A476AC"/>
    <w:rsid w:val="00A4786D"/>
    <w:rsid w:val="00A4789A"/>
    <w:rsid w:val="00A478D8"/>
    <w:rsid w:val="00A47BBA"/>
    <w:rsid w:val="00A47C56"/>
    <w:rsid w:val="00A47DE3"/>
    <w:rsid w:val="00A47F9B"/>
    <w:rsid w:val="00A47FF9"/>
    <w:rsid w:val="00A50141"/>
    <w:rsid w:val="00A5021E"/>
    <w:rsid w:val="00A5054F"/>
    <w:rsid w:val="00A50719"/>
    <w:rsid w:val="00A5087C"/>
    <w:rsid w:val="00A508CA"/>
    <w:rsid w:val="00A50AB5"/>
    <w:rsid w:val="00A50B24"/>
    <w:rsid w:val="00A50B94"/>
    <w:rsid w:val="00A50D33"/>
    <w:rsid w:val="00A50E81"/>
    <w:rsid w:val="00A50FDF"/>
    <w:rsid w:val="00A5135E"/>
    <w:rsid w:val="00A513D7"/>
    <w:rsid w:val="00A51532"/>
    <w:rsid w:val="00A515B3"/>
    <w:rsid w:val="00A5189D"/>
    <w:rsid w:val="00A51976"/>
    <w:rsid w:val="00A5198B"/>
    <w:rsid w:val="00A51997"/>
    <w:rsid w:val="00A51AE8"/>
    <w:rsid w:val="00A51B66"/>
    <w:rsid w:val="00A51BA3"/>
    <w:rsid w:val="00A51D78"/>
    <w:rsid w:val="00A51FF1"/>
    <w:rsid w:val="00A5227A"/>
    <w:rsid w:val="00A52350"/>
    <w:rsid w:val="00A5239D"/>
    <w:rsid w:val="00A52598"/>
    <w:rsid w:val="00A52717"/>
    <w:rsid w:val="00A52806"/>
    <w:rsid w:val="00A52859"/>
    <w:rsid w:val="00A529A7"/>
    <w:rsid w:val="00A52A16"/>
    <w:rsid w:val="00A52A3B"/>
    <w:rsid w:val="00A52AC7"/>
    <w:rsid w:val="00A52AD1"/>
    <w:rsid w:val="00A52ADF"/>
    <w:rsid w:val="00A52B08"/>
    <w:rsid w:val="00A52EAD"/>
    <w:rsid w:val="00A5308F"/>
    <w:rsid w:val="00A530F0"/>
    <w:rsid w:val="00A53351"/>
    <w:rsid w:val="00A535D1"/>
    <w:rsid w:val="00A536B1"/>
    <w:rsid w:val="00A536D0"/>
    <w:rsid w:val="00A537EE"/>
    <w:rsid w:val="00A53ADF"/>
    <w:rsid w:val="00A53AFE"/>
    <w:rsid w:val="00A53D85"/>
    <w:rsid w:val="00A5401F"/>
    <w:rsid w:val="00A5403E"/>
    <w:rsid w:val="00A5406E"/>
    <w:rsid w:val="00A540C8"/>
    <w:rsid w:val="00A54148"/>
    <w:rsid w:val="00A54168"/>
    <w:rsid w:val="00A54171"/>
    <w:rsid w:val="00A541FC"/>
    <w:rsid w:val="00A545B2"/>
    <w:rsid w:val="00A549C9"/>
    <w:rsid w:val="00A54AAF"/>
    <w:rsid w:val="00A54C24"/>
    <w:rsid w:val="00A54CAA"/>
    <w:rsid w:val="00A54F9B"/>
    <w:rsid w:val="00A553A5"/>
    <w:rsid w:val="00A553AD"/>
    <w:rsid w:val="00A55550"/>
    <w:rsid w:val="00A556B8"/>
    <w:rsid w:val="00A55974"/>
    <w:rsid w:val="00A559CC"/>
    <w:rsid w:val="00A55A52"/>
    <w:rsid w:val="00A55DDC"/>
    <w:rsid w:val="00A55DE0"/>
    <w:rsid w:val="00A55EBE"/>
    <w:rsid w:val="00A560DF"/>
    <w:rsid w:val="00A5616B"/>
    <w:rsid w:val="00A5631F"/>
    <w:rsid w:val="00A56575"/>
    <w:rsid w:val="00A5669E"/>
    <w:rsid w:val="00A56763"/>
    <w:rsid w:val="00A567D0"/>
    <w:rsid w:val="00A56845"/>
    <w:rsid w:val="00A56EA7"/>
    <w:rsid w:val="00A56FD2"/>
    <w:rsid w:val="00A57152"/>
    <w:rsid w:val="00A57154"/>
    <w:rsid w:val="00A571B9"/>
    <w:rsid w:val="00A5723A"/>
    <w:rsid w:val="00A57275"/>
    <w:rsid w:val="00A572E7"/>
    <w:rsid w:val="00A5749E"/>
    <w:rsid w:val="00A5763F"/>
    <w:rsid w:val="00A57641"/>
    <w:rsid w:val="00A57869"/>
    <w:rsid w:val="00A578DA"/>
    <w:rsid w:val="00A57AF2"/>
    <w:rsid w:val="00A57CE5"/>
    <w:rsid w:val="00A57D42"/>
    <w:rsid w:val="00A60016"/>
    <w:rsid w:val="00A604A1"/>
    <w:rsid w:val="00A60609"/>
    <w:rsid w:val="00A6064E"/>
    <w:rsid w:val="00A60847"/>
    <w:rsid w:val="00A60917"/>
    <w:rsid w:val="00A60BBB"/>
    <w:rsid w:val="00A60BCF"/>
    <w:rsid w:val="00A60C83"/>
    <w:rsid w:val="00A60EA6"/>
    <w:rsid w:val="00A60F1E"/>
    <w:rsid w:val="00A610EB"/>
    <w:rsid w:val="00A611F5"/>
    <w:rsid w:val="00A6125E"/>
    <w:rsid w:val="00A612C2"/>
    <w:rsid w:val="00A615CC"/>
    <w:rsid w:val="00A61694"/>
    <w:rsid w:val="00A61722"/>
    <w:rsid w:val="00A61768"/>
    <w:rsid w:val="00A617BD"/>
    <w:rsid w:val="00A6180D"/>
    <w:rsid w:val="00A61870"/>
    <w:rsid w:val="00A61C3E"/>
    <w:rsid w:val="00A620EF"/>
    <w:rsid w:val="00A62133"/>
    <w:rsid w:val="00A622D1"/>
    <w:rsid w:val="00A624FF"/>
    <w:rsid w:val="00A62D80"/>
    <w:rsid w:val="00A62DA9"/>
    <w:rsid w:val="00A62E48"/>
    <w:rsid w:val="00A62F1F"/>
    <w:rsid w:val="00A62F98"/>
    <w:rsid w:val="00A6302E"/>
    <w:rsid w:val="00A631EE"/>
    <w:rsid w:val="00A633AA"/>
    <w:rsid w:val="00A63611"/>
    <w:rsid w:val="00A636E6"/>
    <w:rsid w:val="00A639EF"/>
    <w:rsid w:val="00A63A99"/>
    <w:rsid w:val="00A63EC5"/>
    <w:rsid w:val="00A6435F"/>
    <w:rsid w:val="00A64806"/>
    <w:rsid w:val="00A6496E"/>
    <w:rsid w:val="00A649AB"/>
    <w:rsid w:val="00A64C35"/>
    <w:rsid w:val="00A64D7B"/>
    <w:rsid w:val="00A64D7F"/>
    <w:rsid w:val="00A65305"/>
    <w:rsid w:val="00A6540E"/>
    <w:rsid w:val="00A65462"/>
    <w:rsid w:val="00A65614"/>
    <w:rsid w:val="00A65637"/>
    <w:rsid w:val="00A65806"/>
    <w:rsid w:val="00A6594D"/>
    <w:rsid w:val="00A65A00"/>
    <w:rsid w:val="00A65C06"/>
    <w:rsid w:val="00A65C11"/>
    <w:rsid w:val="00A65D4C"/>
    <w:rsid w:val="00A65E53"/>
    <w:rsid w:val="00A65E97"/>
    <w:rsid w:val="00A65F1E"/>
    <w:rsid w:val="00A6604D"/>
    <w:rsid w:val="00A662A8"/>
    <w:rsid w:val="00A663C9"/>
    <w:rsid w:val="00A6642E"/>
    <w:rsid w:val="00A665F5"/>
    <w:rsid w:val="00A666E4"/>
    <w:rsid w:val="00A66793"/>
    <w:rsid w:val="00A66901"/>
    <w:rsid w:val="00A66D79"/>
    <w:rsid w:val="00A66DBF"/>
    <w:rsid w:val="00A67003"/>
    <w:rsid w:val="00A67028"/>
    <w:rsid w:val="00A670AF"/>
    <w:rsid w:val="00A671F5"/>
    <w:rsid w:val="00A67420"/>
    <w:rsid w:val="00A6742E"/>
    <w:rsid w:val="00A6761A"/>
    <w:rsid w:val="00A6765C"/>
    <w:rsid w:val="00A67720"/>
    <w:rsid w:val="00A67766"/>
    <w:rsid w:val="00A67A89"/>
    <w:rsid w:val="00A67AA8"/>
    <w:rsid w:val="00A67B40"/>
    <w:rsid w:val="00A67E6E"/>
    <w:rsid w:val="00A67E9E"/>
    <w:rsid w:val="00A67F54"/>
    <w:rsid w:val="00A67FEA"/>
    <w:rsid w:val="00A7001E"/>
    <w:rsid w:val="00A7029D"/>
    <w:rsid w:val="00A706AE"/>
    <w:rsid w:val="00A707BB"/>
    <w:rsid w:val="00A70A4D"/>
    <w:rsid w:val="00A70AB8"/>
    <w:rsid w:val="00A70B4A"/>
    <w:rsid w:val="00A70BE2"/>
    <w:rsid w:val="00A70BF2"/>
    <w:rsid w:val="00A70D82"/>
    <w:rsid w:val="00A70F99"/>
    <w:rsid w:val="00A7119B"/>
    <w:rsid w:val="00A711B7"/>
    <w:rsid w:val="00A71301"/>
    <w:rsid w:val="00A713B9"/>
    <w:rsid w:val="00A713C0"/>
    <w:rsid w:val="00A7168C"/>
    <w:rsid w:val="00A716D5"/>
    <w:rsid w:val="00A718A3"/>
    <w:rsid w:val="00A718E2"/>
    <w:rsid w:val="00A718FD"/>
    <w:rsid w:val="00A71AF5"/>
    <w:rsid w:val="00A71C9A"/>
    <w:rsid w:val="00A71D2C"/>
    <w:rsid w:val="00A71F46"/>
    <w:rsid w:val="00A71FDC"/>
    <w:rsid w:val="00A7209C"/>
    <w:rsid w:val="00A720F2"/>
    <w:rsid w:val="00A72127"/>
    <w:rsid w:val="00A721CB"/>
    <w:rsid w:val="00A72239"/>
    <w:rsid w:val="00A72637"/>
    <w:rsid w:val="00A72939"/>
    <w:rsid w:val="00A7295B"/>
    <w:rsid w:val="00A72B7E"/>
    <w:rsid w:val="00A72C1A"/>
    <w:rsid w:val="00A72DA9"/>
    <w:rsid w:val="00A72F87"/>
    <w:rsid w:val="00A73050"/>
    <w:rsid w:val="00A73176"/>
    <w:rsid w:val="00A7338A"/>
    <w:rsid w:val="00A73420"/>
    <w:rsid w:val="00A73542"/>
    <w:rsid w:val="00A73655"/>
    <w:rsid w:val="00A73659"/>
    <w:rsid w:val="00A7378C"/>
    <w:rsid w:val="00A7384B"/>
    <w:rsid w:val="00A739AD"/>
    <w:rsid w:val="00A73AB4"/>
    <w:rsid w:val="00A73BDD"/>
    <w:rsid w:val="00A73FEB"/>
    <w:rsid w:val="00A742C3"/>
    <w:rsid w:val="00A7438D"/>
    <w:rsid w:val="00A748DA"/>
    <w:rsid w:val="00A74B62"/>
    <w:rsid w:val="00A74B6D"/>
    <w:rsid w:val="00A74C73"/>
    <w:rsid w:val="00A74CC4"/>
    <w:rsid w:val="00A74CEC"/>
    <w:rsid w:val="00A74E10"/>
    <w:rsid w:val="00A74EA3"/>
    <w:rsid w:val="00A74F3B"/>
    <w:rsid w:val="00A74F8E"/>
    <w:rsid w:val="00A752C2"/>
    <w:rsid w:val="00A752E3"/>
    <w:rsid w:val="00A753B1"/>
    <w:rsid w:val="00A75642"/>
    <w:rsid w:val="00A75840"/>
    <w:rsid w:val="00A7587A"/>
    <w:rsid w:val="00A75A59"/>
    <w:rsid w:val="00A75A8F"/>
    <w:rsid w:val="00A75A9C"/>
    <w:rsid w:val="00A75C18"/>
    <w:rsid w:val="00A75CE6"/>
    <w:rsid w:val="00A75F47"/>
    <w:rsid w:val="00A76374"/>
    <w:rsid w:val="00A76420"/>
    <w:rsid w:val="00A76622"/>
    <w:rsid w:val="00A7669A"/>
    <w:rsid w:val="00A766E5"/>
    <w:rsid w:val="00A76A87"/>
    <w:rsid w:val="00A76E50"/>
    <w:rsid w:val="00A770CE"/>
    <w:rsid w:val="00A770DD"/>
    <w:rsid w:val="00A7716E"/>
    <w:rsid w:val="00A7719D"/>
    <w:rsid w:val="00A771E9"/>
    <w:rsid w:val="00A772A7"/>
    <w:rsid w:val="00A7734B"/>
    <w:rsid w:val="00A776F0"/>
    <w:rsid w:val="00A77942"/>
    <w:rsid w:val="00A77CEB"/>
    <w:rsid w:val="00A77E91"/>
    <w:rsid w:val="00A80357"/>
    <w:rsid w:val="00A803E2"/>
    <w:rsid w:val="00A803E4"/>
    <w:rsid w:val="00A804E6"/>
    <w:rsid w:val="00A80610"/>
    <w:rsid w:val="00A8069B"/>
    <w:rsid w:val="00A807E5"/>
    <w:rsid w:val="00A8087A"/>
    <w:rsid w:val="00A80964"/>
    <w:rsid w:val="00A8098C"/>
    <w:rsid w:val="00A80B09"/>
    <w:rsid w:val="00A80C8F"/>
    <w:rsid w:val="00A80EC5"/>
    <w:rsid w:val="00A8150D"/>
    <w:rsid w:val="00A8159A"/>
    <w:rsid w:val="00A81A06"/>
    <w:rsid w:val="00A81B16"/>
    <w:rsid w:val="00A81B57"/>
    <w:rsid w:val="00A81CF0"/>
    <w:rsid w:val="00A81D31"/>
    <w:rsid w:val="00A82216"/>
    <w:rsid w:val="00A8223E"/>
    <w:rsid w:val="00A8245C"/>
    <w:rsid w:val="00A82A30"/>
    <w:rsid w:val="00A82DFA"/>
    <w:rsid w:val="00A83013"/>
    <w:rsid w:val="00A83111"/>
    <w:rsid w:val="00A83112"/>
    <w:rsid w:val="00A831AF"/>
    <w:rsid w:val="00A833CF"/>
    <w:rsid w:val="00A83427"/>
    <w:rsid w:val="00A83531"/>
    <w:rsid w:val="00A83539"/>
    <w:rsid w:val="00A835E7"/>
    <w:rsid w:val="00A8369E"/>
    <w:rsid w:val="00A836A7"/>
    <w:rsid w:val="00A83781"/>
    <w:rsid w:val="00A838FA"/>
    <w:rsid w:val="00A83A09"/>
    <w:rsid w:val="00A83AB3"/>
    <w:rsid w:val="00A83C17"/>
    <w:rsid w:val="00A83C42"/>
    <w:rsid w:val="00A83F05"/>
    <w:rsid w:val="00A84047"/>
    <w:rsid w:val="00A84510"/>
    <w:rsid w:val="00A84837"/>
    <w:rsid w:val="00A84D42"/>
    <w:rsid w:val="00A84E67"/>
    <w:rsid w:val="00A84F3A"/>
    <w:rsid w:val="00A84F76"/>
    <w:rsid w:val="00A855AA"/>
    <w:rsid w:val="00A8575E"/>
    <w:rsid w:val="00A857F5"/>
    <w:rsid w:val="00A8585C"/>
    <w:rsid w:val="00A85870"/>
    <w:rsid w:val="00A8589D"/>
    <w:rsid w:val="00A85982"/>
    <w:rsid w:val="00A85983"/>
    <w:rsid w:val="00A85A22"/>
    <w:rsid w:val="00A85B06"/>
    <w:rsid w:val="00A85B4C"/>
    <w:rsid w:val="00A85CF0"/>
    <w:rsid w:val="00A85F4D"/>
    <w:rsid w:val="00A862CF"/>
    <w:rsid w:val="00A86681"/>
    <w:rsid w:val="00A8669A"/>
    <w:rsid w:val="00A8670B"/>
    <w:rsid w:val="00A86849"/>
    <w:rsid w:val="00A869D7"/>
    <w:rsid w:val="00A86B2E"/>
    <w:rsid w:val="00A86BF1"/>
    <w:rsid w:val="00A86BF5"/>
    <w:rsid w:val="00A86F14"/>
    <w:rsid w:val="00A87211"/>
    <w:rsid w:val="00A873D6"/>
    <w:rsid w:val="00A876A4"/>
    <w:rsid w:val="00A87710"/>
    <w:rsid w:val="00A8775B"/>
    <w:rsid w:val="00A87795"/>
    <w:rsid w:val="00A878A2"/>
    <w:rsid w:val="00A87AA9"/>
    <w:rsid w:val="00A87ACF"/>
    <w:rsid w:val="00A87B3F"/>
    <w:rsid w:val="00A87CC9"/>
    <w:rsid w:val="00A87DA7"/>
    <w:rsid w:val="00A87E3A"/>
    <w:rsid w:val="00A900E5"/>
    <w:rsid w:val="00A90209"/>
    <w:rsid w:val="00A902B2"/>
    <w:rsid w:val="00A90370"/>
    <w:rsid w:val="00A9049A"/>
    <w:rsid w:val="00A908D1"/>
    <w:rsid w:val="00A9096A"/>
    <w:rsid w:val="00A90B9E"/>
    <w:rsid w:val="00A90D51"/>
    <w:rsid w:val="00A913EF"/>
    <w:rsid w:val="00A914EA"/>
    <w:rsid w:val="00A91729"/>
    <w:rsid w:val="00A918B2"/>
    <w:rsid w:val="00A91954"/>
    <w:rsid w:val="00A91B14"/>
    <w:rsid w:val="00A91CFC"/>
    <w:rsid w:val="00A91D75"/>
    <w:rsid w:val="00A91EE4"/>
    <w:rsid w:val="00A91F85"/>
    <w:rsid w:val="00A9218F"/>
    <w:rsid w:val="00A9228B"/>
    <w:rsid w:val="00A9237A"/>
    <w:rsid w:val="00A924C0"/>
    <w:rsid w:val="00A925C7"/>
    <w:rsid w:val="00A92807"/>
    <w:rsid w:val="00A92CEF"/>
    <w:rsid w:val="00A92E73"/>
    <w:rsid w:val="00A92FCF"/>
    <w:rsid w:val="00A93034"/>
    <w:rsid w:val="00A93096"/>
    <w:rsid w:val="00A9337E"/>
    <w:rsid w:val="00A9340F"/>
    <w:rsid w:val="00A93420"/>
    <w:rsid w:val="00A93453"/>
    <w:rsid w:val="00A934C1"/>
    <w:rsid w:val="00A937CE"/>
    <w:rsid w:val="00A938AC"/>
    <w:rsid w:val="00A93962"/>
    <w:rsid w:val="00A939FE"/>
    <w:rsid w:val="00A93A4A"/>
    <w:rsid w:val="00A93B14"/>
    <w:rsid w:val="00A93B89"/>
    <w:rsid w:val="00A93BA4"/>
    <w:rsid w:val="00A93E85"/>
    <w:rsid w:val="00A93F13"/>
    <w:rsid w:val="00A944E2"/>
    <w:rsid w:val="00A9451A"/>
    <w:rsid w:val="00A9459C"/>
    <w:rsid w:val="00A9461F"/>
    <w:rsid w:val="00A9488C"/>
    <w:rsid w:val="00A94C4E"/>
    <w:rsid w:val="00A9518E"/>
    <w:rsid w:val="00A956E9"/>
    <w:rsid w:val="00A957B5"/>
    <w:rsid w:val="00A95E1B"/>
    <w:rsid w:val="00A96152"/>
    <w:rsid w:val="00A961B9"/>
    <w:rsid w:val="00A961BE"/>
    <w:rsid w:val="00A96414"/>
    <w:rsid w:val="00A96470"/>
    <w:rsid w:val="00A96480"/>
    <w:rsid w:val="00A96482"/>
    <w:rsid w:val="00A9655F"/>
    <w:rsid w:val="00A96696"/>
    <w:rsid w:val="00A96706"/>
    <w:rsid w:val="00A9699B"/>
    <w:rsid w:val="00A96A0B"/>
    <w:rsid w:val="00A96AE5"/>
    <w:rsid w:val="00A96C9F"/>
    <w:rsid w:val="00A96F72"/>
    <w:rsid w:val="00A96FE5"/>
    <w:rsid w:val="00A972FF"/>
    <w:rsid w:val="00A978AB"/>
    <w:rsid w:val="00A979EE"/>
    <w:rsid w:val="00A97AE3"/>
    <w:rsid w:val="00A97B74"/>
    <w:rsid w:val="00A97E12"/>
    <w:rsid w:val="00A97EE5"/>
    <w:rsid w:val="00AA0319"/>
    <w:rsid w:val="00AA0671"/>
    <w:rsid w:val="00AA07BF"/>
    <w:rsid w:val="00AA093B"/>
    <w:rsid w:val="00AA09A7"/>
    <w:rsid w:val="00AA0A49"/>
    <w:rsid w:val="00AA0C13"/>
    <w:rsid w:val="00AA0C20"/>
    <w:rsid w:val="00AA0DAC"/>
    <w:rsid w:val="00AA0DDA"/>
    <w:rsid w:val="00AA10D4"/>
    <w:rsid w:val="00AA1273"/>
    <w:rsid w:val="00AA1611"/>
    <w:rsid w:val="00AA16CE"/>
    <w:rsid w:val="00AA182F"/>
    <w:rsid w:val="00AA1B58"/>
    <w:rsid w:val="00AA1D65"/>
    <w:rsid w:val="00AA1E82"/>
    <w:rsid w:val="00AA1F31"/>
    <w:rsid w:val="00AA1F3B"/>
    <w:rsid w:val="00AA1FDF"/>
    <w:rsid w:val="00AA22FC"/>
    <w:rsid w:val="00AA2304"/>
    <w:rsid w:val="00AA24DF"/>
    <w:rsid w:val="00AA2546"/>
    <w:rsid w:val="00AA26C1"/>
    <w:rsid w:val="00AA2739"/>
    <w:rsid w:val="00AA2858"/>
    <w:rsid w:val="00AA285A"/>
    <w:rsid w:val="00AA2980"/>
    <w:rsid w:val="00AA2A25"/>
    <w:rsid w:val="00AA2AB0"/>
    <w:rsid w:val="00AA2AC1"/>
    <w:rsid w:val="00AA2AF5"/>
    <w:rsid w:val="00AA2AF7"/>
    <w:rsid w:val="00AA2C12"/>
    <w:rsid w:val="00AA2C2B"/>
    <w:rsid w:val="00AA2C7D"/>
    <w:rsid w:val="00AA2E1E"/>
    <w:rsid w:val="00AA2E27"/>
    <w:rsid w:val="00AA30CB"/>
    <w:rsid w:val="00AA3110"/>
    <w:rsid w:val="00AA31E9"/>
    <w:rsid w:val="00AA3373"/>
    <w:rsid w:val="00AA3408"/>
    <w:rsid w:val="00AA3565"/>
    <w:rsid w:val="00AA3600"/>
    <w:rsid w:val="00AA37DB"/>
    <w:rsid w:val="00AA3A0E"/>
    <w:rsid w:val="00AA3AC5"/>
    <w:rsid w:val="00AA3CB1"/>
    <w:rsid w:val="00AA3F12"/>
    <w:rsid w:val="00AA3F68"/>
    <w:rsid w:val="00AA3FBE"/>
    <w:rsid w:val="00AA3FF3"/>
    <w:rsid w:val="00AA4128"/>
    <w:rsid w:val="00AA41DA"/>
    <w:rsid w:val="00AA4271"/>
    <w:rsid w:val="00AA44B2"/>
    <w:rsid w:val="00AA45FC"/>
    <w:rsid w:val="00AA467A"/>
    <w:rsid w:val="00AA476E"/>
    <w:rsid w:val="00AA48AC"/>
    <w:rsid w:val="00AA4AB2"/>
    <w:rsid w:val="00AA4C23"/>
    <w:rsid w:val="00AA4D75"/>
    <w:rsid w:val="00AA4EF7"/>
    <w:rsid w:val="00AA4FD9"/>
    <w:rsid w:val="00AA5566"/>
    <w:rsid w:val="00AA5805"/>
    <w:rsid w:val="00AA585B"/>
    <w:rsid w:val="00AA5B44"/>
    <w:rsid w:val="00AA5C28"/>
    <w:rsid w:val="00AA5C5E"/>
    <w:rsid w:val="00AA5EEF"/>
    <w:rsid w:val="00AA6015"/>
    <w:rsid w:val="00AA601B"/>
    <w:rsid w:val="00AA60C2"/>
    <w:rsid w:val="00AA61A7"/>
    <w:rsid w:val="00AA620C"/>
    <w:rsid w:val="00AA6259"/>
    <w:rsid w:val="00AA63E9"/>
    <w:rsid w:val="00AA641B"/>
    <w:rsid w:val="00AA653F"/>
    <w:rsid w:val="00AA67B2"/>
    <w:rsid w:val="00AA6871"/>
    <w:rsid w:val="00AA6C40"/>
    <w:rsid w:val="00AA6CB0"/>
    <w:rsid w:val="00AA6DCA"/>
    <w:rsid w:val="00AA724E"/>
    <w:rsid w:val="00AA7269"/>
    <w:rsid w:val="00AA732C"/>
    <w:rsid w:val="00AA7342"/>
    <w:rsid w:val="00AA74F8"/>
    <w:rsid w:val="00AA7555"/>
    <w:rsid w:val="00AA7698"/>
    <w:rsid w:val="00AA7798"/>
    <w:rsid w:val="00AA7907"/>
    <w:rsid w:val="00AA7A17"/>
    <w:rsid w:val="00AA7BB2"/>
    <w:rsid w:val="00AA7F34"/>
    <w:rsid w:val="00AB0002"/>
    <w:rsid w:val="00AB00D2"/>
    <w:rsid w:val="00AB0428"/>
    <w:rsid w:val="00AB0449"/>
    <w:rsid w:val="00AB0518"/>
    <w:rsid w:val="00AB05E4"/>
    <w:rsid w:val="00AB05ED"/>
    <w:rsid w:val="00AB0683"/>
    <w:rsid w:val="00AB06A1"/>
    <w:rsid w:val="00AB070A"/>
    <w:rsid w:val="00AB0732"/>
    <w:rsid w:val="00AB0871"/>
    <w:rsid w:val="00AB0877"/>
    <w:rsid w:val="00AB09AD"/>
    <w:rsid w:val="00AB0AEB"/>
    <w:rsid w:val="00AB0BC2"/>
    <w:rsid w:val="00AB0DF7"/>
    <w:rsid w:val="00AB0EDE"/>
    <w:rsid w:val="00AB1010"/>
    <w:rsid w:val="00AB111D"/>
    <w:rsid w:val="00AB125A"/>
    <w:rsid w:val="00AB1345"/>
    <w:rsid w:val="00AB14AA"/>
    <w:rsid w:val="00AB14D3"/>
    <w:rsid w:val="00AB151F"/>
    <w:rsid w:val="00AB179B"/>
    <w:rsid w:val="00AB197C"/>
    <w:rsid w:val="00AB1997"/>
    <w:rsid w:val="00AB199E"/>
    <w:rsid w:val="00AB1A99"/>
    <w:rsid w:val="00AB1B2A"/>
    <w:rsid w:val="00AB1CE3"/>
    <w:rsid w:val="00AB1DA1"/>
    <w:rsid w:val="00AB1E01"/>
    <w:rsid w:val="00AB1F39"/>
    <w:rsid w:val="00AB220A"/>
    <w:rsid w:val="00AB230C"/>
    <w:rsid w:val="00AB2337"/>
    <w:rsid w:val="00AB2386"/>
    <w:rsid w:val="00AB2435"/>
    <w:rsid w:val="00AB2453"/>
    <w:rsid w:val="00AB24AE"/>
    <w:rsid w:val="00AB2547"/>
    <w:rsid w:val="00AB2673"/>
    <w:rsid w:val="00AB2959"/>
    <w:rsid w:val="00AB29AD"/>
    <w:rsid w:val="00AB2A59"/>
    <w:rsid w:val="00AB2AD8"/>
    <w:rsid w:val="00AB2C0A"/>
    <w:rsid w:val="00AB2DA9"/>
    <w:rsid w:val="00AB2E07"/>
    <w:rsid w:val="00AB2E89"/>
    <w:rsid w:val="00AB301D"/>
    <w:rsid w:val="00AB31DC"/>
    <w:rsid w:val="00AB337B"/>
    <w:rsid w:val="00AB34F3"/>
    <w:rsid w:val="00AB3552"/>
    <w:rsid w:val="00AB35E3"/>
    <w:rsid w:val="00AB37BE"/>
    <w:rsid w:val="00AB3903"/>
    <w:rsid w:val="00AB394D"/>
    <w:rsid w:val="00AB3A9B"/>
    <w:rsid w:val="00AB3ABE"/>
    <w:rsid w:val="00AB3CB9"/>
    <w:rsid w:val="00AB3ED8"/>
    <w:rsid w:val="00AB3FB0"/>
    <w:rsid w:val="00AB4089"/>
    <w:rsid w:val="00AB41B2"/>
    <w:rsid w:val="00AB43E8"/>
    <w:rsid w:val="00AB44F3"/>
    <w:rsid w:val="00AB466A"/>
    <w:rsid w:val="00AB47AE"/>
    <w:rsid w:val="00AB4823"/>
    <w:rsid w:val="00AB488A"/>
    <w:rsid w:val="00AB4A7F"/>
    <w:rsid w:val="00AB4BA8"/>
    <w:rsid w:val="00AB4C14"/>
    <w:rsid w:val="00AB4E2D"/>
    <w:rsid w:val="00AB4F4B"/>
    <w:rsid w:val="00AB4F53"/>
    <w:rsid w:val="00AB5052"/>
    <w:rsid w:val="00AB5461"/>
    <w:rsid w:val="00AB5560"/>
    <w:rsid w:val="00AB55DC"/>
    <w:rsid w:val="00AB59A0"/>
    <w:rsid w:val="00AB5A7D"/>
    <w:rsid w:val="00AB5B0B"/>
    <w:rsid w:val="00AB5B10"/>
    <w:rsid w:val="00AB5E52"/>
    <w:rsid w:val="00AB639D"/>
    <w:rsid w:val="00AB64B8"/>
    <w:rsid w:val="00AB6549"/>
    <w:rsid w:val="00AB65B3"/>
    <w:rsid w:val="00AB65D4"/>
    <w:rsid w:val="00AB663F"/>
    <w:rsid w:val="00AB6883"/>
    <w:rsid w:val="00AB6893"/>
    <w:rsid w:val="00AB6954"/>
    <w:rsid w:val="00AB6BE9"/>
    <w:rsid w:val="00AB6CA0"/>
    <w:rsid w:val="00AB6F1B"/>
    <w:rsid w:val="00AB70DD"/>
    <w:rsid w:val="00AB70E7"/>
    <w:rsid w:val="00AB7604"/>
    <w:rsid w:val="00AB78B5"/>
    <w:rsid w:val="00AB7934"/>
    <w:rsid w:val="00AB7C4F"/>
    <w:rsid w:val="00AB7D38"/>
    <w:rsid w:val="00AB7EAF"/>
    <w:rsid w:val="00AC055E"/>
    <w:rsid w:val="00AC0BC3"/>
    <w:rsid w:val="00AC0D63"/>
    <w:rsid w:val="00AC0E25"/>
    <w:rsid w:val="00AC0F0C"/>
    <w:rsid w:val="00AC10D5"/>
    <w:rsid w:val="00AC11C6"/>
    <w:rsid w:val="00AC11D8"/>
    <w:rsid w:val="00AC11F9"/>
    <w:rsid w:val="00AC12FF"/>
    <w:rsid w:val="00AC1375"/>
    <w:rsid w:val="00AC1569"/>
    <w:rsid w:val="00AC183C"/>
    <w:rsid w:val="00AC18B8"/>
    <w:rsid w:val="00AC194D"/>
    <w:rsid w:val="00AC1BDF"/>
    <w:rsid w:val="00AC1C0B"/>
    <w:rsid w:val="00AC1CE8"/>
    <w:rsid w:val="00AC1EFD"/>
    <w:rsid w:val="00AC1F53"/>
    <w:rsid w:val="00AC1FE3"/>
    <w:rsid w:val="00AC21E8"/>
    <w:rsid w:val="00AC21E9"/>
    <w:rsid w:val="00AC23A6"/>
    <w:rsid w:val="00AC2450"/>
    <w:rsid w:val="00AC25A4"/>
    <w:rsid w:val="00AC25E1"/>
    <w:rsid w:val="00AC26DD"/>
    <w:rsid w:val="00AC2794"/>
    <w:rsid w:val="00AC28F8"/>
    <w:rsid w:val="00AC2C0A"/>
    <w:rsid w:val="00AC31C0"/>
    <w:rsid w:val="00AC31FA"/>
    <w:rsid w:val="00AC365F"/>
    <w:rsid w:val="00AC3837"/>
    <w:rsid w:val="00AC3938"/>
    <w:rsid w:val="00AC4485"/>
    <w:rsid w:val="00AC4893"/>
    <w:rsid w:val="00AC4AE2"/>
    <w:rsid w:val="00AC4B55"/>
    <w:rsid w:val="00AC4DD3"/>
    <w:rsid w:val="00AC4E04"/>
    <w:rsid w:val="00AC4F37"/>
    <w:rsid w:val="00AC5061"/>
    <w:rsid w:val="00AC50F6"/>
    <w:rsid w:val="00AC5146"/>
    <w:rsid w:val="00AC529D"/>
    <w:rsid w:val="00AC54E5"/>
    <w:rsid w:val="00AC5526"/>
    <w:rsid w:val="00AC55E9"/>
    <w:rsid w:val="00AC5809"/>
    <w:rsid w:val="00AC58FC"/>
    <w:rsid w:val="00AC5918"/>
    <w:rsid w:val="00AC5B19"/>
    <w:rsid w:val="00AC5C66"/>
    <w:rsid w:val="00AC5C82"/>
    <w:rsid w:val="00AC643D"/>
    <w:rsid w:val="00AC648D"/>
    <w:rsid w:val="00AC692E"/>
    <w:rsid w:val="00AC6993"/>
    <w:rsid w:val="00AC6A0B"/>
    <w:rsid w:val="00AC6C10"/>
    <w:rsid w:val="00AC72A2"/>
    <w:rsid w:val="00AC750E"/>
    <w:rsid w:val="00AC757F"/>
    <w:rsid w:val="00AC76C7"/>
    <w:rsid w:val="00AC79A4"/>
    <w:rsid w:val="00AC7C24"/>
    <w:rsid w:val="00AC7C7F"/>
    <w:rsid w:val="00AC7CEE"/>
    <w:rsid w:val="00AC7E92"/>
    <w:rsid w:val="00AD0014"/>
    <w:rsid w:val="00AD038E"/>
    <w:rsid w:val="00AD0CB3"/>
    <w:rsid w:val="00AD0CC3"/>
    <w:rsid w:val="00AD0F6E"/>
    <w:rsid w:val="00AD1154"/>
    <w:rsid w:val="00AD1178"/>
    <w:rsid w:val="00AD1199"/>
    <w:rsid w:val="00AD1219"/>
    <w:rsid w:val="00AD127A"/>
    <w:rsid w:val="00AD12D3"/>
    <w:rsid w:val="00AD139A"/>
    <w:rsid w:val="00AD14F3"/>
    <w:rsid w:val="00AD15CC"/>
    <w:rsid w:val="00AD196E"/>
    <w:rsid w:val="00AD1A17"/>
    <w:rsid w:val="00AD1AFD"/>
    <w:rsid w:val="00AD1CF1"/>
    <w:rsid w:val="00AD1F9D"/>
    <w:rsid w:val="00AD209D"/>
    <w:rsid w:val="00AD2242"/>
    <w:rsid w:val="00AD25D9"/>
    <w:rsid w:val="00AD27B9"/>
    <w:rsid w:val="00AD2A57"/>
    <w:rsid w:val="00AD2A73"/>
    <w:rsid w:val="00AD2EA4"/>
    <w:rsid w:val="00AD32DC"/>
    <w:rsid w:val="00AD34DF"/>
    <w:rsid w:val="00AD3889"/>
    <w:rsid w:val="00AD38E6"/>
    <w:rsid w:val="00AD3978"/>
    <w:rsid w:val="00AD3A11"/>
    <w:rsid w:val="00AD3A2C"/>
    <w:rsid w:val="00AD3AA0"/>
    <w:rsid w:val="00AD3B0C"/>
    <w:rsid w:val="00AD3DC3"/>
    <w:rsid w:val="00AD3E43"/>
    <w:rsid w:val="00AD3E92"/>
    <w:rsid w:val="00AD41E6"/>
    <w:rsid w:val="00AD421A"/>
    <w:rsid w:val="00AD426E"/>
    <w:rsid w:val="00AD450C"/>
    <w:rsid w:val="00AD46C4"/>
    <w:rsid w:val="00AD489D"/>
    <w:rsid w:val="00AD48BE"/>
    <w:rsid w:val="00AD48F7"/>
    <w:rsid w:val="00AD521D"/>
    <w:rsid w:val="00AD562F"/>
    <w:rsid w:val="00AD57F5"/>
    <w:rsid w:val="00AD582A"/>
    <w:rsid w:val="00AD5B3C"/>
    <w:rsid w:val="00AD5C3E"/>
    <w:rsid w:val="00AD5E52"/>
    <w:rsid w:val="00AD5E69"/>
    <w:rsid w:val="00AD6024"/>
    <w:rsid w:val="00AD6027"/>
    <w:rsid w:val="00AD607B"/>
    <w:rsid w:val="00AD61F6"/>
    <w:rsid w:val="00AD6297"/>
    <w:rsid w:val="00AD62D6"/>
    <w:rsid w:val="00AD6394"/>
    <w:rsid w:val="00AD64E2"/>
    <w:rsid w:val="00AD664E"/>
    <w:rsid w:val="00AD66D1"/>
    <w:rsid w:val="00AD66EA"/>
    <w:rsid w:val="00AD68E0"/>
    <w:rsid w:val="00AD6D7F"/>
    <w:rsid w:val="00AD6D9D"/>
    <w:rsid w:val="00AD6DC0"/>
    <w:rsid w:val="00AD6F84"/>
    <w:rsid w:val="00AD7000"/>
    <w:rsid w:val="00AD720A"/>
    <w:rsid w:val="00AD72DD"/>
    <w:rsid w:val="00AD7422"/>
    <w:rsid w:val="00AD74C8"/>
    <w:rsid w:val="00AD7551"/>
    <w:rsid w:val="00AD760B"/>
    <w:rsid w:val="00AD7A52"/>
    <w:rsid w:val="00AD7AA1"/>
    <w:rsid w:val="00AD7C3D"/>
    <w:rsid w:val="00AD7DBC"/>
    <w:rsid w:val="00AD7FC2"/>
    <w:rsid w:val="00AE0178"/>
    <w:rsid w:val="00AE01C8"/>
    <w:rsid w:val="00AE02EE"/>
    <w:rsid w:val="00AE04A4"/>
    <w:rsid w:val="00AE0669"/>
    <w:rsid w:val="00AE08A2"/>
    <w:rsid w:val="00AE0D9E"/>
    <w:rsid w:val="00AE0E1F"/>
    <w:rsid w:val="00AE0EAE"/>
    <w:rsid w:val="00AE0F57"/>
    <w:rsid w:val="00AE0F58"/>
    <w:rsid w:val="00AE0FA6"/>
    <w:rsid w:val="00AE116C"/>
    <w:rsid w:val="00AE140E"/>
    <w:rsid w:val="00AE164C"/>
    <w:rsid w:val="00AE168E"/>
    <w:rsid w:val="00AE175D"/>
    <w:rsid w:val="00AE1C5B"/>
    <w:rsid w:val="00AE1CE2"/>
    <w:rsid w:val="00AE1DD5"/>
    <w:rsid w:val="00AE1EF4"/>
    <w:rsid w:val="00AE22F8"/>
    <w:rsid w:val="00AE2356"/>
    <w:rsid w:val="00AE235E"/>
    <w:rsid w:val="00AE2369"/>
    <w:rsid w:val="00AE24DC"/>
    <w:rsid w:val="00AE2645"/>
    <w:rsid w:val="00AE2772"/>
    <w:rsid w:val="00AE2931"/>
    <w:rsid w:val="00AE2A1A"/>
    <w:rsid w:val="00AE2CCF"/>
    <w:rsid w:val="00AE309B"/>
    <w:rsid w:val="00AE3128"/>
    <w:rsid w:val="00AE31A4"/>
    <w:rsid w:val="00AE3281"/>
    <w:rsid w:val="00AE34DD"/>
    <w:rsid w:val="00AE351D"/>
    <w:rsid w:val="00AE3579"/>
    <w:rsid w:val="00AE38B3"/>
    <w:rsid w:val="00AE3A03"/>
    <w:rsid w:val="00AE3C9C"/>
    <w:rsid w:val="00AE3D19"/>
    <w:rsid w:val="00AE3E49"/>
    <w:rsid w:val="00AE3EC9"/>
    <w:rsid w:val="00AE3F62"/>
    <w:rsid w:val="00AE40C5"/>
    <w:rsid w:val="00AE416F"/>
    <w:rsid w:val="00AE4195"/>
    <w:rsid w:val="00AE42F3"/>
    <w:rsid w:val="00AE4418"/>
    <w:rsid w:val="00AE44C0"/>
    <w:rsid w:val="00AE45C9"/>
    <w:rsid w:val="00AE45E0"/>
    <w:rsid w:val="00AE4684"/>
    <w:rsid w:val="00AE4930"/>
    <w:rsid w:val="00AE4943"/>
    <w:rsid w:val="00AE4967"/>
    <w:rsid w:val="00AE4D52"/>
    <w:rsid w:val="00AE4DA4"/>
    <w:rsid w:val="00AE4E16"/>
    <w:rsid w:val="00AE4E5E"/>
    <w:rsid w:val="00AE509D"/>
    <w:rsid w:val="00AE50C7"/>
    <w:rsid w:val="00AE59A3"/>
    <w:rsid w:val="00AE59AF"/>
    <w:rsid w:val="00AE5B50"/>
    <w:rsid w:val="00AE5DAE"/>
    <w:rsid w:val="00AE5E4E"/>
    <w:rsid w:val="00AE5F98"/>
    <w:rsid w:val="00AE60DF"/>
    <w:rsid w:val="00AE61D4"/>
    <w:rsid w:val="00AE620B"/>
    <w:rsid w:val="00AE6319"/>
    <w:rsid w:val="00AE64D7"/>
    <w:rsid w:val="00AE6723"/>
    <w:rsid w:val="00AE6742"/>
    <w:rsid w:val="00AE68CA"/>
    <w:rsid w:val="00AE6B55"/>
    <w:rsid w:val="00AE6EE1"/>
    <w:rsid w:val="00AE6F96"/>
    <w:rsid w:val="00AE70BD"/>
    <w:rsid w:val="00AE73BB"/>
    <w:rsid w:val="00AE745C"/>
    <w:rsid w:val="00AE77A1"/>
    <w:rsid w:val="00AE7977"/>
    <w:rsid w:val="00AE7A19"/>
    <w:rsid w:val="00AE7A27"/>
    <w:rsid w:val="00AE7AB5"/>
    <w:rsid w:val="00AE7B86"/>
    <w:rsid w:val="00AE7CB9"/>
    <w:rsid w:val="00AE7FAA"/>
    <w:rsid w:val="00AF0299"/>
    <w:rsid w:val="00AF035C"/>
    <w:rsid w:val="00AF0417"/>
    <w:rsid w:val="00AF0510"/>
    <w:rsid w:val="00AF0787"/>
    <w:rsid w:val="00AF0890"/>
    <w:rsid w:val="00AF08B5"/>
    <w:rsid w:val="00AF0A6B"/>
    <w:rsid w:val="00AF0A9C"/>
    <w:rsid w:val="00AF0B33"/>
    <w:rsid w:val="00AF0F06"/>
    <w:rsid w:val="00AF13C9"/>
    <w:rsid w:val="00AF141E"/>
    <w:rsid w:val="00AF14CF"/>
    <w:rsid w:val="00AF1676"/>
    <w:rsid w:val="00AF16A4"/>
    <w:rsid w:val="00AF1919"/>
    <w:rsid w:val="00AF19A1"/>
    <w:rsid w:val="00AF19B2"/>
    <w:rsid w:val="00AF19F1"/>
    <w:rsid w:val="00AF1B96"/>
    <w:rsid w:val="00AF1E3E"/>
    <w:rsid w:val="00AF21A3"/>
    <w:rsid w:val="00AF2305"/>
    <w:rsid w:val="00AF2568"/>
    <w:rsid w:val="00AF2670"/>
    <w:rsid w:val="00AF268C"/>
    <w:rsid w:val="00AF26F7"/>
    <w:rsid w:val="00AF291A"/>
    <w:rsid w:val="00AF2A93"/>
    <w:rsid w:val="00AF2AF0"/>
    <w:rsid w:val="00AF2B17"/>
    <w:rsid w:val="00AF2D44"/>
    <w:rsid w:val="00AF2D8A"/>
    <w:rsid w:val="00AF2DA7"/>
    <w:rsid w:val="00AF2F3C"/>
    <w:rsid w:val="00AF3166"/>
    <w:rsid w:val="00AF32B2"/>
    <w:rsid w:val="00AF354A"/>
    <w:rsid w:val="00AF3769"/>
    <w:rsid w:val="00AF3ACB"/>
    <w:rsid w:val="00AF3B4D"/>
    <w:rsid w:val="00AF3CAC"/>
    <w:rsid w:val="00AF3CEF"/>
    <w:rsid w:val="00AF3E4C"/>
    <w:rsid w:val="00AF3F4D"/>
    <w:rsid w:val="00AF4331"/>
    <w:rsid w:val="00AF461B"/>
    <w:rsid w:val="00AF46AA"/>
    <w:rsid w:val="00AF4A44"/>
    <w:rsid w:val="00AF4A91"/>
    <w:rsid w:val="00AF4AD0"/>
    <w:rsid w:val="00AF4C0E"/>
    <w:rsid w:val="00AF4DFC"/>
    <w:rsid w:val="00AF4ECC"/>
    <w:rsid w:val="00AF5255"/>
    <w:rsid w:val="00AF5267"/>
    <w:rsid w:val="00AF55A2"/>
    <w:rsid w:val="00AF55C9"/>
    <w:rsid w:val="00AF55F5"/>
    <w:rsid w:val="00AF5723"/>
    <w:rsid w:val="00AF5BCD"/>
    <w:rsid w:val="00AF5D6D"/>
    <w:rsid w:val="00AF5D98"/>
    <w:rsid w:val="00AF5F53"/>
    <w:rsid w:val="00AF602E"/>
    <w:rsid w:val="00AF6129"/>
    <w:rsid w:val="00AF617B"/>
    <w:rsid w:val="00AF6958"/>
    <w:rsid w:val="00AF69D0"/>
    <w:rsid w:val="00AF69DF"/>
    <w:rsid w:val="00AF6B24"/>
    <w:rsid w:val="00AF6DE5"/>
    <w:rsid w:val="00AF6E81"/>
    <w:rsid w:val="00AF6F84"/>
    <w:rsid w:val="00AF7307"/>
    <w:rsid w:val="00AF740A"/>
    <w:rsid w:val="00AF74A9"/>
    <w:rsid w:val="00AF7649"/>
    <w:rsid w:val="00AF7764"/>
    <w:rsid w:val="00AF79BE"/>
    <w:rsid w:val="00AF7A92"/>
    <w:rsid w:val="00AF7C24"/>
    <w:rsid w:val="00B001B4"/>
    <w:rsid w:val="00B001C1"/>
    <w:rsid w:val="00B002C6"/>
    <w:rsid w:val="00B00525"/>
    <w:rsid w:val="00B00563"/>
    <w:rsid w:val="00B005B9"/>
    <w:rsid w:val="00B0080B"/>
    <w:rsid w:val="00B00A7F"/>
    <w:rsid w:val="00B00AB6"/>
    <w:rsid w:val="00B00B68"/>
    <w:rsid w:val="00B00BF1"/>
    <w:rsid w:val="00B00F07"/>
    <w:rsid w:val="00B00FCC"/>
    <w:rsid w:val="00B010B9"/>
    <w:rsid w:val="00B014A0"/>
    <w:rsid w:val="00B01769"/>
    <w:rsid w:val="00B01A12"/>
    <w:rsid w:val="00B01B08"/>
    <w:rsid w:val="00B01BBF"/>
    <w:rsid w:val="00B01BF2"/>
    <w:rsid w:val="00B02188"/>
    <w:rsid w:val="00B021EB"/>
    <w:rsid w:val="00B02300"/>
    <w:rsid w:val="00B0260C"/>
    <w:rsid w:val="00B02897"/>
    <w:rsid w:val="00B028C5"/>
    <w:rsid w:val="00B029C9"/>
    <w:rsid w:val="00B02A1D"/>
    <w:rsid w:val="00B02AB1"/>
    <w:rsid w:val="00B02B5F"/>
    <w:rsid w:val="00B02E11"/>
    <w:rsid w:val="00B02EC1"/>
    <w:rsid w:val="00B02EDF"/>
    <w:rsid w:val="00B02F63"/>
    <w:rsid w:val="00B0309D"/>
    <w:rsid w:val="00B03481"/>
    <w:rsid w:val="00B0375D"/>
    <w:rsid w:val="00B03807"/>
    <w:rsid w:val="00B03866"/>
    <w:rsid w:val="00B03A57"/>
    <w:rsid w:val="00B03C76"/>
    <w:rsid w:val="00B03D85"/>
    <w:rsid w:val="00B03FBD"/>
    <w:rsid w:val="00B043F9"/>
    <w:rsid w:val="00B044C6"/>
    <w:rsid w:val="00B04609"/>
    <w:rsid w:val="00B04703"/>
    <w:rsid w:val="00B04792"/>
    <w:rsid w:val="00B0488C"/>
    <w:rsid w:val="00B04929"/>
    <w:rsid w:val="00B04997"/>
    <w:rsid w:val="00B04C0D"/>
    <w:rsid w:val="00B04E22"/>
    <w:rsid w:val="00B04EAB"/>
    <w:rsid w:val="00B04F5B"/>
    <w:rsid w:val="00B04F90"/>
    <w:rsid w:val="00B050A9"/>
    <w:rsid w:val="00B051E8"/>
    <w:rsid w:val="00B0534F"/>
    <w:rsid w:val="00B05558"/>
    <w:rsid w:val="00B0563A"/>
    <w:rsid w:val="00B056ED"/>
    <w:rsid w:val="00B0574D"/>
    <w:rsid w:val="00B0583B"/>
    <w:rsid w:val="00B05B1D"/>
    <w:rsid w:val="00B05B9A"/>
    <w:rsid w:val="00B05C11"/>
    <w:rsid w:val="00B06533"/>
    <w:rsid w:val="00B06603"/>
    <w:rsid w:val="00B06722"/>
    <w:rsid w:val="00B067ED"/>
    <w:rsid w:val="00B06841"/>
    <w:rsid w:val="00B06928"/>
    <w:rsid w:val="00B0694A"/>
    <w:rsid w:val="00B06B02"/>
    <w:rsid w:val="00B06D98"/>
    <w:rsid w:val="00B06EBA"/>
    <w:rsid w:val="00B0706D"/>
    <w:rsid w:val="00B070A0"/>
    <w:rsid w:val="00B074D8"/>
    <w:rsid w:val="00B076E7"/>
    <w:rsid w:val="00B079B9"/>
    <w:rsid w:val="00B079F9"/>
    <w:rsid w:val="00B07A82"/>
    <w:rsid w:val="00B07EB2"/>
    <w:rsid w:val="00B07F87"/>
    <w:rsid w:val="00B10519"/>
    <w:rsid w:val="00B10664"/>
    <w:rsid w:val="00B1069E"/>
    <w:rsid w:val="00B106C5"/>
    <w:rsid w:val="00B10ACB"/>
    <w:rsid w:val="00B10B52"/>
    <w:rsid w:val="00B10C20"/>
    <w:rsid w:val="00B1116B"/>
    <w:rsid w:val="00B11177"/>
    <w:rsid w:val="00B11415"/>
    <w:rsid w:val="00B1147E"/>
    <w:rsid w:val="00B1148D"/>
    <w:rsid w:val="00B115BA"/>
    <w:rsid w:val="00B1164A"/>
    <w:rsid w:val="00B117D2"/>
    <w:rsid w:val="00B117D8"/>
    <w:rsid w:val="00B118E3"/>
    <w:rsid w:val="00B11A6E"/>
    <w:rsid w:val="00B11D6E"/>
    <w:rsid w:val="00B11F67"/>
    <w:rsid w:val="00B11FF2"/>
    <w:rsid w:val="00B121A9"/>
    <w:rsid w:val="00B122E7"/>
    <w:rsid w:val="00B122F3"/>
    <w:rsid w:val="00B12349"/>
    <w:rsid w:val="00B1240E"/>
    <w:rsid w:val="00B1255A"/>
    <w:rsid w:val="00B128A4"/>
    <w:rsid w:val="00B12903"/>
    <w:rsid w:val="00B12AED"/>
    <w:rsid w:val="00B12B50"/>
    <w:rsid w:val="00B12C63"/>
    <w:rsid w:val="00B12E49"/>
    <w:rsid w:val="00B13079"/>
    <w:rsid w:val="00B1338D"/>
    <w:rsid w:val="00B133AC"/>
    <w:rsid w:val="00B13566"/>
    <w:rsid w:val="00B136DE"/>
    <w:rsid w:val="00B13733"/>
    <w:rsid w:val="00B13936"/>
    <w:rsid w:val="00B13A09"/>
    <w:rsid w:val="00B13ADC"/>
    <w:rsid w:val="00B13E6B"/>
    <w:rsid w:val="00B13FC4"/>
    <w:rsid w:val="00B14050"/>
    <w:rsid w:val="00B1418F"/>
    <w:rsid w:val="00B141F2"/>
    <w:rsid w:val="00B1454E"/>
    <w:rsid w:val="00B14A70"/>
    <w:rsid w:val="00B14B15"/>
    <w:rsid w:val="00B14C33"/>
    <w:rsid w:val="00B14DF1"/>
    <w:rsid w:val="00B14F48"/>
    <w:rsid w:val="00B14F4F"/>
    <w:rsid w:val="00B14FE9"/>
    <w:rsid w:val="00B15002"/>
    <w:rsid w:val="00B15087"/>
    <w:rsid w:val="00B15389"/>
    <w:rsid w:val="00B1551F"/>
    <w:rsid w:val="00B15996"/>
    <w:rsid w:val="00B15A38"/>
    <w:rsid w:val="00B15A5C"/>
    <w:rsid w:val="00B15AA9"/>
    <w:rsid w:val="00B15AFF"/>
    <w:rsid w:val="00B15D66"/>
    <w:rsid w:val="00B16375"/>
    <w:rsid w:val="00B1643E"/>
    <w:rsid w:val="00B1649D"/>
    <w:rsid w:val="00B165AF"/>
    <w:rsid w:val="00B166FE"/>
    <w:rsid w:val="00B16709"/>
    <w:rsid w:val="00B168A7"/>
    <w:rsid w:val="00B16992"/>
    <w:rsid w:val="00B169C7"/>
    <w:rsid w:val="00B16B25"/>
    <w:rsid w:val="00B170B8"/>
    <w:rsid w:val="00B17149"/>
    <w:rsid w:val="00B171B4"/>
    <w:rsid w:val="00B17418"/>
    <w:rsid w:val="00B17504"/>
    <w:rsid w:val="00B17702"/>
    <w:rsid w:val="00B17706"/>
    <w:rsid w:val="00B17859"/>
    <w:rsid w:val="00B17976"/>
    <w:rsid w:val="00B17A35"/>
    <w:rsid w:val="00B17B42"/>
    <w:rsid w:val="00B17D0F"/>
    <w:rsid w:val="00B17DFA"/>
    <w:rsid w:val="00B17E87"/>
    <w:rsid w:val="00B17EF5"/>
    <w:rsid w:val="00B2005B"/>
    <w:rsid w:val="00B2009A"/>
    <w:rsid w:val="00B200CB"/>
    <w:rsid w:val="00B2019B"/>
    <w:rsid w:val="00B2053B"/>
    <w:rsid w:val="00B2058E"/>
    <w:rsid w:val="00B2079F"/>
    <w:rsid w:val="00B207DA"/>
    <w:rsid w:val="00B20951"/>
    <w:rsid w:val="00B20A36"/>
    <w:rsid w:val="00B20B48"/>
    <w:rsid w:val="00B20CA2"/>
    <w:rsid w:val="00B20E44"/>
    <w:rsid w:val="00B20FD2"/>
    <w:rsid w:val="00B2110F"/>
    <w:rsid w:val="00B2111C"/>
    <w:rsid w:val="00B21126"/>
    <w:rsid w:val="00B21315"/>
    <w:rsid w:val="00B21417"/>
    <w:rsid w:val="00B21486"/>
    <w:rsid w:val="00B216A2"/>
    <w:rsid w:val="00B2175A"/>
    <w:rsid w:val="00B217AD"/>
    <w:rsid w:val="00B2181A"/>
    <w:rsid w:val="00B21860"/>
    <w:rsid w:val="00B21928"/>
    <w:rsid w:val="00B21985"/>
    <w:rsid w:val="00B219E7"/>
    <w:rsid w:val="00B21D1B"/>
    <w:rsid w:val="00B21D2A"/>
    <w:rsid w:val="00B21DD4"/>
    <w:rsid w:val="00B21E6F"/>
    <w:rsid w:val="00B21EEE"/>
    <w:rsid w:val="00B21F82"/>
    <w:rsid w:val="00B2222C"/>
    <w:rsid w:val="00B22240"/>
    <w:rsid w:val="00B223A6"/>
    <w:rsid w:val="00B223AC"/>
    <w:rsid w:val="00B224DE"/>
    <w:rsid w:val="00B224F9"/>
    <w:rsid w:val="00B226F8"/>
    <w:rsid w:val="00B22705"/>
    <w:rsid w:val="00B22C2C"/>
    <w:rsid w:val="00B22CC3"/>
    <w:rsid w:val="00B22D7D"/>
    <w:rsid w:val="00B22DAA"/>
    <w:rsid w:val="00B22F8E"/>
    <w:rsid w:val="00B231B1"/>
    <w:rsid w:val="00B232E9"/>
    <w:rsid w:val="00B2354B"/>
    <w:rsid w:val="00B23564"/>
    <w:rsid w:val="00B23574"/>
    <w:rsid w:val="00B2359C"/>
    <w:rsid w:val="00B235B5"/>
    <w:rsid w:val="00B23E5F"/>
    <w:rsid w:val="00B23F4C"/>
    <w:rsid w:val="00B240A2"/>
    <w:rsid w:val="00B241F5"/>
    <w:rsid w:val="00B242E1"/>
    <w:rsid w:val="00B24455"/>
    <w:rsid w:val="00B2453D"/>
    <w:rsid w:val="00B24588"/>
    <w:rsid w:val="00B2481B"/>
    <w:rsid w:val="00B24855"/>
    <w:rsid w:val="00B249E3"/>
    <w:rsid w:val="00B24A09"/>
    <w:rsid w:val="00B24ABE"/>
    <w:rsid w:val="00B24B35"/>
    <w:rsid w:val="00B24BDC"/>
    <w:rsid w:val="00B24C43"/>
    <w:rsid w:val="00B24C46"/>
    <w:rsid w:val="00B24D3F"/>
    <w:rsid w:val="00B24FE8"/>
    <w:rsid w:val="00B250CC"/>
    <w:rsid w:val="00B25156"/>
    <w:rsid w:val="00B2519B"/>
    <w:rsid w:val="00B25314"/>
    <w:rsid w:val="00B2544C"/>
    <w:rsid w:val="00B257AA"/>
    <w:rsid w:val="00B2599D"/>
    <w:rsid w:val="00B25A8D"/>
    <w:rsid w:val="00B25B4E"/>
    <w:rsid w:val="00B25CA5"/>
    <w:rsid w:val="00B25D1E"/>
    <w:rsid w:val="00B25DC3"/>
    <w:rsid w:val="00B25E2F"/>
    <w:rsid w:val="00B25E43"/>
    <w:rsid w:val="00B25FD3"/>
    <w:rsid w:val="00B26013"/>
    <w:rsid w:val="00B26163"/>
    <w:rsid w:val="00B2616B"/>
    <w:rsid w:val="00B26221"/>
    <w:rsid w:val="00B2632A"/>
    <w:rsid w:val="00B26397"/>
    <w:rsid w:val="00B264F2"/>
    <w:rsid w:val="00B26562"/>
    <w:rsid w:val="00B26694"/>
    <w:rsid w:val="00B26A05"/>
    <w:rsid w:val="00B26A4B"/>
    <w:rsid w:val="00B26AC3"/>
    <w:rsid w:val="00B26C1D"/>
    <w:rsid w:val="00B26ED6"/>
    <w:rsid w:val="00B26F4F"/>
    <w:rsid w:val="00B2704E"/>
    <w:rsid w:val="00B27245"/>
    <w:rsid w:val="00B2729E"/>
    <w:rsid w:val="00B272B5"/>
    <w:rsid w:val="00B27509"/>
    <w:rsid w:val="00B2758D"/>
    <w:rsid w:val="00B277F1"/>
    <w:rsid w:val="00B27A34"/>
    <w:rsid w:val="00B27B68"/>
    <w:rsid w:val="00B27B89"/>
    <w:rsid w:val="00B27B9C"/>
    <w:rsid w:val="00B27C39"/>
    <w:rsid w:val="00B27C4D"/>
    <w:rsid w:val="00B27FFC"/>
    <w:rsid w:val="00B301D8"/>
    <w:rsid w:val="00B30278"/>
    <w:rsid w:val="00B302B9"/>
    <w:rsid w:val="00B305E1"/>
    <w:rsid w:val="00B3076B"/>
    <w:rsid w:val="00B30951"/>
    <w:rsid w:val="00B30B03"/>
    <w:rsid w:val="00B30D8E"/>
    <w:rsid w:val="00B30FA3"/>
    <w:rsid w:val="00B3109D"/>
    <w:rsid w:val="00B311D2"/>
    <w:rsid w:val="00B31350"/>
    <w:rsid w:val="00B31397"/>
    <w:rsid w:val="00B31442"/>
    <w:rsid w:val="00B31864"/>
    <w:rsid w:val="00B31A67"/>
    <w:rsid w:val="00B31AC1"/>
    <w:rsid w:val="00B31D02"/>
    <w:rsid w:val="00B32023"/>
    <w:rsid w:val="00B32070"/>
    <w:rsid w:val="00B32170"/>
    <w:rsid w:val="00B3231E"/>
    <w:rsid w:val="00B32427"/>
    <w:rsid w:val="00B32504"/>
    <w:rsid w:val="00B3255A"/>
    <w:rsid w:val="00B3271F"/>
    <w:rsid w:val="00B32787"/>
    <w:rsid w:val="00B32868"/>
    <w:rsid w:val="00B32CC0"/>
    <w:rsid w:val="00B32E36"/>
    <w:rsid w:val="00B32F28"/>
    <w:rsid w:val="00B3312B"/>
    <w:rsid w:val="00B33335"/>
    <w:rsid w:val="00B333A6"/>
    <w:rsid w:val="00B33869"/>
    <w:rsid w:val="00B33872"/>
    <w:rsid w:val="00B338F4"/>
    <w:rsid w:val="00B338F9"/>
    <w:rsid w:val="00B339AB"/>
    <w:rsid w:val="00B33B73"/>
    <w:rsid w:val="00B33BB6"/>
    <w:rsid w:val="00B33C17"/>
    <w:rsid w:val="00B33C1F"/>
    <w:rsid w:val="00B33F01"/>
    <w:rsid w:val="00B342D9"/>
    <w:rsid w:val="00B3436F"/>
    <w:rsid w:val="00B3451E"/>
    <w:rsid w:val="00B34543"/>
    <w:rsid w:val="00B346E1"/>
    <w:rsid w:val="00B347FF"/>
    <w:rsid w:val="00B34B87"/>
    <w:rsid w:val="00B34C0D"/>
    <w:rsid w:val="00B34DAB"/>
    <w:rsid w:val="00B34E1E"/>
    <w:rsid w:val="00B34EE3"/>
    <w:rsid w:val="00B34EFB"/>
    <w:rsid w:val="00B34F5C"/>
    <w:rsid w:val="00B34F63"/>
    <w:rsid w:val="00B350F1"/>
    <w:rsid w:val="00B351ED"/>
    <w:rsid w:val="00B35362"/>
    <w:rsid w:val="00B3548A"/>
    <w:rsid w:val="00B35670"/>
    <w:rsid w:val="00B3568A"/>
    <w:rsid w:val="00B35914"/>
    <w:rsid w:val="00B359CD"/>
    <w:rsid w:val="00B359F3"/>
    <w:rsid w:val="00B35A9B"/>
    <w:rsid w:val="00B35C6F"/>
    <w:rsid w:val="00B35D64"/>
    <w:rsid w:val="00B36648"/>
    <w:rsid w:val="00B366CE"/>
    <w:rsid w:val="00B36817"/>
    <w:rsid w:val="00B369A7"/>
    <w:rsid w:val="00B369F6"/>
    <w:rsid w:val="00B36C21"/>
    <w:rsid w:val="00B36CEE"/>
    <w:rsid w:val="00B36DD9"/>
    <w:rsid w:val="00B36E81"/>
    <w:rsid w:val="00B373D3"/>
    <w:rsid w:val="00B37791"/>
    <w:rsid w:val="00B377B6"/>
    <w:rsid w:val="00B3796B"/>
    <w:rsid w:val="00B379E3"/>
    <w:rsid w:val="00B37B13"/>
    <w:rsid w:val="00B37D0A"/>
    <w:rsid w:val="00B37DC1"/>
    <w:rsid w:val="00B37E2F"/>
    <w:rsid w:val="00B37E57"/>
    <w:rsid w:val="00B4012B"/>
    <w:rsid w:val="00B401A1"/>
    <w:rsid w:val="00B4020A"/>
    <w:rsid w:val="00B403C0"/>
    <w:rsid w:val="00B40AFF"/>
    <w:rsid w:val="00B40B16"/>
    <w:rsid w:val="00B40CC0"/>
    <w:rsid w:val="00B40DE0"/>
    <w:rsid w:val="00B40E19"/>
    <w:rsid w:val="00B40E55"/>
    <w:rsid w:val="00B40EDB"/>
    <w:rsid w:val="00B410C1"/>
    <w:rsid w:val="00B412B1"/>
    <w:rsid w:val="00B413E4"/>
    <w:rsid w:val="00B41607"/>
    <w:rsid w:val="00B41769"/>
    <w:rsid w:val="00B41790"/>
    <w:rsid w:val="00B41A99"/>
    <w:rsid w:val="00B41AA0"/>
    <w:rsid w:val="00B41CB7"/>
    <w:rsid w:val="00B41EB9"/>
    <w:rsid w:val="00B42149"/>
    <w:rsid w:val="00B42168"/>
    <w:rsid w:val="00B421D0"/>
    <w:rsid w:val="00B421E6"/>
    <w:rsid w:val="00B42274"/>
    <w:rsid w:val="00B4241D"/>
    <w:rsid w:val="00B4262C"/>
    <w:rsid w:val="00B426F1"/>
    <w:rsid w:val="00B42766"/>
    <w:rsid w:val="00B42E0A"/>
    <w:rsid w:val="00B43126"/>
    <w:rsid w:val="00B4317A"/>
    <w:rsid w:val="00B431D5"/>
    <w:rsid w:val="00B43273"/>
    <w:rsid w:val="00B43534"/>
    <w:rsid w:val="00B43761"/>
    <w:rsid w:val="00B43772"/>
    <w:rsid w:val="00B43896"/>
    <w:rsid w:val="00B43D36"/>
    <w:rsid w:val="00B43DB9"/>
    <w:rsid w:val="00B43E35"/>
    <w:rsid w:val="00B43F28"/>
    <w:rsid w:val="00B440CB"/>
    <w:rsid w:val="00B441B6"/>
    <w:rsid w:val="00B443BF"/>
    <w:rsid w:val="00B4444C"/>
    <w:rsid w:val="00B445D8"/>
    <w:rsid w:val="00B445F9"/>
    <w:rsid w:val="00B44690"/>
    <w:rsid w:val="00B447CB"/>
    <w:rsid w:val="00B448AC"/>
    <w:rsid w:val="00B4493F"/>
    <w:rsid w:val="00B44E00"/>
    <w:rsid w:val="00B44E1E"/>
    <w:rsid w:val="00B44EF3"/>
    <w:rsid w:val="00B44F0B"/>
    <w:rsid w:val="00B450C6"/>
    <w:rsid w:val="00B450D7"/>
    <w:rsid w:val="00B451C0"/>
    <w:rsid w:val="00B454B6"/>
    <w:rsid w:val="00B45591"/>
    <w:rsid w:val="00B455FF"/>
    <w:rsid w:val="00B4563D"/>
    <w:rsid w:val="00B456D1"/>
    <w:rsid w:val="00B458A7"/>
    <w:rsid w:val="00B458E5"/>
    <w:rsid w:val="00B45A70"/>
    <w:rsid w:val="00B45B49"/>
    <w:rsid w:val="00B45FE2"/>
    <w:rsid w:val="00B46166"/>
    <w:rsid w:val="00B4619F"/>
    <w:rsid w:val="00B4622E"/>
    <w:rsid w:val="00B46295"/>
    <w:rsid w:val="00B46707"/>
    <w:rsid w:val="00B46B67"/>
    <w:rsid w:val="00B46BAF"/>
    <w:rsid w:val="00B46C51"/>
    <w:rsid w:val="00B46EC3"/>
    <w:rsid w:val="00B46FD2"/>
    <w:rsid w:val="00B47252"/>
    <w:rsid w:val="00B472A7"/>
    <w:rsid w:val="00B4732E"/>
    <w:rsid w:val="00B4755D"/>
    <w:rsid w:val="00B47A0D"/>
    <w:rsid w:val="00B47A88"/>
    <w:rsid w:val="00B47DEA"/>
    <w:rsid w:val="00B500EC"/>
    <w:rsid w:val="00B501C7"/>
    <w:rsid w:val="00B50514"/>
    <w:rsid w:val="00B505E7"/>
    <w:rsid w:val="00B5063C"/>
    <w:rsid w:val="00B50B94"/>
    <w:rsid w:val="00B50C90"/>
    <w:rsid w:val="00B50D7A"/>
    <w:rsid w:val="00B50ED4"/>
    <w:rsid w:val="00B50F06"/>
    <w:rsid w:val="00B511B1"/>
    <w:rsid w:val="00B511C6"/>
    <w:rsid w:val="00B5128D"/>
    <w:rsid w:val="00B51AA1"/>
    <w:rsid w:val="00B51B88"/>
    <w:rsid w:val="00B51BEE"/>
    <w:rsid w:val="00B51C5B"/>
    <w:rsid w:val="00B51EB3"/>
    <w:rsid w:val="00B521E0"/>
    <w:rsid w:val="00B522B0"/>
    <w:rsid w:val="00B5232C"/>
    <w:rsid w:val="00B524C1"/>
    <w:rsid w:val="00B5275C"/>
    <w:rsid w:val="00B52768"/>
    <w:rsid w:val="00B529B7"/>
    <w:rsid w:val="00B52C89"/>
    <w:rsid w:val="00B52CC2"/>
    <w:rsid w:val="00B52EC5"/>
    <w:rsid w:val="00B52F7A"/>
    <w:rsid w:val="00B53072"/>
    <w:rsid w:val="00B5317F"/>
    <w:rsid w:val="00B533CB"/>
    <w:rsid w:val="00B53538"/>
    <w:rsid w:val="00B53765"/>
    <w:rsid w:val="00B53815"/>
    <w:rsid w:val="00B539EE"/>
    <w:rsid w:val="00B53A0E"/>
    <w:rsid w:val="00B53A21"/>
    <w:rsid w:val="00B53ABF"/>
    <w:rsid w:val="00B53B49"/>
    <w:rsid w:val="00B53C70"/>
    <w:rsid w:val="00B53D3E"/>
    <w:rsid w:val="00B53D48"/>
    <w:rsid w:val="00B53E3D"/>
    <w:rsid w:val="00B53F1B"/>
    <w:rsid w:val="00B54182"/>
    <w:rsid w:val="00B5455A"/>
    <w:rsid w:val="00B548FA"/>
    <w:rsid w:val="00B549B5"/>
    <w:rsid w:val="00B54A0A"/>
    <w:rsid w:val="00B54AB7"/>
    <w:rsid w:val="00B54B22"/>
    <w:rsid w:val="00B54CCC"/>
    <w:rsid w:val="00B54D40"/>
    <w:rsid w:val="00B54D4F"/>
    <w:rsid w:val="00B54DED"/>
    <w:rsid w:val="00B54E94"/>
    <w:rsid w:val="00B54F71"/>
    <w:rsid w:val="00B54FA2"/>
    <w:rsid w:val="00B550F6"/>
    <w:rsid w:val="00B55124"/>
    <w:rsid w:val="00B55154"/>
    <w:rsid w:val="00B5519E"/>
    <w:rsid w:val="00B55212"/>
    <w:rsid w:val="00B554F5"/>
    <w:rsid w:val="00B55568"/>
    <w:rsid w:val="00B55693"/>
    <w:rsid w:val="00B55857"/>
    <w:rsid w:val="00B55A3E"/>
    <w:rsid w:val="00B55C93"/>
    <w:rsid w:val="00B55D58"/>
    <w:rsid w:val="00B55EB8"/>
    <w:rsid w:val="00B55EE4"/>
    <w:rsid w:val="00B56008"/>
    <w:rsid w:val="00B5646C"/>
    <w:rsid w:val="00B56826"/>
    <w:rsid w:val="00B56835"/>
    <w:rsid w:val="00B569AB"/>
    <w:rsid w:val="00B569AC"/>
    <w:rsid w:val="00B569E8"/>
    <w:rsid w:val="00B56B7E"/>
    <w:rsid w:val="00B56D02"/>
    <w:rsid w:val="00B56FF3"/>
    <w:rsid w:val="00B570D9"/>
    <w:rsid w:val="00B57138"/>
    <w:rsid w:val="00B5771A"/>
    <w:rsid w:val="00B57758"/>
    <w:rsid w:val="00B577D3"/>
    <w:rsid w:val="00B578A4"/>
    <w:rsid w:val="00B57AC6"/>
    <w:rsid w:val="00B57AFD"/>
    <w:rsid w:val="00B57C94"/>
    <w:rsid w:val="00B57DE0"/>
    <w:rsid w:val="00B57EA9"/>
    <w:rsid w:val="00B57ECC"/>
    <w:rsid w:val="00B57EFB"/>
    <w:rsid w:val="00B60021"/>
    <w:rsid w:val="00B6042A"/>
    <w:rsid w:val="00B60641"/>
    <w:rsid w:val="00B6079D"/>
    <w:rsid w:val="00B6090A"/>
    <w:rsid w:val="00B60AD4"/>
    <w:rsid w:val="00B60BA5"/>
    <w:rsid w:val="00B60BBF"/>
    <w:rsid w:val="00B60C3A"/>
    <w:rsid w:val="00B611FC"/>
    <w:rsid w:val="00B61396"/>
    <w:rsid w:val="00B6147B"/>
    <w:rsid w:val="00B614F1"/>
    <w:rsid w:val="00B6164D"/>
    <w:rsid w:val="00B619E5"/>
    <w:rsid w:val="00B61C1D"/>
    <w:rsid w:val="00B61FA2"/>
    <w:rsid w:val="00B62010"/>
    <w:rsid w:val="00B62050"/>
    <w:rsid w:val="00B62166"/>
    <w:rsid w:val="00B62265"/>
    <w:rsid w:val="00B625CB"/>
    <w:rsid w:val="00B62660"/>
    <w:rsid w:val="00B62663"/>
    <w:rsid w:val="00B627EA"/>
    <w:rsid w:val="00B62ACF"/>
    <w:rsid w:val="00B62F2A"/>
    <w:rsid w:val="00B62FB8"/>
    <w:rsid w:val="00B63126"/>
    <w:rsid w:val="00B634E9"/>
    <w:rsid w:val="00B6377A"/>
    <w:rsid w:val="00B6387C"/>
    <w:rsid w:val="00B63B32"/>
    <w:rsid w:val="00B63E9E"/>
    <w:rsid w:val="00B63FFF"/>
    <w:rsid w:val="00B64000"/>
    <w:rsid w:val="00B64046"/>
    <w:rsid w:val="00B640AC"/>
    <w:rsid w:val="00B641F8"/>
    <w:rsid w:val="00B6421E"/>
    <w:rsid w:val="00B64372"/>
    <w:rsid w:val="00B64399"/>
    <w:rsid w:val="00B64492"/>
    <w:rsid w:val="00B645CE"/>
    <w:rsid w:val="00B64996"/>
    <w:rsid w:val="00B64A51"/>
    <w:rsid w:val="00B64B8D"/>
    <w:rsid w:val="00B64C35"/>
    <w:rsid w:val="00B64C61"/>
    <w:rsid w:val="00B64E25"/>
    <w:rsid w:val="00B6500D"/>
    <w:rsid w:val="00B65062"/>
    <w:rsid w:val="00B651D4"/>
    <w:rsid w:val="00B652E0"/>
    <w:rsid w:val="00B65352"/>
    <w:rsid w:val="00B6546D"/>
    <w:rsid w:val="00B65502"/>
    <w:rsid w:val="00B657BE"/>
    <w:rsid w:val="00B658A7"/>
    <w:rsid w:val="00B6595E"/>
    <w:rsid w:val="00B659AA"/>
    <w:rsid w:val="00B65A16"/>
    <w:rsid w:val="00B65F29"/>
    <w:rsid w:val="00B65F66"/>
    <w:rsid w:val="00B65F95"/>
    <w:rsid w:val="00B65FE4"/>
    <w:rsid w:val="00B66285"/>
    <w:rsid w:val="00B662DA"/>
    <w:rsid w:val="00B665AA"/>
    <w:rsid w:val="00B667CE"/>
    <w:rsid w:val="00B66865"/>
    <w:rsid w:val="00B669B6"/>
    <w:rsid w:val="00B66ABD"/>
    <w:rsid w:val="00B66D85"/>
    <w:rsid w:val="00B66E48"/>
    <w:rsid w:val="00B66E5B"/>
    <w:rsid w:val="00B66F8F"/>
    <w:rsid w:val="00B67084"/>
    <w:rsid w:val="00B671A4"/>
    <w:rsid w:val="00B67296"/>
    <w:rsid w:val="00B6752C"/>
    <w:rsid w:val="00B6767D"/>
    <w:rsid w:val="00B67D5E"/>
    <w:rsid w:val="00B67D60"/>
    <w:rsid w:val="00B70119"/>
    <w:rsid w:val="00B701BE"/>
    <w:rsid w:val="00B70674"/>
    <w:rsid w:val="00B70B3E"/>
    <w:rsid w:val="00B70CC5"/>
    <w:rsid w:val="00B70D68"/>
    <w:rsid w:val="00B70DDD"/>
    <w:rsid w:val="00B70E9F"/>
    <w:rsid w:val="00B70F8F"/>
    <w:rsid w:val="00B71238"/>
    <w:rsid w:val="00B7125C"/>
    <w:rsid w:val="00B714EB"/>
    <w:rsid w:val="00B7158F"/>
    <w:rsid w:val="00B7164B"/>
    <w:rsid w:val="00B716B5"/>
    <w:rsid w:val="00B71A23"/>
    <w:rsid w:val="00B71A67"/>
    <w:rsid w:val="00B71E0B"/>
    <w:rsid w:val="00B71E11"/>
    <w:rsid w:val="00B71F09"/>
    <w:rsid w:val="00B71F6C"/>
    <w:rsid w:val="00B720F1"/>
    <w:rsid w:val="00B7217A"/>
    <w:rsid w:val="00B7228A"/>
    <w:rsid w:val="00B7265A"/>
    <w:rsid w:val="00B72851"/>
    <w:rsid w:val="00B72B29"/>
    <w:rsid w:val="00B72B4B"/>
    <w:rsid w:val="00B72BBD"/>
    <w:rsid w:val="00B72FFF"/>
    <w:rsid w:val="00B73010"/>
    <w:rsid w:val="00B732F1"/>
    <w:rsid w:val="00B73311"/>
    <w:rsid w:val="00B73393"/>
    <w:rsid w:val="00B734BE"/>
    <w:rsid w:val="00B7350C"/>
    <w:rsid w:val="00B735C7"/>
    <w:rsid w:val="00B73896"/>
    <w:rsid w:val="00B73A71"/>
    <w:rsid w:val="00B74307"/>
    <w:rsid w:val="00B743A0"/>
    <w:rsid w:val="00B74487"/>
    <w:rsid w:val="00B745B6"/>
    <w:rsid w:val="00B746F2"/>
    <w:rsid w:val="00B747AD"/>
    <w:rsid w:val="00B748E3"/>
    <w:rsid w:val="00B74B95"/>
    <w:rsid w:val="00B74BDB"/>
    <w:rsid w:val="00B74BE0"/>
    <w:rsid w:val="00B74CDA"/>
    <w:rsid w:val="00B7504D"/>
    <w:rsid w:val="00B751C2"/>
    <w:rsid w:val="00B751F9"/>
    <w:rsid w:val="00B75249"/>
    <w:rsid w:val="00B75360"/>
    <w:rsid w:val="00B75AA3"/>
    <w:rsid w:val="00B75B33"/>
    <w:rsid w:val="00B75CDF"/>
    <w:rsid w:val="00B75D6F"/>
    <w:rsid w:val="00B75DCF"/>
    <w:rsid w:val="00B75F13"/>
    <w:rsid w:val="00B75F1B"/>
    <w:rsid w:val="00B7603F"/>
    <w:rsid w:val="00B7608F"/>
    <w:rsid w:val="00B7653B"/>
    <w:rsid w:val="00B7662E"/>
    <w:rsid w:val="00B76C94"/>
    <w:rsid w:val="00B76EBA"/>
    <w:rsid w:val="00B76F8F"/>
    <w:rsid w:val="00B7719F"/>
    <w:rsid w:val="00B771EA"/>
    <w:rsid w:val="00B772AB"/>
    <w:rsid w:val="00B775C8"/>
    <w:rsid w:val="00B77674"/>
    <w:rsid w:val="00B776B8"/>
    <w:rsid w:val="00B77732"/>
    <w:rsid w:val="00B777E4"/>
    <w:rsid w:val="00B7780C"/>
    <w:rsid w:val="00B77866"/>
    <w:rsid w:val="00B7791B"/>
    <w:rsid w:val="00B77B40"/>
    <w:rsid w:val="00B800BB"/>
    <w:rsid w:val="00B80181"/>
    <w:rsid w:val="00B801CB"/>
    <w:rsid w:val="00B802AA"/>
    <w:rsid w:val="00B8039F"/>
    <w:rsid w:val="00B806FF"/>
    <w:rsid w:val="00B8076B"/>
    <w:rsid w:val="00B807C9"/>
    <w:rsid w:val="00B8083D"/>
    <w:rsid w:val="00B80870"/>
    <w:rsid w:val="00B80AD0"/>
    <w:rsid w:val="00B80BE2"/>
    <w:rsid w:val="00B80F4A"/>
    <w:rsid w:val="00B8115C"/>
    <w:rsid w:val="00B81258"/>
    <w:rsid w:val="00B8130C"/>
    <w:rsid w:val="00B81318"/>
    <w:rsid w:val="00B813BC"/>
    <w:rsid w:val="00B813BE"/>
    <w:rsid w:val="00B81462"/>
    <w:rsid w:val="00B8171D"/>
    <w:rsid w:val="00B8177A"/>
    <w:rsid w:val="00B817AD"/>
    <w:rsid w:val="00B818B2"/>
    <w:rsid w:val="00B818C3"/>
    <w:rsid w:val="00B81DAD"/>
    <w:rsid w:val="00B82086"/>
    <w:rsid w:val="00B820F9"/>
    <w:rsid w:val="00B821F4"/>
    <w:rsid w:val="00B8221A"/>
    <w:rsid w:val="00B8238C"/>
    <w:rsid w:val="00B823A4"/>
    <w:rsid w:val="00B825B1"/>
    <w:rsid w:val="00B825B9"/>
    <w:rsid w:val="00B82810"/>
    <w:rsid w:val="00B82966"/>
    <w:rsid w:val="00B82A85"/>
    <w:rsid w:val="00B82B1E"/>
    <w:rsid w:val="00B82C30"/>
    <w:rsid w:val="00B82CBE"/>
    <w:rsid w:val="00B82D04"/>
    <w:rsid w:val="00B82E48"/>
    <w:rsid w:val="00B830C3"/>
    <w:rsid w:val="00B83119"/>
    <w:rsid w:val="00B8313E"/>
    <w:rsid w:val="00B8318E"/>
    <w:rsid w:val="00B83197"/>
    <w:rsid w:val="00B831EF"/>
    <w:rsid w:val="00B833D4"/>
    <w:rsid w:val="00B8368E"/>
    <w:rsid w:val="00B83870"/>
    <w:rsid w:val="00B8387F"/>
    <w:rsid w:val="00B83A4D"/>
    <w:rsid w:val="00B83AC9"/>
    <w:rsid w:val="00B83AFF"/>
    <w:rsid w:val="00B83E11"/>
    <w:rsid w:val="00B83E89"/>
    <w:rsid w:val="00B83F50"/>
    <w:rsid w:val="00B842F3"/>
    <w:rsid w:val="00B84624"/>
    <w:rsid w:val="00B848ED"/>
    <w:rsid w:val="00B84B67"/>
    <w:rsid w:val="00B84C99"/>
    <w:rsid w:val="00B84D46"/>
    <w:rsid w:val="00B84E27"/>
    <w:rsid w:val="00B84E92"/>
    <w:rsid w:val="00B85180"/>
    <w:rsid w:val="00B851C0"/>
    <w:rsid w:val="00B85256"/>
    <w:rsid w:val="00B85527"/>
    <w:rsid w:val="00B85826"/>
    <w:rsid w:val="00B8589D"/>
    <w:rsid w:val="00B85ADF"/>
    <w:rsid w:val="00B85F3A"/>
    <w:rsid w:val="00B860F0"/>
    <w:rsid w:val="00B86153"/>
    <w:rsid w:val="00B86296"/>
    <w:rsid w:val="00B863D9"/>
    <w:rsid w:val="00B86702"/>
    <w:rsid w:val="00B867EB"/>
    <w:rsid w:val="00B86A51"/>
    <w:rsid w:val="00B86A85"/>
    <w:rsid w:val="00B86B33"/>
    <w:rsid w:val="00B86D74"/>
    <w:rsid w:val="00B86DB6"/>
    <w:rsid w:val="00B8708C"/>
    <w:rsid w:val="00B871EB"/>
    <w:rsid w:val="00B872EC"/>
    <w:rsid w:val="00B8737F"/>
    <w:rsid w:val="00B87601"/>
    <w:rsid w:val="00B87618"/>
    <w:rsid w:val="00B8766B"/>
    <w:rsid w:val="00B87705"/>
    <w:rsid w:val="00B877E2"/>
    <w:rsid w:val="00B87861"/>
    <w:rsid w:val="00B878CE"/>
    <w:rsid w:val="00B87A14"/>
    <w:rsid w:val="00B87C3D"/>
    <w:rsid w:val="00B87F50"/>
    <w:rsid w:val="00B87F5E"/>
    <w:rsid w:val="00B87F83"/>
    <w:rsid w:val="00B87FBF"/>
    <w:rsid w:val="00B90088"/>
    <w:rsid w:val="00B9062E"/>
    <w:rsid w:val="00B9067E"/>
    <w:rsid w:val="00B9069C"/>
    <w:rsid w:val="00B906DF"/>
    <w:rsid w:val="00B90926"/>
    <w:rsid w:val="00B90BC6"/>
    <w:rsid w:val="00B90BCF"/>
    <w:rsid w:val="00B90BEE"/>
    <w:rsid w:val="00B90CEF"/>
    <w:rsid w:val="00B90E69"/>
    <w:rsid w:val="00B90F44"/>
    <w:rsid w:val="00B90FD3"/>
    <w:rsid w:val="00B91263"/>
    <w:rsid w:val="00B912D5"/>
    <w:rsid w:val="00B913A5"/>
    <w:rsid w:val="00B91418"/>
    <w:rsid w:val="00B9142B"/>
    <w:rsid w:val="00B91485"/>
    <w:rsid w:val="00B914BD"/>
    <w:rsid w:val="00B9158B"/>
    <w:rsid w:val="00B915DA"/>
    <w:rsid w:val="00B91775"/>
    <w:rsid w:val="00B9185C"/>
    <w:rsid w:val="00B91897"/>
    <w:rsid w:val="00B91904"/>
    <w:rsid w:val="00B91BE2"/>
    <w:rsid w:val="00B921FC"/>
    <w:rsid w:val="00B92232"/>
    <w:rsid w:val="00B9223D"/>
    <w:rsid w:val="00B9228F"/>
    <w:rsid w:val="00B9229A"/>
    <w:rsid w:val="00B922C7"/>
    <w:rsid w:val="00B9265B"/>
    <w:rsid w:val="00B927E5"/>
    <w:rsid w:val="00B9280A"/>
    <w:rsid w:val="00B928FA"/>
    <w:rsid w:val="00B929C7"/>
    <w:rsid w:val="00B92B81"/>
    <w:rsid w:val="00B92F34"/>
    <w:rsid w:val="00B933AD"/>
    <w:rsid w:val="00B93434"/>
    <w:rsid w:val="00B93449"/>
    <w:rsid w:val="00B9348D"/>
    <w:rsid w:val="00B93587"/>
    <w:rsid w:val="00B935BC"/>
    <w:rsid w:val="00B93736"/>
    <w:rsid w:val="00B9375B"/>
    <w:rsid w:val="00B93760"/>
    <w:rsid w:val="00B93874"/>
    <w:rsid w:val="00B93BCA"/>
    <w:rsid w:val="00B93E4E"/>
    <w:rsid w:val="00B93F02"/>
    <w:rsid w:val="00B9433B"/>
    <w:rsid w:val="00B94578"/>
    <w:rsid w:val="00B94752"/>
    <w:rsid w:val="00B9488C"/>
    <w:rsid w:val="00B94CB3"/>
    <w:rsid w:val="00B94E6C"/>
    <w:rsid w:val="00B94FC2"/>
    <w:rsid w:val="00B94FFE"/>
    <w:rsid w:val="00B95064"/>
    <w:rsid w:val="00B9541B"/>
    <w:rsid w:val="00B955DC"/>
    <w:rsid w:val="00B958C2"/>
    <w:rsid w:val="00B95A61"/>
    <w:rsid w:val="00B95A67"/>
    <w:rsid w:val="00B95A89"/>
    <w:rsid w:val="00B95BEB"/>
    <w:rsid w:val="00B95C85"/>
    <w:rsid w:val="00B95EDF"/>
    <w:rsid w:val="00B960AD"/>
    <w:rsid w:val="00B96196"/>
    <w:rsid w:val="00B96299"/>
    <w:rsid w:val="00B9641A"/>
    <w:rsid w:val="00B9649C"/>
    <w:rsid w:val="00B96789"/>
    <w:rsid w:val="00B968D9"/>
    <w:rsid w:val="00B96929"/>
    <w:rsid w:val="00B969E7"/>
    <w:rsid w:val="00B96D25"/>
    <w:rsid w:val="00B96D39"/>
    <w:rsid w:val="00B96E5D"/>
    <w:rsid w:val="00B96E6A"/>
    <w:rsid w:val="00B96FCD"/>
    <w:rsid w:val="00B96FE7"/>
    <w:rsid w:val="00B97001"/>
    <w:rsid w:val="00B970BC"/>
    <w:rsid w:val="00B9723B"/>
    <w:rsid w:val="00B97421"/>
    <w:rsid w:val="00B975F3"/>
    <w:rsid w:val="00B978D8"/>
    <w:rsid w:val="00B97A87"/>
    <w:rsid w:val="00B97FF2"/>
    <w:rsid w:val="00BA02FB"/>
    <w:rsid w:val="00BA0321"/>
    <w:rsid w:val="00BA03CA"/>
    <w:rsid w:val="00BA0432"/>
    <w:rsid w:val="00BA043A"/>
    <w:rsid w:val="00BA044D"/>
    <w:rsid w:val="00BA0604"/>
    <w:rsid w:val="00BA07E0"/>
    <w:rsid w:val="00BA09D6"/>
    <w:rsid w:val="00BA0BF4"/>
    <w:rsid w:val="00BA10A9"/>
    <w:rsid w:val="00BA10FB"/>
    <w:rsid w:val="00BA110F"/>
    <w:rsid w:val="00BA12D8"/>
    <w:rsid w:val="00BA13E9"/>
    <w:rsid w:val="00BA18D5"/>
    <w:rsid w:val="00BA190D"/>
    <w:rsid w:val="00BA1C64"/>
    <w:rsid w:val="00BA1C98"/>
    <w:rsid w:val="00BA1E11"/>
    <w:rsid w:val="00BA1E22"/>
    <w:rsid w:val="00BA1F78"/>
    <w:rsid w:val="00BA2344"/>
    <w:rsid w:val="00BA23A0"/>
    <w:rsid w:val="00BA23E4"/>
    <w:rsid w:val="00BA2607"/>
    <w:rsid w:val="00BA264B"/>
    <w:rsid w:val="00BA2650"/>
    <w:rsid w:val="00BA2687"/>
    <w:rsid w:val="00BA28E0"/>
    <w:rsid w:val="00BA29A2"/>
    <w:rsid w:val="00BA2B7F"/>
    <w:rsid w:val="00BA2CCE"/>
    <w:rsid w:val="00BA2CDB"/>
    <w:rsid w:val="00BA2EFD"/>
    <w:rsid w:val="00BA2FB4"/>
    <w:rsid w:val="00BA3342"/>
    <w:rsid w:val="00BA3470"/>
    <w:rsid w:val="00BA351B"/>
    <w:rsid w:val="00BA369C"/>
    <w:rsid w:val="00BA3C26"/>
    <w:rsid w:val="00BA3E0F"/>
    <w:rsid w:val="00BA3EED"/>
    <w:rsid w:val="00BA405D"/>
    <w:rsid w:val="00BA4098"/>
    <w:rsid w:val="00BA41B3"/>
    <w:rsid w:val="00BA41B9"/>
    <w:rsid w:val="00BA455B"/>
    <w:rsid w:val="00BA46F6"/>
    <w:rsid w:val="00BA473E"/>
    <w:rsid w:val="00BA47A1"/>
    <w:rsid w:val="00BA47D0"/>
    <w:rsid w:val="00BA48D6"/>
    <w:rsid w:val="00BA4B54"/>
    <w:rsid w:val="00BA4BED"/>
    <w:rsid w:val="00BA5175"/>
    <w:rsid w:val="00BA5215"/>
    <w:rsid w:val="00BA52BE"/>
    <w:rsid w:val="00BA532C"/>
    <w:rsid w:val="00BA53DD"/>
    <w:rsid w:val="00BA5471"/>
    <w:rsid w:val="00BA54A0"/>
    <w:rsid w:val="00BA5549"/>
    <w:rsid w:val="00BA56E0"/>
    <w:rsid w:val="00BA5772"/>
    <w:rsid w:val="00BA57DE"/>
    <w:rsid w:val="00BA593A"/>
    <w:rsid w:val="00BA59D3"/>
    <w:rsid w:val="00BA5AAC"/>
    <w:rsid w:val="00BA5DAF"/>
    <w:rsid w:val="00BA5DB0"/>
    <w:rsid w:val="00BA5DE6"/>
    <w:rsid w:val="00BA5F34"/>
    <w:rsid w:val="00BA5FD5"/>
    <w:rsid w:val="00BA5FE0"/>
    <w:rsid w:val="00BA60DA"/>
    <w:rsid w:val="00BA6139"/>
    <w:rsid w:val="00BA6144"/>
    <w:rsid w:val="00BA6151"/>
    <w:rsid w:val="00BA628C"/>
    <w:rsid w:val="00BA6670"/>
    <w:rsid w:val="00BA6730"/>
    <w:rsid w:val="00BA6A7E"/>
    <w:rsid w:val="00BA7041"/>
    <w:rsid w:val="00BA7478"/>
    <w:rsid w:val="00BA7594"/>
    <w:rsid w:val="00BA7688"/>
    <w:rsid w:val="00BA7B9B"/>
    <w:rsid w:val="00BA7D40"/>
    <w:rsid w:val="00BA7E63"/>
    <w:rsid w:val="00BB0010"/>
    <w:rsid w:val="00BB023A"/>
    <w:rsid w:val="00BB034D"/>
    <w:rsid w:val="00BB0667"/>
    <w:rsid w:val="00BB0A2E"/>
    <w:rsid w:val="00BB0C59"/>
    <w:rsid w:val="00BB0D2F"/>
    <w:rsid w:val="00BB0E98"/>
    <w:rsid w:val="00BB0F24"/>
    <w:rsid w:val="00BB0FEF"/>
    <w:rsid w:val="00BB101C"/>
    <w:rsid w:val="00BB1078"/>
    <w:rsid w:val="00BB17DF"/>
    <w:rsid w:val="00BB1845"/>
    <w:rsid w:val="00BB1AA7"/>
    <w:rsid w:val="00BB1DCA"/>
    <w:rsid w:val="00BB1F46"/>
    <w:rsid w:val="00BB1F79"/>
    <w:rsid w:val="00BB1F8E"/>
    <w:rsid w:val="00BB2003"/>
    <w:rsid w:val="00BB21BC"/>
    <w:rsid w:val="00BB22E5"/>
    <w:rsid w:val="00BB2380"/>
    <w:rsid w:val="00BB2961"/>
    <w:rsid w:val="00BB2A00"/>
    <w:rsid w:val="00BB2AD1"/>
    <w:rsid w:val="00BB2C67"/>
    <w:rsid w:val="00BB2E57"/>
    <w:rsid w:val="00BB2E85"/>
    <w:rsid w:val="00BB2EAA"/>
    <w:rsid w:val="00BB30B7"/>
    <w:rsid w:val="00BB31DB"/>
    <w:rsid w:val="00BB3463"/>
    <w:rsid w:val="00BB3499"/>
    <w:rsid w:val="00BB34BA"/>
    <w:rsid w:val="00BB3563"/>
    <w:rsid w:val="00BB3786"/>
    <w:rsid w:val="00BB379F"/>
    <w:rsid w:val="00BB37F8"/>
    <w:rsid w:val="00BB383A"/>
    <w:rsid w:val="00BB39BF"/>
    <w:rsid w:val="00BB3A49"/>
    <w:rsid w:val="00BB3BE0"/>
    <w:rsid w:val="00BB3BE8"/>
    <w:rsid w:val="00BB3D0F"/>
    <w:rsid w:val="00BB3D55"/>
    <w:rsid w:val="00BB3DA8"/>
    <w:rsid w:val="00BB3DF9"/>
    <w:rsid w:val="00BB3E19"/>
    <w:rsid w:val="00BB3F30"/>
    <w:rsid w:val="00BB437B"/>
    <w:rsid w:val="00BB44B2"/>
    <w:rsid w:val="00BB469D"/>
    <w:rsid w:val="00BB491B"/>
    <w:rsid w:val="00BB49D6"/>
    <w:rsid w:val="00BB4AB9"/>
    <w:rsid w:val="00BB4BE4"/>
    <w:rsid w:val="00BB4C27"/>
    <w:rsid w:val="00BB4EE4"/>
    <w:rsid w:val="00BB4F62"/>
    <w:rsid w:val="00BB4FE7"/>
    <w:rsid w:val="00BB548E"/>
    <w:rsid w:val="00BB573D"/>
    <w:rsid w:val="00BB5763"/>
    <w:rsid w:val="00BB577F"/>
    <w:rsid w:val="00BB57BA"/>
    <w:rsid w:val="00BB589D"/>
    <w:rsid w:val="00BB5A7C"/>
    <w:rsid w:val="00BB5BCE"/>
    <w:rsid w:val="00BB5C4B"/>
    <w:rsid w:val="00BB5C58"/>
    <w:rsid w:val="00BB5CC2"/>
    <w:rsid w:val="00BB5DCE"/>
    <w:rsid w:val="00BB5F9E"/>
    <w:rsid w:val="00BB6052"/>
    <w:rsid w:val="00BB609E"/>
    <w:rsid w:val="00BB6130"/>
    <w:rsid w:val="00BB6147"/>
    <w:rsid w:val="00BB628A"/>
    <w:rsid w:val="00BB62EA"/>
    <w:rsid w:val="00BB638D"/>
    <w:rsid w:val="00BB648E"/>
    <w:rsid w:val="00BB64C9"/>
    <w:rsid w:val="00BB64F4"/>
    <w:rsid w:val="00BB6544"/>
    <w:rsid w:val="00BB6550"/>
    <w:rsid w:val="00BB66E2"/>
    <w:rsid w:val="00BB672D"/>
    <w:rsid w:val="00BB68A8"/>
    <w:rsid w:val="00BB69A5"/>
    <w:rsid w:val="00BB6A6C"/>
    <w:rsid w:val="00BB6A9E"/>
    <w:rsid w:val="00BB6DC5"/>
    <w:rsid w:val="00BB7282"/>
    <w:rsid w:val="00BB74E1"/>
    <w:rsid w:val="00BB779B"/>
    <w:rsid w:val="00BB7848"/>
    <w:rsid w:val="00BB79BF"/>
    <w:rsid w:val="00BB7AFB"/>
    <w:rsid w:val="00BB7C6A"/>
    <w:rsid w:val="00BB7E14"/>
    <w:rsid w:val="00BB7E9E"/>
    <w:rsid w:val="00BB7EEC"/>
    <w:rsid w:val="00BC0076"/>
    <w:rsid w:val="00BC04D7"/>
    <w:rsid w:val="00BC0574"/>
    <w:rsid w:val="00BC0681"/>
    <w:rsid w:val="00BC088A"/>
    <w:rsid w:val="00BC09A1"/>
    <w:rsid w:val="00BC0A2E"/>
    <w:rsid w:val="00BC0A6B"/>
    <w:rsid w:val="00BC0AD4"/>
    <w:rsid w:val="00BC0B4B"/>
    <w:rsid w:val="00BC0D33"/>
    <w:rsid w:val="00BC0E7E"/>
    <w:rsid w:val="00BC0EC9"/>
    <w:rsid w:val="00BC0EFB"/>
    <w:rsid w:val="00BC0F4B"/>
    <w:rsid w:val="00BC0F91"/>
    <w:rsid w:val="00BC115B"/>
    <w:rsid w:val="00BC12BA"/>
    <w:rsid w:val="00BC131D"/>
    <w:rsid w:val="00BC137F"/>
    <w:rsid w:val="00BC13EB"/>
    <w:rsid w:val="00BC13F2"/>
    <w:rsid w:val="00BC16A2"/>
    <w:rsid w:val="00BC16AC"/>
    <w:rsid w:val="00BC181F"/>
    <w:rsid w:val="00BC19EC"/>
    <w:rsid w:val="00BC1B14"/>
    <w:rsid w:val="00BC1C3F"/>
    <w:rsid w:val="00BC1C40"/>
    <w:rsid w:val="00BC1CC6"/>
    <w:rsid w:val="00BC1E5D"/>
    <w:rsid w:val="00BC1FAC"/>
    <w:rsid w:val="00BC1FBC"/>
    <w:rsid w:val="00BC1FC3"/>
    <w:rsid w:val="00BC1FFC"/>
    <w:rsid w:val="00BC206D"/>
    <w:rsid w:val="00BC21B8"/>
    <w:rsid w:val="00BC21EE"/>
    <w:rsid w:val="00BC2225"/>
    <w:rsid w:val="00BC2632"/>
    <w:rsid w:val="00BC26CA"/>
    <w:rsid w:val="00BC26F6"/>
    <w:rsid w:val="00BC284A"/>
    <w:rsid w:val="00BC2880"/>
    <w:rsid w:val="00BC28C1"/>
    <w:rsid w:val="00BC29B7"/>
    <w:rsid w:val="00BC2B39"/>
    <w:rsid w:val="00BC2D36"/>
    <w:rsid w:val="00BC2D8D"/>
    <w:rsid w:val="00BC30EC"/>
    <w:rsid w:val="00BC3118"/>
    <w:rsid w:val="00BC3187"/>
    <w:rsid w:val="00BC31C2"/>
    <w:rsid w:val="00BC32A0"/>
    <w:rsid w:val="00BC32F9"/>
    <w:rsid w:val="00BC33CA"/>
    <w:rsid w:val="00BC3407"/>
    <w:rsid w:val="00BC37FF"/>
    <w:rsid w:val="00BC385C"/>
    <w:rsid w:val="00BC3AD3"/>
    <w:rsid w:val="00BC3CA4"/>
    <w:rsid w:val="00BC3F50"/>
    <w:rsid w:val="00BC401B"/>
    <w:rsid w:val="00BC4308"/>
    <w:rsid w:val="00BC4B70"/>
    <w:rsid w:val="00BC4C52"/>
    <w:rsid w:val="00BC4F31"/>
    <w:rsid w:val="00BC4FB2"/>
    <w:rsid w:val="00BC501A"/>
    <w:rsid w:val="00BC5060"/>
    <w:rsid w:val="00BC535C"/>
    <w:rsid w:val="00BC55EC"/>
    <w:rsid w:val="00BC56FB"/>
    <w:rsid w:val="00BC5844"/>
    <w:rsid w:val="00BC5B0C"/>
    <w:rsid w:val="00BC6414"/>
    <w:rsid w:val="00BC65D8"/>
    <w:rsid w:val="00BC6751"/>
    <w:rsid w:val="00BC6905"/>
    <w:rsid w:val="00BC6A34"/>
    <w:rsid w:val="00BC6B3A"/>
    <w:rsid w:val="00BC6C7F"/>
    <w:rsid w:val="00BC6DA5"/>
    <w:rsid w:val="00BC721A"/>
    <w:rsid w:val="00BC7641"/>
    <w:rsid w:val="00BC76A4"/>
    <w:rsid w:val="00BC78BC"/>
    <w:rsid w:val="00BC78F5"/>
    <w:rsid w:val="00BC7FE7"/>
    <w:rsid w:val="00BD0068"/>
    <w:rsid w:val="00BD00B9"/>
    <w:rsid w:val="00BD01C2"/>
    <w:rsid w:val="00BD028B"/>
    <w:rsid w:val="00BD03B2"/>
    <w:rsid w:val="00BD03D4"/>
    <w:rsid w:val="00BD0407"/>
    <w:rsid w:val="00BD04CC"/>
    <w:rsid w:val="00BD06B8"/>
    <w:rsid w:val="00BD0957"/>
    <w:rsid w:val="00BD0AAA"/>
    <w:rsid w:val="00BD0B10"/>
    <w:rsid w:val="00BD0CD7"/>
    <w:rsid w:val="00BD0D57"/>
    <w:rsid w:val="00BD0DC4"/>
    <w:rsid w:val="00BD1007"/>
    <w:rsid w:val="00BD101C"/>
    <w:rsid w:val="00BD13B6"/>
    <w:rsid w:val="00BD1415"/>
    <w:rsid w:val="00BD1489"/>
    <w:rsid w:val="00BD157C"/>
    <w:rsid w:val="00BD161A"/>
    <w:rsid w:val="00BD1948"/>
    <w:rsid w:val="00BD1953"/>
    <w:rsid w:val="00BD1A37"/>
    <w:rsid w:val="00BD1A66"/>
    <w:rsid w:val="00BD1AD8"/>
    <w:rsid w:val="00BD1C57"/>
    <w:rsid w:val="00BD1C76"/>
    <w:rsid w:val="00BD1DCB"/>
    <w:rsid w:val="00BD22EF"/>
    <w:rsid w:val="00BD2311"/>
    <w:rsid w:val="00BD2A66"/>
    <w:rsid w:val="00BD2D0A"/>
    <w:rsid w:val="00BD2D0F"/>
    <w:rsid w:val="00BD2D2B"/>
    <w:rsid w:val="00BD2E0E"/>
    <w:rsid w:val="00BD2E33"/>
    <w:rsid w:val="00BD2FF8"/>
    <w:rsid w:val="00BD3148"/>
    <w:rsid w:val="00BD316B"/>
    <w:rsid w:val="00BD31B4"/>
    <w:rsid w:val="00BD31E1"/>
    <w:rsid w:val="00BD35FB"/>
    <w:rsid w:val="00BD3668"/>
    <w:rsid w:val="00BD3721"/>
    <w:rsid w:val="00BD3725"/>
    <w:rsid w:val="00BD3B12"/>
    <w:rsid w:val="00BD3B15"/>
    <w:rsid w:val="00BD3B33"/>
    <w:rsid w:val="00BD3E1F"/>
    <w:rsid w:val="00BD3EBF"/>
    <w:rsid w:val="00BD3F20"/>
    <w:rsid w:val="00BD400C"/>
    <w:rsid w:val="00BD42E2"/>
    <w:rsid w:val="00BD432E"/>
    <w:rsid w:val="00BD4653"/>
    <w:rsid w:val="00BD467B"/>
    <w:rsid w:val="00BD468D"/>
    <w:rsid w:val="00BD4773"/>
    <w:rsid w:val="00BD47F0"/>
    <w:rsid w:val="00BD4924"/>
    <w:rsid w:val="00BD49C4"/>
    <w:rsid w:val="00BD4DC0"/>
    <w:rsid w:val="00BD4E91"/>
    <w:rsid w:val="00BD505C"/>
    <w:rsid w:val="00BD5189"/>
    <w:rsid w:val="00BD51FD"/>
    <w:rsid w:val="00BD525E"/>
    <w:rsid w:val="00BD5331"/>
    <w:rsid w:val="00BD53EC"/>
    <w:rsid w:val="00BD5518"/>
    <w:rsid w:val="00BD5556"/>
    <w:rsid w:val="00BD55EE"/>
    <w:rsid w:val="00BD55F1"/>
    <w:rsid w:val="00BD560B"/>
    <w:rsid w:val="00BD5725"/>
    <w:rsid w:val="00BD588A"/>
    <w:rsid w:val="00BD5891"/>
    <w:rsid w:val="00BD5944"/>
    <w:rsid w:val="00BD5B1B"/>
    <w:rsid w:val="00BD5B6B"/>
    <w:rsid w:val="00BD5DC4"/>
    <w:rsid w:val="00BD5DC6"/>
    <w:rsid w:val="00BD608E"/>
    <w:rsid w:val="00BD6112"/>
    <w:rsid w:val="00BD6136"/>
    <w:rsid w:val="00BD6234"/>
    <w:rsid w:val="00BD634D"/>
    <w:rsid w:val="00BD6475"/>
    <w:rsid w:val="00BD647C"/>
    <w:rsid w:val="00BD65E1"/>
    <w:rsid w:val="00BD6705"/>
    <w:rsid w:val="00BD69BE"/>
    <w:rsid w:val="00BD6A5B"/>
    <w:rsid w:val="00BD6C62"/>
    <w:rsid w:val="00BD6C6E"/>
    <w:rsid w:val="00BD6EF6"/>
    <w:rsid w:val="00BD6F67"/>
    <w:rsid w:val="00BD71EF"/>
    <w:rsid w:val="00BD728B"/>
    <w:rsid w:val="00BD7290"/>
    <w:rsid w:val="00BD7461"/>
    <w:rsid w:val="00BD7618"/>
    <w:rsid w:val="00BD767F"/>
    <w:rsid w:val="00BD775E"/>
    <w:rsid w:val="00BD7A3A"/>
    <w:rsid w:val="00BD7CAB"/>
    <w:rsid w:val="00BD7CE5"/>
    <w:rsid w:val="00BD7E30"/>
    <w:rsid w:val="00BD7E90"/>
    <w:rsid w:val="00BE02C5"/>
    <w:rsid w:val="00BE04D5"/>
    <w:rsid w:val="00BE0646"/>
    <w:rsid w:val="00BE0E8D"/>
    <w:rsid w:val="00BE11C9"/>
    <w:rsid w:val="00BE1522"/>
    <w:rsid w:val="00BE15DC"/>
    <w:rsid w:val="00BE161C"/>
    <w:rsid w:val="00BE16EE"/>
    <w:rsid w:val="00BE17EB"/>
    <w:rsid w:val="00BE18D9"/>
    <w:rsid w:val="00BE192A"/>
    <w:rsid w:val="00BE1B4F"/>
    <w:rsid w:val="00BE1CE0"/>
    <w:rsid w:val="00BE1D63"/>
    <w:rsid w:val="00BE1F70"/>
    <w:rsid w:val="00BE1FD6"/>
    <w:rsid w:val="00BE1FFC"/>
    <w:rsid w:val="00BE208B"/>
    <w:rsid w:val="00BE209C"/>
    <w:rsid w:val="00BE22BA"/>
    <w:rsid w:val="00BE23B7"/>
    <w:rsid w:val="00BE2499"/>
    <w:rsid w:val="00BE2503"/>
    <w:rsid w:val="00BE25E8"/>
    <w:rsid w:val="00BE271F"/>
    <w:rsid w:val="00BE2A10"/>
    <w:rsid w:val="00BE2A25"/>
    <w:rsid w:val="00BE2A98"/>
    <w:rsid w:val="00BE2C2E"/>
    <w:rsid w:val="00BE308D"/>
    <w:rsid w:val="00BE337C"/>
    <w:rsid w:val="00BE3520"/>
    <w:rsid w:val="00BE38E6"/>
    <w:rsid w:val="00BE3B50"/>
    <w:rsid w:val="00BE3B60"/>
    <w:rsid w:val="00BE3B6E"/>
    <w:rsid w:val="00BE3BB0"/>
    <w:rsid w:val="00BE3BE5"/>
    <w:rsid w:val="00BE409A"/>
    <w:rsid w:val="00BE409B"/>
    <w:rsid w:val="00BE4164"/>
    <w:rsid w:val="00BE4268"/>
    <w:rsid w:val="00BE4327"/>
    <w:rsid w:val="00BE49B2"/>
    <w:rsid w:val="00BE4A06"/>
    <w:rsid w:val="00BE4B25"/>
    <w:rsid w:val="00BE4D6A"/>
    <w:rsid w:val="00BE4D7C"/>
    <w:rsid w:val="00BE5141"/>
    <w:rsid w:val="00BE5279"/>
    <w:rsid w:val="00BE52C7"/>
    <w:rsid w:val="00BE5825"/>
    <w:rsid w:val="00BE5879"/>
    <w:rsid w:val="00BE5A61"/>
    <w:rsid w:val="00BE5CD9"/>
    <w:rsid w:val="00BE5E79"/>
    <w:rsid w:val="00BE5F86"/>
    <w:rsid w:val="00BE6001"/>
    <w:rsid w:val="00BE6146"/>
    <w:rsid w:val="00BE61FD"/>
    <w:rsid w:val="00BE631B"/>
    <w:rsid w:val="00BE6671"/>
    <w:rsid w:val="00BE6721"/>
    <w:rsid w:val="00BE68FF"/>
    <w:rsid w:val="00BE6BF2"/>
    <w:rsid w:val="00BE6C1F"/>
    <w:rsid w:val="00BE6C76"/>
    <w:rsid w:val="00BE6F68"/>
    <w:rsid w:val="00BE6FAB"/>
    <w:rsid w:val="00BE7116"/>
    <w:rsid w:val="00BE71BD"/>
    <w:rsid w:val="00BE7213"/>
    <w:rsid w:val="00BE721A"/>
    <w:rsid w:val="00BE7223"/>
    <w:rsid w:val="00BE73C3"/>
    <w:rsid w:val="00BE792B"/>
    <w:rsid w:val="00BE7B7A"/>
    <w:rsid w:val="00BE7F7D"/>
    <w:rsid w:val="00BF0271"/>
    <w:rsid w:val="00BF0543"/>
    <w:rsid w:val="00BF06DD"/>
    <w:rsid w:val="00BF0798"/>
    <w:rsid w:val="00BF07D9"/>
    <w:rsid w:val="00BF0A1A"/>
    <w:rsid w:val="00BF0B55"/>
    <w:rsid w:val="00BF0CCB"/>
    <w:rsid w:val="00BF0DB9"/>
    <w:rsid w:val="00BF0E2B"/>
    <w:rsid w:val="00BF0E34"/>
    <w:rsid w:val="00BF0EAC"/>
    <w:rsid w:val="00BF0EBE"/>
    <w:rsid w:val="00BF0F45"/>
    <w:rsid w:val="00BF10A9"/>
    <w:rsid w:val="00BF10BE"/>
    <w:rsid w:val="00BF12C4"/>
    <w:rsid w:val="00BF1378"/>
    <w:rsid w:val="00BF14BE"/>
    <w:rsid w:val="00BF1700"/>
    <w:rsid w:val="00BF1E9A"/>
    <w:rsid w:val="00BF1F31"/>
    <w:rsid w:val="00BF212E"/>
    <w:rsid w:val="00BF2175"/>
    <w:rsid w:val="00BF239A"/>
    <w:rsid w:val="00BF243E"/>
    <w:rsid w:val="00BF259D"/>
    <w:rsid w:val="00BF25EA"/>
    <w:rsid w:val="00BF281A"/>
    <w:rsid w:val="00BF2B2E"/>
    <w:rsid w:val="00BF2BD5"/>
    <w:rsid w:val="00BF2C03"/>
    <w:rsid w:val="00BF2C0E"/>
    <w:rsid w:val="00BF2C45"/>
    <w:rsid w:val="00BF2DF7"/>
    <w:rsid w:val="00BF30F2"/>
    <w:rsid w:val="00BF31A9"/>
    <w:rsid w:val="00BF34D1"/>
    <w:rsid w:val="00BF3648"/>
    <w:rsid w:val="00BF3A3E"/>
    <w:rsid w:val="00BF3B7C"/>
    <w:rsid w:val="00BF3C0B"/>
    <w:rsid w:val="00BF3C14"/>
    <w:rsid w:val="00BF3D3B"/>
    <w:rsid w:val="00BF3F48"/>
    <w:rsid w:val="00BF4208"/>
    <w:rsid w:val="00BF46B9"/>
    <w:rsid w:val="00BF476A"/>
    <w:rsid w:val="00BF48DD"/>
    <w:rsid w:val="00BF49C9"/>
    <w:rsid w:val="00BF4A84"/>
    <w:rsid w:val="00BF4B40"/>
    <w:rsid w:val="00BF4F32"/>
    <w:rsid w:val="00BF5022"/>
    <w:rsid w:val="00BF5024"/>
    <w:rsid w:val="00BF50B7"/>
    <w:rsid w:val="00BF5125"/>
    <w:rsid w:val="00BF5186"/>
    <w:rsid w:val="00BF52E1"/>
    <w:rsid w:val="00BF5355"/>
    <w:rsid w:val="00BF5742"/>
    <w:rsid w:val="00BF580B"/>
    <w:rsid w:val="00BF591F"/>
    <w:rsid w:val="00BF5A4D"/>
    <w:rsid w:val="00BF5AFC"/>
    <w:rsid w:val="00BF5CF6"/>
    <w:rsid w:val="00BF5D7C"/>
    <w:rsid w:val="00BF5DAA"/>
    <w:rsid w:val="00BF5DF0"/>
    <w:rsid w:val="00BF5E81"/>
    <w:rsid w:val="00BF5FEC"/>
    <w:rsid w:val="00BF6306"/>
    <w:rsid w:val="00BF65A7"/>
    <w:rsid w:val="00BF65CA"/>
    <w:rsid w:val="00BF668C"/>
    <w:rsid w:val="00BF682A"/>
    <w:rsid w:val="00BF6909"/>
    <w:rsid w:val="00BF6B90"/>
    <w:rsid w:val="00BF6C18"/>
    <w:rsid w:val="00BF6E15"/>
    <w:rsid w:val="00BF6FF5"/>
    <w:rsid w:val="00BF7089"/>
    <w:rsid w:val="00BF745A"/>
    <w:rsid w:val="00BF74CC"/>
    <w:rsid w:val="00BF7586"/>
    <w:rsid w:val="00BF7683"/>
    <w:rsid w:val="00BF7684"/>
    <w:rsid w:val="00BF78AC"/>
    <w:rsid w:val="00BF79AB"/>
    <w:rsid w:val="00BF79C1"/>
    <w:rsid w:val="00BF7D85"/>
    <w:rsid w:val="00BF7DA9"/>
    <w:rsid w:val="00C00153"/>
    <w:rsid w:val="00C0060F"/>
    <w:rsid w:val="00C0076A"/>
    <w:rsid w:val="00C009AE"/>
    <w:rsid w:val="00C00AAA"/>
    <w:rsid w:val="00C00B1D"/>
    <w:rsid w:val="00C00C19"/>
    <w:rsid w:val="00C00D0F"/>
    <w:rsid w:val="00C00EC2"/>
    <w:rsid w:val="00C00F6E"/>
    <w:rsid w:val="00C00FE8"/>
    <w:rsid w:val="00C01123"/>
    <w:rsid w:val="00C01182"/>
    <w:rsid w:val="00C011E4"/>
    <w:rsid w:val="00C0124F"/>
    <w:rsid w:val="00C0130C"/>
    <w:rsid w:val="00C0139C"/>
    <w:rsid w:val="00C014F8"/>
    <w:rsid w:val="00C01DBA"/>
    <w:rsid w:val="00C01F56"/>
    <w:rsid w:val="00C01FC2"/>
    <w:rsid w:val="00C01FE4"/>
    <w:rsid w:val="00C02106"/>
    <w:rsid w:val="00C021A9"/>
    <w:rsid w:val="00C02233"/>
    <w:rsid w:val="00C02295"/>
    <w:rsid w:val="00C0240E"/>
    <w:rsid w:val="00C02824"/>
    <w:rsid w:val="00C02832"/>
    <w:rsid w:val="00C029BF"/>
    <w:rsid w:val="00C02C8D"/>
    <w:rsid w:val="00C02E81"/>
    <w:rsid w:val="00C0303E"/>
    <w:rsid w:val="00C0303F"/>
    <w:rsid w:val="00C03097"/>
    <w:rsid w:val="00C0311F"/>
    <w:rsid w:val="00C03380"/>
    <w:rsid w:val="00C03384"/>
    <w:rsid w:val="00C0343F"/>
    <w:rsid w:val="00C0358F"/>
    <w:rsid w:val="00C035DB"/>
    <w:rsid w:val="00C03621"/>
    <w:rsid w:val="00C03790"/>
    <w:rsid w:val="00C0389A"/>
    <w:rsid w:val="00C039C5"/>
    <w:rsid w:val="00C039D2"/>
    <w:rsid w:val="00C03AD5"/>
    <w:rsid w:val="00C03C1C"/>
    <w:rsid w:val="00C03DA8"/>
    <w:rsid w:val="00C03DB6"/>
    <w:rsid w:val="00C0401F"/>
    <w:rsid w:val="00C04023"/>
    <w:rsid w:val="00C04040"/>
    <w:rsid w:val="00C040CA"/>
    <w:rsid w:val="00C04105"/>
    <w:rsid w:val="00C041E5"/>
    <w:rsid w:val="00C04303"/>
    <w:rsid w:val="00C04633"/>
    <w:rsid w:val="00C04753"/>
    <w:rsid w:val="00C047A2"/>
    <w:rsid w:val="00C04838"/>
    <w:rsid w:val="00C049FB"/>
    <w:rsid w:val="00C04C2C"/>
    <w:rsid w:val="00C04C2D"/>
    <w:rsid w:val="00C04DF2"/>
    <w:rsid w:val="00C04EC0"/>
    <w:rsid w:val="00C04ED8"/>
    <w:rsid w:val="00C05176"/>
    <w:rsid w:val="00C05315"/>
    <w:rsid w:val="00C055A2"/>
    <w:rsid w:val="00C057E7"/>
    <w:rsid w:val="00C0590B"/>
    <w:rsid w:val="00C0599E"/>
    <w:rsid w:val="00C05A79"/>
    <w:rsid w:val="00C05A7C"/>
    <w:rsid w:val="00C05B05"/>
    <w:rsid w:val="00C05CB5"/>
    <w:rsid w:val="00C05ED1"/>
    <w:rsid w:val="00C063C8"/>
    <w:rsid w:val="00C06685"/>
    <w:rsid w:val="00C0691F"/>
    <w:rsid w:val="00C06973"/>
    <w:rsid w:val="00C06A0E"/>
    <w:rsid w:val="00C06B08"/>
    <w:rsid w:val="00C06B28"/>
    <w:rsid w:val="00C06E5F"/>
    <w:rsid w:val="00C06E9A"/>
    <w:rsid w:val="00C06FC4"/>
    <w:rsid w:val="00C070B0"/>
    <w:rsid w:val="00C07457"/>
    <w:rsid w:val="00C07555"/>
    <w:rsid w:val="00C0757C"/>
    <w:rsid w:val="00C07753"/>
    <w:rsid w:val="00C0781E"/>
    <w:rsid w:val="00C07875"/>
    <w:rsid w:val="00C079EF"/>
    <w:rsid w:val="00C07AA2"/>
    <w:rsid w:val="00C07B7B"/>
    <w:rsid w:val="00C07BE3"/>
    <w:rsid w:val="00C07CC0"/>
    <w:rsid w:val="00C102A9"/>
    <w:rsid w:val="00C103A9"/>
    <w:rsid w:val="00C106B5"/>
    <w:rsid w:val="00C106BB"/>
    <w:rsid w:val="00C10A21"/>
    <w:rsid w:val="00C10AE7"/>
    <w:rsid w:val="00C10BBC"/>
    <w:rsid w:val="00C10BE4"/>
    <w:rsid w:val="00C10E1B"/>
    <w:rsid w:val="00C10F0D"/>
    <w:rsid w:val="00C1102A"/>
    <w:rsid w:val="00C1110D"/>
    <w:rsid w:val="00C11133"/>
    <w:rsid w:val="00C11188"/>
    <w:rsid w:val="00C11198"/>
    <w:rsid w:val="00C11244"/>
    <w:rsid w:val="00C114DA"/>
    <w:rsid w:val="00C119A3"/>
    <w:rsid w:val="00C11C03"/>
    <w:rsid w:val="00C11C9D"/>
    <w:rsid w:val="00C11D59"/>
    <w:rsid w:val="00C11E29"/>
    <w:rsid w:val="00C11E8B"/>
    <w:rsid w:val="00C11ECE"/>
    <w:rsid w:val="00C11F93"/>
    <w:rsid w:val="00C11F9F"/>
    <w:rsid w:val="00C1214F"/>
    <w:rsid w:val="00C12282"/>
    <w:rsid w:val="00C12467"/>
    <w:rsid w:val="00C12531"/>
    <w:rsid w:val="00C12649"/>
    <w:rsid w:val="00C1265C"/>
    <w:rsid w:val="00C127B1"/>
    <w:rsid w:val="00C12841"/>
    <w:rsid w:val="00C1284A"/>
    <w:rsid w:val="00C129B3"/>
    <w:rsid w:val="00C12A7B"/>
    <w:rsid w:val="00C12C74"/>
    <w:rsid w:val="00C12D7A"/>
    <w:rsid w:val="00C12E81"/>
    <w:rsid w:val="00C12FB3"/>
    <w:rsid w:val="00C1307D"/>
    <w:rsid w:val="00C130AD"/>
    <w:rsid w:val="00C13140"/>
    <w:rsid w:val="00C13159"/>
    <w:rsid w:val="00C134B7"/>
    <w:rsid w:val="00C13673"/>
    <w:rsid w:val="00C13785"/>
    <w:rsid w:val="00C1387D"/>
    <w:rsid w:val="00C13899"/>
    <w:rsid w:val="00C13928"/>
    <w:rsid w:val="00C13933"/>
    <w:rsid w:val="00C13A76"/>
    <w:rsid w:val="00C13B7C"/>
    <w:rsid w:val="00C13F90"/>
    <w:rsid w:val="00C141A8"/>
    <w:rsid w:val="00C1441C"/>
    <w:rsid w:val="00C14768"/>
    <w:rsid w:val="00C14928"/>
    <w:rsid w:val="00C14B2B"/>
    <w:rsid w:val="00C14B3D"/>
    <w:rsid w:val="00C14D8A"/>
    <w:rsid w:val="00C14E1C"/>
    <w:rsid w:val="00C14E3C"/>
    <w:rsid w:val="00C14EC6"/>
    <w:rsid w:val="00C14ED7"/>
    <w:rsid w:val="00C1500A"/>
    <w:rsid w:val="00C1507D"/>
    <w:rsid w:val="00C152DD"/>
    <w:rsid w:val="00C154B2"/>
    <w:rsid w:val="00C156B7"/>
    <w:rsid w:val="00C15920"/>
    <w:rsid w:val="00C1593C"/>
    <w:rsid w:val="00C159BD"/>
    <w:rsid w:val="00C159F9"/>
    <w:rsid w:val="00C15A1B"/>
    <w:rsid w:val="00C15ACA"/>
    <w:rsid w:val="00C15CD8"/>
    <w:rsid w:val="00C15E87"/>
    <w:rsid w:val="00C161DF"/>
    <w:rsid w:val="00C16270"/>
    <w:rsid w:val="00C163DF"/>
    <w:rsid w:val="00C16693"/>
    <w:rsid w:val="00C16AA4"/>
    <w:rsid w:val="00C16AF0"/>
    <w:rsid w:val="00C16BBE"/>
    <w:rsid w:val="00C16BCC"/>
    <w:rsid w:val="00C16D63"/>
    <w:rsid w:val="00C16DC2"/>
    <w:rsid w:val="00C16FA0"/>
    <w:rsid w:val="00C170E6"/>
    <w:rsid w:val="00C175D0"/>
    <w:rsid w:val="00C176E0"/>
    <w:rsid w:val="00C1777D"/>
    <w:rsid w:val="00C17783"/>
    <w:rsid w:val="00C177CF"/>
    <w:rsid w:val="00C17863"/>
    <w:rsid w:val="00C178F8"/>
    <w:rsid w:val="00C178FD"/>
    <w:rsid w:val="00C17DC7"/>
    <w:rsid w:val="00C17F8D"/>
    <w:rsid w:val="00C2053C"/>
    <w:rsid w:val="00C2063E"/>
    <w:rsid w:val="00C20657"/>
    <w:rsid w:val="00C207E3"/>
    <w:rsid w:val="00C2096B"/>
    <w:rsid w:val="00C209C4"/>
    <w:rsid w:val="00C20CCE"/>
    <w:rsid w:val="00C20E99"/>
    <w:rsid w:val="00C20EBC"/>
    <w:rsid w:val="00C20F98"/>
    <w:rsid w:val="00C21142"/>
    <w:rsid w:val="00C212ED"/>
    <w:rsid w:val="00C21319"/>
    <w:rsid w:val="00C21327"/>
    <w:rsid w:val="00C215C8"/>
    <w:rsid w:val="00C21650"/>
    <w:rsid w:val="00C217A2"/>
    <w:rsid w:val="00C21891"/>
    <w:rsid w:val="00C218DD"/>
    <w:rsid w:val="00C21971"/>
    <w:rsid w:val="00C219CD"/>
    <w:rsid w:val="00C21A8D"/>
    <w:rsid w:val="00C21A98"/>
    <w:rsid w:val="00C21BDD"/>
    <w:rsid w:val="00C21CA7"/>
    <w:rsid w:val="00C21D41"/>
    <w:rsid w:val="00C21D70"/>
    <w:rsid w:val="00C21E2C"/>
    <w:rsid w:val="00C21E58"/>
    <w:rsid w:val="00C21E7F"/>
    <w:rsid w:val="00C21FB1"/>
    <w:rsid w:val="00C22254"/>
    <w:rsid w:val="00C22338"/>
    <w:rsid w:val="00C2236C"/>
    <w:rsid w:val="00C22554"/>
    <w:rsid w:val="00C2266A"/>
    <w:rsid w:val="00C22691"/>
    <w:rsid w:val="00C2271F"/>
    <w:rsid w:val="00C22794"/>
    <w:rsid w:val="00C2295D"/>
    <w:rsid w:val="00C229CC"/>
    <w:rsid w:val="00C22AE3"/>
    <w:rsid w:val="00C22D8B"/>
    <w:rsid w:val="00C22E41"/>
    <w:rsid w:val="00C22E9B"/>
    <w:rsid w:val="00C22EB6"/>
    <w:rsid w:val="00C22EFE"/>
    <w:rsid w:val="00C2308D"/>
    <w:rsid w:val="00C232AC"/>
    <w:rsid w:val="00C233C9"/>
    <w:rsid w:val="00C23512"/>
    <w:rsid w:val="00C235BA"/>
    <w:rsid w:val="00C23A1B"/>
    <w:rsid w:val="00C23A7A"/>
    <w:rsid w:val="00C23AED"/>
    <w:rsid w:val="00C23B37"/>
    <w:rsid w:val="00C23D16"/>
    <w:rsid w:val="00C23E94"/>
    <w:rsid w:val="00C23F47"/>
    <w:rsid w:val="00C23F48"/>
    <w:rsid w:val="00C23FEF"/>
    <w:rsid w:val="00C24073"/>
    <w:rsid w:val="00C240BF"/>
    <w:rsid w:val="00C240FC"/>
    <w:rsid w:val="00C241DB"/>
    <w:rsid w:val="00C24294"/>
    <w:rsid w:val="00C24850"/>
    <w:rsid w:val="00C24892"/>
    <w:rsid w:val="00C248BB"/>
    <w:rsid w:val="00C24B62"/>
    <w:rsid w:val="00C24BC9"/>
    <w:rsid w:val="00C24BFB"/>
    <w:rsid w:val="00C24C46"/>
    <w:rsid w:val="00C24DB0"/>
    <w:rsid w:val="00C24DF3"/>
    <w:rsid w:val="00C24F6A"/>
    <w:rsid w:val="00C24FAE"/>
    <w:rsid w:val="00C2518E"/>
    <w:rsid w:val="00C2573B"/>
    <w:rsid w:val="00C2576A"/>
    <w:rsid w:val="00C2576E"/>
    <w:rsid w:val="00C257E6"/>
    <w:rsid w:val="00C25860"/>
    <w:rsid w:val="00C25C6E"/>
    <w:rsid w:val="00C26428"/>
    <w:rsid w:val="00C265F4"/>
    <w:rsid w:val="00C26818"/>
    <w:rsid w:val="00C2691E"/>
    <w:rsid w:val="00C26A1E"/>
    <w:rsid w:val="00C26B1C"/>
    <w:rsid w:val="00C26B29"/>
    <w:rsid w:val="00C26BAC"/>
    <w:rsid w:val="00C26D17"/>
    <w:rsid w:val="00C27186"/>
    <w:rsid w:val="00C27318"/>
    <w:rsid w:val="00C274AA"/>
    <w:rsid w:val="00C27718"/>
    <w:rsid w:val="00C2775F"/>
    <w:rsid w:val="00C27932"/>
    <w:rsid w:val="00C27944"/>
    <w:rsid w:val="00C27A2C"/>
    <w:rsid w:val="00C27B17"/>
    <w:rsid w:val="00C27E6A"/>
    <w:rsid w:val="00C301E0"/>
    <w:rsid w:val="00C30329"/>
    <w:rsid w:val="00C3066E"/>
    <w:rsid w:val="00C306D7"/>
    <w:rsid w:val="00C306F7"/>
    <w:rsid w:val="00C306FD"/>
    <w:rsid w:val="00C309A7"/>
    <w:rsid w:val="00C30BD3"/>
    <w:rsid w:val="00C30CE8"/>
    <w:rsid w:val="00C30D25"/>
    <w:rsid w:val="00C30EB9"/>
    <w:rsid w:val="00C30FA0"/>
    <w:rsid w:val="00C30FC0"/>
    <w:rsid w:val="00C311B9"/>
    <w:rsid w:val="00C31221"/>
    <w:rsid w:val="00C31318"/>
    <w:rsid w:val="00C314DA"/>
    <w:rsid w:val="00C316D4"/>
    <w:rsid w:val="00C316F0"/>
    <w:rsid w:val="00C31957"/>
    <w:rsid w:val="00C31A4C"/>
    <w:rsid w:val="00C31C0C"/>
    <w:rsid w:val="00C31E1A"/>
    <w:rsid w:val="00C31FA3"/>
    <w:rsid w:val="00C31FC7"/>
    <w:rsid w:val="00C32423"/>
    <w:rsid w:val="00C328EB"/>
    <w:rsid w:val="00C32906"/>
    <w:rsid w:val="00C3294B"/>
    <w:rsid w:val="00C32A61"/>
    <w:rsid w:val="00C32AAA"/>
    <w:rsid w:val="00C32C0A"/>
    <w:rsid w:val="00C32D05"/>
    <w:rsid w:val="00C33437"/>
    <w:rsid w:val="00C334E2"/>
    <w:rsid w:val="00C33AC6"/>
    <w:rsid w:val="00C33C07"/>
    <w:rsid w:val="00C33DF5"/>
    <w:rsid w:val="00C33E3D"/>
    <w:rsid w:val="00C33F44"/>
    <w:rsid w:val="00C34158"/>
    <w:rsid w:val="00C34174"/>
    <w:rsid w:val="00C3426D"/>
    <w:rsid w:val="00C34486"/>
    <w:rsid w:val="00C345FB"/>
    <w:rsid w:val="00C34832"/>
    <w:rsid w:val="00C349CA"/>
    <w:rsid w:val="00C35042"/>
    <w:rsid w:val="00C350C3"/>
    <w:rsid w:val="00C35278"/>
    <w:rsid w:val="00C352CF"/>
    <w:rsid w:val="00C353F3"/>
    <w:rsid w:val="00C3554E"/>
    <w:rsid w:val="00C356AB"/>
    <w:rsid w:val="00C356CB"/>
    <w:rsid w:val="00C358A0"/>
    <w:rsid w:val="00C35A2A"/>
    <w:rsid w:val="00C35A67"/>
    <w:rsid w:val="00C35BD9"/>
    <w:rsid w:val="00C35C34"/>
    <w:rsid w:val="00C361B4"/>
    <w:rsid w:val="00C361F5"/>
    <w:rsid w:val="00C36404"/>
    <w:rsid w:val="00C36639"/>
    <w:rsid w:val="00C3670F"/>
    <w:rsid w:val="00C36881"/>
    <w:rsid w:val="00C368DD"/>
    <w:rsid w:val="00C36920"/>
    <w:rsid w:val="00C36A3C"/>
    <w:rsid w:val="00C36A43"/>
    <w:rsid w:val="00C36A7C"/>
    <w:rsid w:val="00C36B2E"/>
    <w:rsid w:val="00C36C38"/>
    <w:rsid w:val="00C36CC8"/>
    <w:rsid w:val="00C36F7D"/>
    <w:rsid w:val="00C3711D"/>
    <w:rsid w:val="00C37192"/>
    <w:rsid w:val="00C377A7"/>
    <w:rsid w:val="00C37A2C"/>
    <w:rsid w:val="00C37D13"/>
    <w:rsid w:val="00C37EA2"/>
    <w:rsid w:val="00C37FE2"/>
    <w:rsid w:val="00C400AF"/>
    <w:rsid w:val="00C4031F"/>
    <w:rsid w:val="00C403FF"/>
    <w:rsid w:val="00C405E4"/>
    <w:rsid w:val="00C408EB"/>
    <w:rsid w:val="00C40963"/>
    <w:rsid w:val="00C40AB3"/>
    <w:rsid w:val="00C40AF5"/>
    <w:rsid w:val="00C40D5E"/>
    <w:rsid w:val="00C410C7"/>
    <w:rsid w:val="00C4113F"/>
    <w:rsid w:val="00C41366"/>
    <w:rsid w:val="00C41964"/>
    <w:rsid w:val="00C419E8"/>
    <w:rsid w:val="00C41C1D"/>
    <w:rsid w:val="00C41D8B"/>
    <w:rsid w:val="00C41EBA"/>
    <w:rsid w:val="00C4205F"/>
    <w:rsid w:val="00C42111"/>
    <w:rsid w:val="00C423AF"/>
    <w:rsid w:val="00C42584"/>
    <w:rsid w:val="00C42D5A"/>
    <w:rsid w:val="00C42D9E"/>
    <w:rsid w:val="00C43048"/>
    <w:rsid w:val="00C431D2"/>
    <w:rsid w:val="00C4324F"/>
    <w:rsid w:val="00C4369D"/>
    <w:rsid w:val="00C43732"/>
    <w:rsid w:val="00C437A8"/>
    <w:rsid w:val="00C4398E"/>
    <w:rsid w:val="00C43A65"/>
    <w:rsid w:val="00C43A7A"/>
    <w:rsid w:val="00C43B18"/>
    <w:rsid w:val="00C43B3F"/>
    <w:rsid w:val="00C43CD8"/>
    <w:rsid w:val="00C43EE1"/>
    <w:rsid w:val="00C44044"/>
    <w:rsid w:val="00C44237"/>
    <w:rsid w:val="00C44302"/>
    <w:rsid w:val="00C44343"/>
    <w:rsid w:val="00C443CA"/>
    <w:rsid w:val="00C443EC"/>
    <w:rsid w:val="00C44513"/>
    <w:rsid w:val="00C445C5"/>
    <w:rsid w:val="00C44700"/>
    <w:rsid w:val="00C4489C"/>
    <w:rsid w:val="00C44ADA"/>
    <w:rsid w:val="00C44B6B"/>
    <w:rsid w:val="00C44C6D"/>
    <w:rsid w:val="00C44F8F"/>
    <w:rsid w:val="00C4514B"/>
    <w:rsid w:val="00C45178"/>
    <w:rsid w:val="00C45386"/>
    <w:rsid w:val="00C453DB"/>
    <w:rsid w:val="00C45763"/>
    <w:rsid w:val="00C457C7"/>
    <w:rsid w:val="00C45860"/>
    <w:rsid w:val="00C45BD5"/>
    <w:rsid w:val="00C45D1B"/>
    <w:rsid w:val="00C45D57"/>
    <w:rsid w:val="00C45DD9"/>
    <w:rsid w:val="00C45DEE"/>
    <w:rsid w:val="00C4602E"/>
    <w:rsid w:val="00C46060"/>
    <w:rsid w:val="00C462FC"/>
    <w:rsid w:val="00C4630D"/>
    <w:rsid w:val="00C46A54"/>
    <w:rsid w:val="00C46BFC"/>
    <w:rsid w:val="00C46D8B"/>
    <w:rsid w:val="00C470C9"/>
    <w:rsid w:val="00C470CB"/>
    <w:rsid w:val="00C4725D"/>
    <w:rsid w:val="00C4744C"/>
    <w:rsid w:val="00C47558"/>
    <w:rsid w:val="00C4763E"/>
    <w:rsid w:val="00C477CD"/>
    <w:rsid w:val="00C47998"/>
    <w:rsid w:val="00C47B12"/>
    <w:rsid w:val="00C47C55"/>
    <w:rsid w:val="00C47CAC"/>
    <w:rsid w:val="00C47D23"/>
    <w:rsid w:val="00C47D32"/>
    <w:rsid w:val="00C47DBE"/>
    <w:rsid w:val="00C47DCA"/>
    <w:rsid w:val="00C47E53"/>
    <w:rsid w:val="00C47FC7"/>
    <w:rsid w:val="00C50050"/>
    <w:rsid w:val="00C500E5"/>
    <w:rsid w:val="00C50201"/>
    <w:rsid w:val="00C5025B"/>
    <w:rsid w:val="00C503FD"/>
    <w:rsid w:val="00C5045B"/>
    <w:rsid w:val="00C5060D"/>
    <w:rsid w:val="00C50638"/>
    <w:rsid w:val="00C50711"/>
    <w:rsid w:val="00C5096D"/>
    <w:rsid w:val="00C509B4"/>
    <w:rsid w:val="00C50E60"/>
    <w:rsid w:val="00C50F0F"/>
    <w:rsid w:val="00C50F3A"/>
    <w:rsid w:val="00C51049"/>
    <w:rsid w:val="00C5131F"/>
    <w:rsid w:val="00C513D0"/>
    <w:rsid w:val="00C51487"/>
    <w:rsid w:val="00C5151A"/>
    <w:rsid w:val="00C5155D"/>
    <w:rsid w:val="00C516CD"/>
    <w:rsid w:val="00C51700"/>
    <w:rsid w:val="00C51859"/>
    <w:rsid w:val="00C5193F"/>
    <w:rsid w:val="00C5197A"/>
    <w:rsid w:val="00C51A99"/>
    <w:rsid w:val="00C51B6A"/>
    <w:rsid w:val="00C51DDE"/>
    <w:rsid w:val="00C51E86"/>
    <w:rsid w:val="00C52049"/>
    <w:rsid w:val="00C5225D"/>
    <w:rsid w:val="00C523C6"/>
    <w:rsid w:val="00C525BA"/>
    <w:rsid w:val="00C526C1"/>
    <w:rsid w:val="00C527BE"/>
    <w:rsid w:val="00C529A3"/>
    <w:rsid w:val="00C52ADF"/>
    <w:rsid w:val="00C52B76"/>
    <w:rsid w:val="00C52DAD"/>
    <w:rsid w:val="00C52E22"/>
    <w:rsid w:val="00C5304C"/>
    <w:rsid w:val="00C53065"/>
    <w:rsid w:val="00C53351"/>
    <w:rsid w:val="00C5376F"/>
    <w:rsid w:val="00C53842"/>
    <w:rsid w:val="00C53916"/>
    <w:rsid w:val="00C53AC7"/>
    <w:rsid w:val="00C53B10"/>
    <w:rsid w:val="00C53CC7"/>
    <w:rsid w:val="00C5403F"/>
    <w:rsid w:val="00C540A5"/>
    <w:rsid w:val="00C54131"/>
    <w:rsid w:val="00C54204"/>
    <w:rsid w:val="00C543E5"/>
    <w:rsid w:val="00C54447"/>
    <w:rsid w:val="00C54A36"/>
    <w:rsid w:val="00C54A76"/>
    <w:rsid w:val="00C54C30"/>
    <w:rsid w:val="00C54C90"/>
    <w:rsid w:val="00C54E21"/>
    <w:rsid w:val="00C54F92"/>
    <w:rsid w:val="00C54FAB"/>
    <w:rsid w:val="00C54FE0"/>
    <w:rsid w:val="00C55064"/>
    <w:rsid w:val="00C552BB"/>
    <w:rsid w:val="00C552C6"/>
    <w:rsid w:val="00C55338"/>
    <w:rsid w:val="00C55435"/>
    <w:rsid w:val="00C555F7"/>
    <w:rsid w:val="00C557C5"/>
    <w:rsid w:val="00C558A8"/>
    <w:rsid w:val="00C55AE3"/>
    <w:rsid w:val="00C55B6B"/>
    <w:rsid w:val="00C55C65"/>
    <w:rsid w:val="00C55E41"/>
    <w:rsid w:val="00C55F4E"/>
    <w:rsid w:val="00C56446"/>
    <w:rsid w:val="00C5645B"/>
    <w:rsid w:val="00C56609"/>
    <w:rsid w:val="00C5661A"/>
    <w:rsid w:val="00C566A7"/>
    <w:rsid w:val="00C567AF"/>
    <w:rsid w:val="00C567DE"/>
    <w:rsid w:val="00C568F4"/>
    <w:rsid w:val="00C5696F"/>
    <w:rsid w:val="00C56D63"/>
    <w:rsid w:val="00C56EA0"/>
    <w:rsid w:val="00C56EED"/>
    <w:rsid w:val="00C56FB7"/>
    <w:rsid w:val="00C57001"/>
    <w:rsid w:val="00C570DE"/>
    <w:rsid w:val="00C5710E"/>
    <w:rsid w:val="00C5722C"/>
    <w:rsid w:val="00C57671"/>
    <w:rsid w:val="00C57769"/>
    <w:rsid w:val="00C577D7"/>
    <w:rsid w:val="00C57AD4"/>
    <w:rsid w:val="00C57BE5"/>
    <w:rsid w:val="00C57C8D"/>
    <w:rsid w:val="00C57C97"/>
    <w:rsid w:val="00C57CE5"/>
    <w:rsid w:val="00C57E8D"/>
    <w:rsid w:val="00C57F1E"/>
    <w:rsid w:val="00C6009A"/>
    <w:rsid w:val="00C600B2"/>
    <w:rsid w:val="00C601EC"/>
    <w:rsid w:val="00C602F0"/>
    <w:rsid w:val="00C60396"/>
    <w:rsid w:val="00C603F5"/>
    <w:rsid w:val="00C6043D"/>
    <w:rsid w:val="00C60489"/>
    <w:rsid w:val="00C60547"/>
    <w:rsid w:val="00C607A0"/>
    <w:rsid w:val="00C60862"/>
    <w:rsid w:val="00C60863"/>
    <w:rsid w:val="00C60934"/>
    <w:rsid w:val="00C60A6D"/>
    <w:rsid w:val="00C60AE0"/>
    <w:rsid w:val="00C60F82"/>
    <w:rsid w:val="00C61080"/>
    <w:rsid w:val="00C6109B"/>
    <w:rsid w:val="00C610FA"/>
    <w:rsid w:val="00C61245"/>
    <w:rsid w:val="00C61482"/>
    <w:rsid w:val="00C61688"/>
    <w:rsid w:val="00C616E3"/>
    <w:rsid w:val="00C617EC"/>
    <w:rsid w:val="00C618C7"/>
    <w:rsid w:val="00C61982"/>
    <w:rsid w:val="00C61AB6"/>
    <w:rsid w:val="00C620B3"/>
    <w:rsid w:val="00C620CF"/>
    <w:rsid w:val="00C62378"/>
    <w:rsid w:val="00C6240F"/>
    <w:rsid w:val="00C627F9"/>
    <w:rsid w:val="00C6285D"/>
    <w:rsid w:val="00C62996"/>
    <w:rsid w:val="00C62A54"/>
    <w:rsid w:val="00C62C8C"/>
    <w:rsid w:val="00C62CC1"/>
    <w:rsid w:val="00C63139"/>
    <w:rsid w:val="00C632B9"/>
    <w:rsid w:val="00C633C5"/>
    <w:rsid w:val="00C635A6"/>
    <w:rsid w:val="00C636AA"/>
    <w:rsid w:val="00C63787"/>
    <w:rsid w:val="00C637F3"/>
    <w:rsid w:val="00C638B1"/>
    <w:rsid w:val="00C639E3"/>
    <w:rsid w:val="00C639F3"/>
    <w:rsid w:val="00C63E25"/>
    <w:rsid w:val="00C63EE0"/>
    <w:rsid w:val="00C63F09"/>
    <w:rsid w:val="00C6402F"/>
    <w:rsid w:val="00C643B6"/>
    <w:rsid w:val="00C64423"/>
    <w:rsid w:val="00C644F4"/>
    <w:rsid w:val="00C645D7"/>
    <w:rsid w:val="00C64738"/>
    <w:rsid w:val="00C647FD"/>
    <w:rsid w:val="00C64905"/>
    <w:rsid w:val="00C6494A"/>
    <w:rsid w:val="00C649DC"/>
    <w:rsid w:val="00C64B16"/>
    <w:rsid w:val="00C64B1D"/>
    <w:rsid w:val="00C64B99"/>
    <w:rsid w:val="00C64C3E"/>
    <w:rsid w:val="00C64CB4"/>
    <w:rsid w:val="00C64F5E"/>
    <w:rsid w:val="00C65269"/>
    <w:rsid w:val="00C653D5"/>
    <w:rsid w:val="00C654BD"/>
    <w:rsid w:val="00C657BA"/>
    <w:rsid w:val="00C6583D"/>
    <w:rsid w:val="00C65B36"/>
    <w:rsid w:val="00C65DCA"/>
    <w:rsid w:val="00C66335"/>
    <w:rsid w:val="00C663F7"/>
    <w:rsid w:val="00C66439"/>
    <w:rsid w:val="00C6648E"/>
    <w:rsid w:val="00C66615"/>
    <w:rsid w:val="00C66CB7"/>
    <w:rsid w:val="00C66E64"/>
    <w:rsid w:val="00C66EF3"/>
    <w:rsid w:val="00C67107"/>
    <w:rsid w:val="00C672FD"/>
    <w:rsid w:val="00C67463"/>
    <w:rsid w:val="00C678B1"/>
    <w:rsid w:val="00C67904"/>
    <w:rsid w:val="00C67A4B"/>
    <w:rsid w:val="00C67B22"/>
    <w:rsid w:val="00C67B9E"/>
    <w:rsid w:val="00C67BBB"/>
    <w:rsid w:val="00C67CD8"/>
    <w:rsid w:val="00C67EF1"/>
    <w:rsid w:val="00C7026E"/>
    <w:rsid w:val="00C702EA"/>
    <w:rsid w:val="00C70563"/>
    <w:rsid w:val="00C705D9"/>
    <w:rsid w:val="00C7069C"/>
    <w:rsid w:val="00C706D6"/>
    <w:rsid w:val="00C70707"/>
    <w:rsid w:val="00C70918"/>
    <w:rsid w:val="00C70B4D"/>
    <w:rsid w:val="00C70C03"/>
    <w:rsid w:val="00C70CBF"/>
    <w:rsid w:val="00C70EB0"/>
    <w:rsid w:val="00C70EFA"/>
    <w:rsid w:val="00C70FB3"/>
    <w:rsid w:val="00C70FD1"/>
    <w:rsid w:val="00C71053"/>
    <w:rsid w:val="00C71155"/>
    <w:rsid w:val="00C71214"/>
    <w:rsid w:val="00C71292"/>
    <w:rsid w:val="00C7144A"/>
    <w:rsid w:val="00C71484"/>
    <w:rsid w:val="00C71597"/>
    <w:rsid w:val="00C716AB"/>
    <w:rsid w:val="00C716CA"/>
    <w:rsid w:val="00C7184D"/>
    <w:rsid w:val="00C71955"/>
    <w:rsid w:val="00C71B1C"/>
    <w:rsid w:val="00C71B9E"/>
    <w:rsid w:val="00C720F8"/>
    <w:rsid w:val="00C72434"/>
    <w:rsid w:val="00C72741"/>
    <w:rsid w:val="00C72752"/>
    <w:rsid w:val="00C72A2A"/>
    <w:rsid w:val="00C72A85"/>
    <w:rsid w:val="00C72B6B"/>
    <w:rsid w:val="00C72DA0"/>
    <w:rsid w:val="00C72DFE"/>
    <w:rsid w:val="00C72E7F"/>
    <w:rsid w:val="00C73003"/>
    <w:rsid w:val="00C7319A"/>
    <w:rsid w:val="00C73502"/>
    <w:rsid w:val="00C7355E"/>
    <w:rsid w:val="00C73568"/>
    <w:rsid w:val="00C735A7"/>
    <w:rsid w:val="00C73602"/>
    <w:rsid w:val="00C73678"/>
    <w:rsid w:val="00C737F7"/>
    <w:rsid w:val="00C738CD"/>
    <w:rsid w:val="00C739A5"/>
    <w:rsid w:val="00C73A14"/>
    <w:rsid w:val="00C73CB5"/>
    <w:rsid w:val="00C73FA9"/>
    <w:rsid w:val="00C7411D"/>
    <w:rsid w:val="00C742C6"/>
    <w:rsid w:val="00C745E5"/>
    <w:rsid w:val="00C745F2"/>
    <w:rsid w:val="00C746AB"/>
    <w:rsid w:val="00C7474E"/>
    <w:rsid w:val="00C74785"/>
    <w:rsid w:val="00C748A3"/>
    <w:rsid w:val="00C749AC"/>
    <w:rsid w:val="00C74B93"/>
    <w:rsid w:val="00C74BAC"/>
    <w:rsid w:val="00C74CC8"/>
    <w:rsid w:val="00C74D7E"/>
    <w:rsid w:val="00C75183"/>
    <w:rsid w:val="00C75195"/>
    <w:rsid w:val="00C7520E"/>
    <w:rsid w:val="00C75295"/>
    <w:rsid w:val="00C753C9"/>
    <w:rsid w:val="00C7552C"/>
    <w:rsid w:val="00C75569"/>
    <w:rsid w:val="00C758A4"/>
    <w:rsid w:val="00C759A6"/>
    <w:rsid w:val="00C75A84"/>
    <w:rsid w:val="00C75CF4"/>
    <w:rsid w:val="00C75CFA"/>
    <w:rsid w:val="00C7622A"/>
    <w:rsid w:val="00C762D1"/>
    <w:rsid w:val="00C764C5"/>
    <w:rsid w:val="00C767F6"/>
    <w:rsid w:val="00C76AC9"/>
    <w:rsid w:val="00C76BC3"/>
    <w:rsid w:val="00C76E7B"/>
    <w:rsid w:val="00C76F18"/>
    <w:rsid w:val="00C76FAC"/>
    <w:rsid w:val="00C77002"/>
    <w:rsid w:val="00C77054"/>
    <w:rsid w:val="00C77194"/>
    <w:rsid w:val="00C77267"/>
    <w:rsid w:val="00C7752B"/>
    <w:rsid w:val="00C77548"/>
    <w:rsid w:val="00C77790"/>
    <w:rsid w:val="00C779A1"/>
    <w:rsid w:val="00C77AF4"/>
    <w:rsid w:val="00C77C48"/>
    <w:rsid w:val="00C77D91"/>
    <w:rsid w:val="00C77F46"/>
    <w:rsid w:val="00C8006C"/>
    <w:rsid w:val="00C808DC"/>
    <w:rsid w:val="00C809A8"/>
    <w:rsid w:val="00C809BF"/>
    <w:rsid w:val="00C80C5A"/>
    <w:rsid w:val="00C80D1A"/>
    <w:rsid w:val="00C80F52"/>
    <w:rsid w:val="00C810E9"/>
    <w:rsid w:val="00C811B5"/>
    <w:rsid w:val="00C8126A"/>
    <w:rsid w:val="00C81394"/>
    <w:rsid w:val="00C813C5"/>
    <w:rsid w:val="00C815E5"/>
    <w:rsid w:val="00C81717"/>
    <w:rsid w:val="00C81901"/>
    <w:rsid w:val="00C81A1C"/>
    <w:rsid w:val="00C81A9F"/>
    <w:rsid w:val="00C81CF2"/>
    <w:rsid w:val="00C81CF6"/>
    <w:rsid w:val="00C81D92"/>
    <w:rsid w:val="00C81F5C"/>
    <w:rsid w:val="00C81FDD"/>
    <w:rsid w:val="00C81FEC"/>
    <w:rsid w:val="00C82027"/>
    <w:rsid w:val="00C82053"/>
    <w:rsid w:val="00C820BB"/>
    <w:rsid w:val="00C8211B"/>
    <w:rsid w:val="00C8222E"/>
    <w:rsid w:val="00C8228D"/>
    <w:rsid w:val="00C8229D"/>
    <w:rsid w:val="00C8247B"/>
    <w:rsid w:val="00C82527"/>
    <w:rsid w:val="00C825BA"/>
    <w:rsid w:val="00C82673"/>
    <w:rsid w:val="00C828C1"/>
    <w:rsid w:val="00C82947"/>
    <w:rsid w:val="00C829D0"/>
    <w:rsid w:val="00C82B69"/>
    <w:rsid w:val="00C82C3D"/>
    <w:rsid w:val="00C82FFE"/>
    <w:rsid w:val="00C83033"/>
    <w:rsid w:val="00C8311B"/>
    <w:rsid w:val="00C832B8"/>
    <w:rsid w:val="00C83356"/>
    <w:rsid w:val="00C8336F"/>
    <w:rsid w:val="00C83680"/>
    <w:rsid w:val="00C836BA"/>
    <w:rsid w:val="00C8396D"/>
    <w:rsid w:val="00C839AF"/>
    <w:rsid w:val="00C839E0"/>
    <w:rsid w:val="00C83A83"/>
    <w:rsid w:val="00C83BA3"/>
    <w:rsid w:val="00C83C78"/>
    <w:rsid w:val="00C83DAD"/>
    <w:rsid w:val="00C83DD3"/>
    <w:rsid w:val="00C83E26"/>
    <w:rsid w:val="00C83F1D"/>
    <w:rsid w:val="00C84049"/>
    <w:rsid w:val="00C8404E"/>
    <w:rsid w:val="00C842C8"/>
    <w:rsid w:val="00C842E2"/>
    <w:rsid w:val="00C843D9"/>
    <w:rsid w:val="00C844F0"/>
    <w:rsid w:val="00C84652"/>
    <w:rsid w:val="00C84739"/>
    <w:rsid w:val="00C847B7"/>
    <w:rsid w:val="00C847F5"/>
    <w:rsid w:val="00C84931"/>
    <w:rsid w:val="00C84C56"/>
    <w:rsid w:val="00C84D6F"/>
    <w:rsid w:val="00C84F60"/>
    <w:rsid w:val="00C85240"/>
    <w:rsid w:val="00C855EF"/>
    <w:rsid w:val="00C8566F"/>
    <w:rsid w:val="00C85ABE"/>
    <w:rsid w:val="00C85B1B"/>
    <w:rsid w:val="00C85B3A"/>
    <w:rsid w:val="00C85C12"/>
    <w:rsid w:val="00C85C59"/>
    <w:rsid w:val="00C85D3B"/>
    <w:rsid w:val="00C85EE8"/>
    <w:rsid w:val="00C85F08"/>
    <w:rsid w:val="00C86097"/>
    <w:rsid w:val="00C860CC"/>
    <w:rsid w:val="00C86216"/>
    <w:rsid w:val="00C86227"/>
    <w:rsid w:val="00C862BE"/>
    <w:rsid w:val="00C86382"/>
    <w:rsid w:val="00C86432"/>
    <w:rsid w:val="00C86759"/>
    <w:rsid w:val="00C868B3"/>
    <w:rsid w:val="00C868C3"/>
    <w:rsid w:val="00C868EA"/>
    <w:rsid w:val="00C86903"/>
    <w:rsid w:val="00C86B0B"/>
    <w:rsid w:val="00C86C49"/>
    <w:rsid w:val="00C86D68"/>
    <w:rsid w:val="00C86D9D"/>
    <w:rsid w:val="00C86F34"/>
    <w:rsid w:val="00C8709E"/>
    <w:rsid w:val="00C870B0"/>
    <w:rsid w:val="00C870E2"/>
    <w:rsid w:val="00C87129"/>
    <w:rsid w:val="00C8719C"/>
    <w:rsid w:val="00C876A1"/>
    <w:rsid w:val="00C87710"/>
    <w:rsid w:val="00C87798"/>
    <w:rsid w:val="00C87C41"/>
    <w:rsid w:val="00C87C43"/>
    <w:rsid w:val="00C901C2"/>
    <w:rsid w:val="00C90206"/>
    <w:rsid w:val="00C902EC"/>
    <w:rsid w:val="00C904C3"/>
    <w:rsid w:val="00C905AF"/>
    <w:rsid w:val="00C905F4"/>
    <w:rsid w:val="00C906AA"/>
    <w:rsid w:val="00C908DE"/>
    <w:rsid w:val="00C909A6"/>
    <w:rsid w:val="00C90A90"/>
    <w:rsid w:val="00C90D86"/>
    <w:rsid w:val="00C90F4B"/>
    <w:rsid w:val="00C90F91"/>
    <w:rsid w:val="00C91153"/>
    <w:rsid w:val="00C911E6"/>
    <w:rsid w:val="00C911E7"/>
    <w:rsid w:val="00C9147B"/>
    <w:rsid w:val="00C915F0"/>
    <w:rsid w:val="00C915F4"/>
    <w:rsid w:val="00C916D5"/>
    <w:rsid w:val="00C91771"/>
    <w:rsid w:val="00C91778"/>
    <w:rsid w:val="00C919CE"/>
    <w:rsid w:val="00C91A3F"/>
    <w:rsid w:val="00C91D93"/>
    <w:rsid w:val="00C91EF8"/>
    <w:rsid w:val="00C91FEF"/>
    <w:rsid w:val="00C92111"/>
    <w:rsid w:val="00C922F2"/>
    <w:rsid w:val="00C92394"/>
    <w:rsid w:val="00C9263D"/>
    <w:rsid w:val="00C9265A"/>
    <w:rsid w:val="00C92A36"/>
    <w:rsid w:val="00C92BA6"/>
    <w:rsid w:val="00C92C4B"/>
    <w:rsid w:val="00C92E3B"/>
    <w:rsid w:val="00C92F81"/>
    <w:rsid w:val="00C930A3"/>
    <w:rsid w:val="00C9314E"/>
    <w:rsid w:val="00C93176"/>
    <w:rsid w:val="00C93320"/>
    <w:rsid w:val="00C934B8"/>
    <w:rsid w:val="00C9354A"/>
    <w:rsid w:val="00C93637"/>
    <w:rsid w:val="00C936B9"/>
    <w:rsid w:val="00C9370C"/>
    <w:rsid w:val="00C9382B"/>
    <w:rsid w:val="00C939B5"/>
    <w:rsid w:val="00C939D9"/>
    <w:rsid w:val="00C939F5"/>
    <w:rsid w:val="00C93DFA"/>
    <w:rsid w:val="00C93E23"/>
    <w:rsid w:val="00C93EAA"/>
    <w:rsid w:val="00C940D6"/>
    <w:rsid w:val="00C940EA"/>
    <w:rsid w:val="00C940F9"/>
    <w:rsid w:val="00C94436"/>
    <w:rsid w:val="00C944DC"/>
    <w:rsid w:val="00C946BD"/>
    <w:rsid w:val="00C9477D"/>
    <w:rsid w:val="00C94A60"/>
    <w:rsid w:val="00C94AE7"/>
    <w:rsid w:val="00C94B1F"/>
    <w:rsid w:val="00C94B92"/>
    <w:rsid w:val="00C95074"/>
    <w:rsid w:val="00C951C6"/>
    <w:rsid w:val="00C95220"/>
    <w:rsid w:val="00C953C3"/>
    <w:rsid w:val="00C9554B"/>
    <w:rsid w:val="00C955F8"/>
    <w:rsid w:val="00C956DD"/>
    <w:rsid w:val="00C956E6"/>
    <w:rsid w:val="00C958EB"/>
    <w:rsid w:val="00C959CA"/>
    <w:rsid w:val="00C95A52"/>
    <w:rsid w:val="00C95AEB"/>
    <w:rsid w:val="00C95B49"/>
    <w:rsid w:val="00C95C71"/>
    <w:rsid w:val="00C95E3A"/>
    <w:rsid w:val="00C95FEC"/>
    <w:rsid w:val="00C960A0"/>
    <w:rsid w:val="00C962F7"/>
    <w:rsid w:val="00C96459"/>
    <w:rsid w:val="00C96680"/>
    <w:rsid w:val="00C96965"/>
    <w:rsid w:val="00C96A30"/>
    <w:rsid w:val="00C96B31"/>
    <w:rsid w:val="00C96CF8"/>
    <w:rsid w:val="00C96D38"/>
    <w:rsid w:val="00C96E5E"/>
    <w:rsid w:val="00C9760D"/>
    <w:rsid w:val="00C979D0"/>
    <w:rsid w:val="00C979F6"/>
    <w:rsid w:val="00C97A62"/>
    <w:rsid w:val="00C97ABC"/>
    <w:rsid w:val="00C97DD5"/>
    <w:rsid w:val="00C97E97"/>
    <w:rsid w:val="00C97F04"/>
    <w:rsid w:val="00C97F48"/>
    <w:rsid w:val="00CA00FA"/>
    <w:rsid w:val="00CA01B5"/>
    <w:rsid w:val="00CA0299"/>
    <w:rsid w:val="00CA0344"/>
    <w:rsid w:val="00CA051D"/>
    <w:rsid w:val="00CA061C"/>
    <w:rsid w:val="00CA0778"/>
    <w:rsid w:val="00CA0928"/>
    <w:rsid w:val="00CA09B7"/>
    <w:rsid w:val="00CA0AF8"/>
    <w:rsid w:val="00CA0B20"/>
    <w:rsid w:val="00CA0C88"/>
    <w:rsid w:val="00CA0D7A"/>
    <w:rsid w:val="00CA0E68"/>
    <w:rsid w:val="00CA1168"/>
    <w:rsid w:val="00CA1244"/>
    <w:rsid w:val="00CA14B7"/>
    <w:rsid w:val="00CA1565"/>
    <w:rsid w:val="00CA16B5"/>
    <w:rsid w:val="00CA17D9"/>
    <w:rsid w:val="00CA1E5B"/>
    <w:rsid w:val="00CA1FA0"/>
    <w:rsid w:val="00CA1FF9"/>
    <w:rsid w:val="00CA2496"/>
    <w:rsid w:val="00CA2720"/>
    <w:rsid w:val="00CA27B5"/>
    <w:rsid w:val="00CA2AE8"/>
    <w:rsid w:val="00CA2B73"/>
    <w:rsid w:val="00CA2B9A"/>
    <w:rsid w:val="00CA2BDA"/>
    <w:rsid w:val="00CA2C81"/>
    <w:rsid w:val="00CA2F6D"/>
    <w:rsid w:val="00CA3421"/>
    <w:rsid w:val="00CA3545"/>
    <w:rsid w:val="00CA3592"/>
    <w:rsid w:val="00CA368C"/>
    <w:rsid w:val="00CA368E"/>
    <w:rsid w:val="00CA37C1"/>
    <w:rsid w:val="00CA3907"/>
    <w:rsid w:val="00CA3BF6"/>
    <w:rsid w:val="00CA3D46"/>
    <w:rsid w:val="00CA3F98"/>
    <w:rsid w:val="00CA402D"/>
    <w:rsid w:val="00CA410E"/>
    <w:rsid w:val="00CA4165"/>
    <w:rsid w:val="00CA42DE"/>
    <w:rsid w:val="00CA43F3"/>
    <w:rsid w:val="00CA447E"/>
    <w:rsid w:val="00CA44F3"/>
    <w:rsid w:val="00CA494F"/>
    <w:rsid w:val="00CA49B0"/>
    <w:rsid w:val="00CA4B48"/>
    <w:rsid w:val="00CA4CD0"/>
    <w:rsid w:val="00CA4E86"/>
    <w:rsid w:val="00CA4FA6"/>
    <w:rsid w:val="00CA507E"/>
    <w:rsid w:val="00CA5161"/>
    <w:rsid w:val="00CA51CF"/>
    <w:rsid w:val="00CA52AA"/>
    <w:rsid w:val="00CA52E9"/>
    <w:rsid w:val="00CA5347"/>
    <w:rsid w:val="00CA56BF"/>
    <w:rsid w:val="00CA573A"/>
    <w:rsid w:val="00CA58BE"/>
    <w:rsid w:val="00CA5934"/>
    <w:rsid w:val="00CA5AA3"/>
    <w:rsid w:val="00CA5AE3"/>
    <w:rsid w:val="00CA5B55"/>
    <w:rsid w:val="00CA5B7D"/>
    <w:rsid w:val="00CA60D5"/>
    <w:rsid w:val="00CA61D5"/>
    <w:rsid w:val="00CA62C7"/>
    <w:rsid w:val="00CA63C6"/>
    <w:rsid w:val="00CA63CF"/>
    <w:rsid w:val="00CA6505"/>
    <w:rsid w:val="00CA6591"/>
    <w:rsid w:val="00CA68EC"/>
    <w:rsid w:val="00CA695B"/>
    <w:rsid w:val="00CA6B92"/>
    <w:rsid w:val="00CA6EF1"/>
    <w:rsid w:val="00CA6F62"/>
    <w:rsid w:val="00CA6FCA"/>
    <w:rsid w:val="00CA708C"/>
    <w:rsid w:val="00CA7131"/>
    <w:rsid w:val="00CA74E6"/>
    <w:rsid w:val="00CA7678"/>
    <w:rsid w:val="00CA7AA7"/>
    <w:rsid w:val="00CA7AE6"/>
    <w:rsid w:val="00CA7E09"/>
    <w:rsid w:val="00CA7FD3"/>
    <w:rsid w:val="00CB034C"/>
    <w:rsid w:val="00CB068B"/>
    <w:rsid w:val="00CB07AA"/>
    <w:rsid w:val="00CB08FD"/>
    <w:rsid w:val="00CB0CBA"/>
    <w:rsid w:val="00CB0CDF"/>
    <w:rsid w:val="00CB0DE9"/>
    <w:rsid w:val="00CB0FB0"/>
    <w:rsid w:val="00CB0FE7"/>
    <w:rsid w:val="00CB103E"/>
    <w:rsid w:val="00CB11FA"/>
    <w:rsid w:val="00CB148B"/>
    <w:rsid w:val="00CB14A9"/>
    <w:rsid w:val="00CB1669"/>
    <w:rsid w:val="00CB180D"/>
    <w:rsid w:val="00CB1CCB"/>
    <w:rsid w:val="00CB1CF6"/>
    <w:rsid w:val="00CB1DA0"/>
    <w:rsid w:val="00CB1E29"/>
    <w:rsid w:val="00CB1E9F"/>
    <w:rsid w:val="00CB1F24"/>
    <w:rsid w:val="00CB1F88"/>
    <w:rsid w:val="00CB21D0"/>
    <w:rsid w:val="00CB2460"/>
    <w:rsid w:val="00CB250F"/>
    <w:rsid w:val="00CB2699"/>
    <w:rsid w:val="00CB270C"/>
    <w:rsid w:val="00CB293D"/>
    <w:rsid w:val="00CB29BC"/>
    <w:rsid w:val="00CB2AB8"/>
    <w:rsid w:val="00CB2AF8"/>
    <w:rsid w:val="00CB3007"/>
    <w:rsid w:val="00CB313C"/>
    <w:rsid w:val="00CB3510"/>
    <w:rsid w:val="00CB3645"/>
    <w:rsid w:val="00CB381D"/>
    <w:rsid w:val="00CB3A1A"/>
    <w:rsid w:val="00CB3B59"/>
    <w:rsid w:val="00CB3C9A"/>
    <w:rsid w:val="00CB3CD0"/>
    <w:rsid w:val="00CB3CE4"/>
    <w:rsid w:val="00CB3CF2"/>
    <w:rsid w:val="00CB3D1E"/>
    <w:rsid w:val="00CB3E79"/>
    <w:rsid w:val="00CB3F54"/>
    <w:rsid w:val="00CB415F"/>
    <w:rsid w:val="00CB433E"/>
    <w:rsid w:val="00CB445E"/>
    <w:rsid w:val="00CB46B8"/>
    <w:rsid w:val="00CB4A08"/>
    <w:rsid w:val="00CB4D9B"/>
    <w:rsid w:val="00CB4F57"/>
    <w:rsid w:val="00CB528D"/>
    <w:rsid w:val="00CB5352"/>
    <w:rsid w:val="00CB5433"/>
    <w:rsid w:val="00CB5564"/>
    <w:rsid w:val="00CB5631"/>
    <w:rsid w:val="00CB56D9"/>
    <w:rsid w:val="00CB57F1"/>
    <w:rsid w:val="00CB5814"/>
    <w:rsid w:val="00CB5B7F"/>
    <w:rsid w:val="00CB5ECA"/>
    <w:rsid w:val="00CB5F5D"/>
    <w:rsid w:val="00CB5FD0"/>
    <w:rsid w:val="00CB6261"/>
    <w:rsid w:val="00CB6309"/>
    <w:rsid w:val="00CB6513"/>
    <w:rsid w:val="00CB6619"/>
    <w:rsid w:val="00CB66BA"/>
    <w:rsid w:val="00CB6701"/>
    <w:rsid w:val="00CB67D8"/>
    <w:rsid w:val="00CB67DE"/>
    <w:rsid w:val="00CB67ED"/>
    <w:rsid w:val="00CB6955"/>
    <w:rsid w:val="00CB6A11"/>
    <w:rsid w:val="00CB6A64"/>
    <w:rsid w:val="00CB6AA6"/>
    <w:rsid w:val="00CB6AAA"/>
    <w:rsid w:val="00CB6BBA"/>
    <w:rsid w:val="00CB6C9B"/>
    <w:rsid w:val="00CB6F8E"/>
    <w:rsid w:val="00CB6FB3"/>
    <w:rsid w:val="00CB7321"/>
    <w:rsid w:val="00CB732C"/>
    <w:rsid w:val="00CB73D1"/>
    <w:rsid w:val="00CB7468"/>
    <w:rsid w:val="00CB7520"/>
    <w:rsid w:val="00CB766F"/>
    <w:rsid w:val="00CB78DE"/>
    <w:rsid w:val="00CB78F9"/>
    <w:rsid w:val="00CB7923"/>
    <w:rsid w:val="00CB799F"/>
    <w:rsid w:val="00CB79DA"/>
    <w:rsid w:val="00CB7AE7"/>
    <w:rsid w:val="00CB7B0A"/>
    <w:rsid w:val="00CB7B96"/>
    <w:rsid w:val="00CB7C3F"/>
    <w:rsid w:val="00CB7CE7"/>
    <w:rsid w:val="00CB7D97"/>
    <w:rsid w:val="00CB7E0A"/>
    <w:rsid w:val="00CB7F67"/>
    <w:rsid w:val="00CC0202"/>
    <w:rsid w:val="00CC02AA"/>
    <w:rsid w:val="00CC0313"/>
    <w:rsid w:val="00CC0608"/>
    <w:rsid w:val="00CC0A9B"/>
    <w:rsid w:val="00CC0CCC"/>
    <w:rsid w:val="00CC115E"/>
    <w:rsid w:val="00CC1197"/>
    <w:rsid w:val="00CC1202"/>
    <w:rsid w:val="00CC14B7"/>
    <w:rsid w:val="00CC152B"/>
    <w:rsid w:val="00CC1564"/>
    <w:rsid w:val="00CC16CA"/>
    <w:rsid w:val="00CC16CE"/>
    <w:rsid w:val="00CC1777"/>
    <w:rsid w:val="00CC18FA"/>
    <w:rsid w:val="00CC1916"/>
    <w:rsid w:val="00CC1B82"/>
    <w:rsid w:val="00CC1D2C"/>
    <w:rsid w:val="00CC1E1B"/>
    <w:rsid w:val="00CC1FA7"/>
    <w:rsid w:val="00CC1FAC"/>
    <w:rsid w:val="00CC2160"/>
    <w:rsid w:val="00CC23A0"/>
    <w:rsid w:val="00CC242A"/>
    <w:rsid w:val="00CC27AA"/>
    <w:rsid w:val="00CC27C2"/>
    <w:rsid w:val="00CC2991"/>
    <w:rsid w:val="00CC29E0"/>
    <w:rsid w:val="00CC2A65"/>
    <w:rsid w:val="00CC2BCD"/>
    <w:rsid w:val="00CC2C4C"/>
    <w:rsid w:val="00CC2C4F"/>
    <w:rsid w:val="00CC2CE2"/>
    <w:rsid w:val="00CC2DE3"/>
    <w:rsid w:val="00CC2F48"/>
    <w:rsid w:val="00CC3048"/>
    <w:rsid w:val="00CC3070"/>
    <w:rsid w:val="00CC30CF"/>
    <w:rsid w:val="00CC363F"/>
    <w:rsid w:val="00CC379E"/>
    <w:rsid w:val="00CC3866"/>
    <w:rsid w:val="00CC396C"/>
    <w:rsid w:val="00CC398C"/>
    <w:rsid w:val="00CC3A39"/>
    <w:rsid w:val="00CC3B2D"/>
    <w:rsid w:val="00CC3CF0"/>
    <w:rsid w:val="00CC3DDC"/>
    <w:rsid w:val="00CC3F19"/>
    <w:rsid w:val="00CC421B"/>
    <w:rsid w:val="00CC4303"/>
    <w:rsid w:val="00CC4342"/>
    <w:rsid w:val="00CC443D"/>
    <w:rsid w:val="00CC44F7"/>
    <w:rsid w:val="00CC4608"/>
    <w:rsid w:val="00CC490A"/>
    <w:rsid w:val="00CC4C1F"/>
    <w:rsid w:val="00CC4F70"/>
    <w:rsid w:val="00CC4FAC"/>
    <w:rsid w:val="00CC4FD1"/>
    <w:rsid w:val="00CC5014"/>
    <w:rsid w:val="00CC50E5"/>
    <w:rsid w:val="00CC525E"/>
    <w:rsid w:val="00CC5327"/>
    <w:rsid w:val="00CC555C"/>
    <w:rsid w:val="00CC5775"/>
    <w:rsid w:val="00CC5BFC"/>
    <w:rsid w:val="00CC5D03"/>
    <w:rsid w:val="00CC5D9A"/>
    <w:rsid w:val="00CC5E82"/>
    <w:rsid w:val="00CC5F1F"/>
    <w:rsid w:val="00CC61A4"/>
    <w:rsid w:val="00CC61B2"/>
    <w:rsid w:val="00CC6209"/>
    <w:rsid w:val="00CC6486"/>
    <w:rsid w:val="00CC6623"/>
    <w:rsid w:val="00CC6842"/>
    <w:rsid w:val="00CC6928"/>
    <w:rsid w:val="00CC6A97"/>
    <w:rsid w:val="00CC6B6F"/>
    <w:rsid w:val="00CC6CE7"/>
    <w:rsid w:val="00CC6D1C"/>
    <w:rsid w:val="00CC706B"/>
    <w:rsid w:val="00CC70E4"/>
    <w:rsid w:val="00CC7383"/>
    <w:rsid w:val="00CC7752"/>
    <w:rsid w:val="00CC778F"/>
    <w:rsid w:val="00CC795B"/>
    <w:rsid w:val="00CC7A28"/>
    <w:rsid w:val="00CC7ABC"/>
    <w:rsid w:val="00CC7AE9"/>
    <w:rsid w:val="00CC7BB8"/>
    <w:rsid w:val="00CC7BE3"/>
    <w:rsid w:val="00CC7FF5"/>
    <w:rsid w:val="00CD0017"/>
    <w:rsid w:val="00CD003B"/>
    <w:rsid w:val="00CD01F5"/>
    <w:rsid w:val="00CD026F"/>
    <w:rsid w:val="00CD03A4"/>
    <w:rsid w:val="00CD0598"/>
    <w:rsid w:val="00CD05BD"/>
    <w:rsid w:val="00CD08ED"/>
    <w:rsid w:val="00CD0B25"/>
    <w:rsid w:val="00CD0BB7"/>
    <w:rsid w:val="00CD0E82"/>
    <w:rsid w:val="00CD0FBE"/>
    <w:rsid w:val="00CD10BB"/>
    <w:rsid w:val="00CD117F"/>
    <w:rsid w:val="00CD119D"/>
    <w:rsid w:val="00CD11F3"/>
    <w:rsid w:val="00CD12A3"/>
    <w:rsid w:val="00CD150B"/>
    <w:rsid w:val="00CD1532"/>
    <w:rsid w:val="00CD15B9"/>
    <w:rsid w:val="00CD1781"/>
    <w:rsid w:val="00CD1BC6"/>
    <w:rsid w:val="00CD1E8E"/>
    <w:rsid w:val="00CD21E8"/>
    <w:rsid w:val="00CD240E"/>
    <w:rsid w:val="00CD25D8"/>
    <w:rsid w:val="00CD27A6"/>
    <w:rsid w:val="00CD27A9"/>
    <w:rsid w:val="00CD27AD"/>
    <w:rsid w:val="00CD2885"/>
    <w:rsid w:val="00CD28C1"/>
    <w:rsid w:val="00CD2D50"/>
    <w:rsid w:val="00CD300F"/>
    <w:rsid w:val="00CD3546"/>
    <w:rsid w:val="00CD3A95"/>
    <w:rsid w:val="00CD3D40"/>
    <w:rsid w:val="00CD3E70"/>
    <w:rsid w:val="00CD40DF"/>
    <w:rsid w:val="00CD42A6"/>
    <w:rsid w:val="00CD4600"/>
    <w:rsid w:val="00CD4770"/>
    <w:rsid w:val="00CD477A"/>
    <w:rsid w:val="00CD4791"/>
    <w:rsid w:val="00CD47E3"/>
    <w:rsid w:val="00CD4935"/>
    <w:rsid w:val="00CD4BB3"/>
    <w:rsid w:val="00CD4BBB"/>
    <w:rsid w:val="00CD4C16"/>
    <w:rsid w:val="00CD4C19"/>
    <w:rsid w:val="00CD4C7F"/>
    <w:rsid w:val="00CD5010"/>
    <w:rsid w:val="00CD5306"/>
    <w:rsid w:val="00CD5371"/>
    <w:rsid w:val="00CD5489"/>
    <w:rsid w:val="00CD54CE"/>
    <w:rsid w:val="00CD55D1"/>
    <w:rsid w:val="00CD5963"/>
    <w:rsid w:val="00CD5B07"/>
    <w:rsid w:val="00CD5BF0"/>
    <w:rsid w:val="00CD5DB1"/>
    <w:rsid w:val="00CD5E41"/>
    <w:rsid w:val="00CD6165"/>
    <w:rsid w:val="00CD651E"/>
    <w:rsid w:val="00CD65F8"/>
    <w:rsid w:val="00CD6748"/>
    <w:rsid w:val="00CD6751"/>
    <w:rsid w:val="00CD6829"/>
    <w:rsid w:val="00CD697A"/>
    <w:rsid w:val="00CD6A5D"/>
    <w:rsid w:val="00CD6CC1"/>
    <w:rsid w:val="00CD6D7D"/>
    <w:rsid w:val="00CD6DB7"/>
    <w:rsid w:val="00CD6FFA"/>
    <w:rsid w:val="00CD7033"/>
    <w:rsid w:val="00CD70FB"/>
    <w:rsid w:val="00CD7606"/>
    <w:rsid w:val="00CD760C"/>
    <w:rsid w:val="00CD761A"/>
    <w:rsid w:val="00CD76B8"/>
    <w:rsid w:val="00CD774B"/>
    <w:rsid w:val="00CD7872"/>
    <w:rsid w:val="00CD7C36"/>
    <w:rsid w:val="00CD7C65"/>
    <w:rsid w:val="00CD7E5A"/>
    <w:rsid w:val="00CD7F95"/>
    <w:rsid w:val="00CD7FB6"/>
    <w:rsid w:val="00CE0011"/>
    <w:rsid w:val="00CE0151"/>
    <w:rsid w:val="00CE05A8"/>
    <w:rsid w:val="00CE05B6"/>
    <w:rsid w:val="00CE065D"/>
    <w:rsid w:val="00CE0799"/>
    <w:rsid w:val="00CE08A4"/>
    <w:rsid w:val="00CE0963"/>
    <w:rsid w:val="00CE0A43"/>
    <w:rsid w:val="00CE0F27"/>
    <w:rsid w:val="00CE0FF0"/>
    <w:rsid w:val="00CE10BD"/>
    <w:rsid w:val="00CE14C4"/>
    <w:rsid w:val="00CE153B"/>
    <w:rsid w:val="00CE15E7"/>
    <w:rsid w:val="00CE1677"/>
    <w:rsid w:val="00CE1855"/>
    <w:rsid w:val="00CE18E4"/>
    <w:rsid w:val="00CE1917"/>
    <w:rsid w:val="00CE1975"/>
    <w:rsid w:val="00CE1979"/>
    <w:rsid w:val="00CE1BE9"/>
    <w:rsid w:val="00CE1F17"/>
    <w:rsid w:val="00CE20BE"/>
    <w:rsid w:val="00CE2192"/>
    <w:rsid w:val="00CE21FF"/>
    <w:rsid w:val="00CE2308"/>
    <w:rsid w:val="00CE2377"/>
    <w:rsid w:val="00CE23AE"/>
    <w:rsid w:val="00CE2934"/>
    <w:rsid w:val="00CE2A4E"/>
    <w:rsid w:val="00CE2C1D"/>
    <w:rsid w:val="00CE2EA1"/>
    <w:rsid w:val="00CE2ECE"/>
    <w:rsid w:val="00CE2F11"/>
    <w:rsid w:val="00CE353D"/>
    <w:rsid w:val="00CE3567"/>
    <w:rsid w:val="00CE3612"/>
    <w:rsid w:val="00CE371A"/>
    <w:rsid w:val="00CE37FE"/>
    <w:rsid w:val="00CE3801"/>
    <w:rsid w:val="00CE3A29"/>
    <w:rsid w:val="00CE3B58"/>
    <w:rsid w:val="00CE3D75"/>
    <w:rsid w:val="00CE3F8D"/>
    <w:rsid w:val="00CE4119"/>
    <w:rsid w:val="00CE441C"/>
    <w:rsid w:val="00CE4494"/>
    <w:rsid w:val="00CE4528"/>
    <w:rsid w:val="00CE4537"/>
    <w:rsid w:val="00CE462A"/>
    <w:rsid w:val="00CE46BB"/>
    <w:rsid w:val="00CE4ADD"/>
    <w:rsid w:val="00CE4BF6"/>
    <w:rsid w:val="00CE4D0F"/>
    <w:rsid w:val="00CE4D27"/>
    <w:rsid w:val="00CE4D66"/>
    <w:rsid w:val="00CE4F1A"/>
    <w:rsid w:val="00CE5255"/>
    <w:rsid w:val="00CE58CA"/>
    <w:rsid w:val="00CE58CF"/>
    <w:rsid w:val="00CE5A3D"/>
    <w:rsid w:val="00CE5AA5"/>
    <w:rsid w:val="00CE5ACF"/>
    <w:rsid w:val="00CE5DBB"/>
    <w:rsid w:val="00CE5E17"/>
    <w:rsid w:val="00CE5ECA"/>
    <w:rsid w:val="00CE5ED7"/>
    <w:rsid w:val="00CE5F60"/>
    <w:rsid w:val="00CE60DE"/>
    <w:rsid w:val="00CE6130"/>
    <w:rsid w:val="00CE62A2"/>
    <w:rsid w:val="00CE6518"/>
    <w:rsid w:val="00CE6792"/>
    <w:rsid w:val="00CE68C4"/>
    <w:rsid w:val="00CE7094"/>
    <w:rsid w:val="00CE7214"/>
    <w:rsid w:val="00CE736F"/>
    <w:rsid w:val="00CE744D"/>
    <w:rsid w:val="00CE74F4"/>
    <w:rsid w:val="00CE74F9"/>
    <w:rsid w:val="00CE7592"/>
    <w:rsid w:val="00CE7647"/>
    <w:rsid w:val="00CE7696"/>
    <w:rsid w:val="00CE7795"/>
    <w:rsid w:val="00CE7921"/>
    <w:rsid w:val="00CE7985"/>
    <w:rsid w:val="00CE7BF5"/>
    <w:rsid w:val="00CE7C17"/>
    <w:rsid w:val="00CE7CD8"/>
    <w:rsid w:val="00CE7F13"/>
    <w:rsid w:val="00CF0058"/>
    <w:rsid w:val="00CF00EF"/>
    <w:rsid w:val="00CF0133"/>
    <w:rsid w:val="00CF03A4"/>
    <w:rsid w:val="00CF04D1"/>
    <w:rsid w:val="00CF05F6"/>
    <w:rsid w:val="00CF05F8"/>
    <w:rsid w:val="00CF0B9B"/>
    <w:rsid w:val="00CF0BA3"/>
    <w:rsid w:val="00CF0C49"/>
    <w:rsid w:val="00CF0C8F"/>
    <w:rsid w:val="00CF12B6"/>
    <w:rsid w:val="00CF1349"/>
    <w:rsid w:val="00CF1530"/>
    <w:rsid w:val="00CF15E7"/>
    <w:rsid w:val="00CF16FE"/>
    <w:rsid w:val="00CF1855"/>
    <w:rsid w:val="00CF18FC"/>
    <w:rsid w:val="00CF196A"/>
    <w:rsid w:val="00CF1A0B"/>
    <w:rsid w:val="00CF1A9D"/>
    <w:rsid w:val="00CF1AD1"/>
    <w:rsid w:val="00CF1BFB"/>
    <w:rsid w:val="00CF1F30"/>
    <w:rsid w:val="00CF1FEF"/>
    <w:rsid w:val="00CF206E"/>
    <w:rsid w:val="00CF20A8"/>
    <w:rsid w:val="00CF24AE"/>
    <w:rsid w:val="00CF24B7"/>
    <w:rsid w:val="00CF25EE"/>
    <w:rsid w:val="00CF281D"/>
    <w:rsid w:val="00CF2C29"/>
    <w:rsid w:val="00CF2D2E"/>
    <w:rsid w:val="00CF2ED2"/>
    <w:rsid w:val="00CF30C1"/>
    <w:rsid w:val="00CF318D"/>
    <w:rsid w:val="00CF3255"/>
    <w:rsid w:val="00CF33BE"/>
    <w:rsid w:val="00CF36B4"/>
    <w:rsid w:val="00CF3BDC"/>
    <w:rsid w:val="00CF3D37"/>
    <w:rsid w:val="00CF3EFB"/>
    <w:rsid w:val="00CF3F02"/>
    <w:rsid w:val="00CF3F75"/>
    <w:rsid w:val="00CF3FB2"/>
    <w:rsid w:val="00CF40E5"/>
    <w:rsid w:val="00CF42D7"/>
    <w:rsid w:val="00CF469C"/>
    <w:rsid w:val="00CF4847"/>
    <w:rsid w:val="00CF48B1"/>
    <w:rsid w:val="00CF4B04"/>
    <w:rsid w:val="00CF4B30"/>
    <w:rsid w:val="00CF4B75"/>
    <w:rsid w:val="00CF4D02"/>
    <w:rsid w:val="00CF4FE5"/>
    <w:rsid w:val="00CF502B"/>
    <w:rsid w:val="00CF50B3"/>
    <w:rsid w:val="00CF51B7"/>
    <w:rsid w:val="00CF51C0"/>
    <w:rsid w:val="00CF527D"/>
    <w:rsid w:val="00CF536A"/>
    <w:rsid w:val="00CF55E5"/>
    <w:rsid w:val="00CF56BC"/>
    <w:rsid w:val="00CF57ED"/>
    <w:rsid w:val="00CF5B29"/>
    <w:rsid w:val="00CF5E06"/>
    <w:rsid w:val="00CF61F5"/>
    <w:rsid w:val="00CF6361"/>
    <w:rsid w:val="00CF636A"/>
    <w:rsid w:val="00CF647E"/>
    <w:rsid w:val="00CF64BC"/>
    <w:rsid w:val="00CF6554"/>
    <w:rsid w:val="00CF6627"/>
    <w:rsid w:val="00CF6708"/>
    <w:rsid w:val="00CF6C9A"/>
    <w:rsid w:val="00CF6F48"/>
    <w:rsid w:val="00CF7221"/>
    <w:rsid w:val="00CF7514"/>
    <w:rsid w:val="00CF76F0"/>
    <w:rsid w:val="00CF782D"/>
    <w:rsid w:val="00CF7873"/>
    <w:rsid w:val="00CF7F2E"/>
    <w:rsid w:val="00D0000C"/>
    <w:rsid w:val="00D0032F"/>
    <w:rsid w:val="00D00368"/>
    <w:rsid w:val="00D00406"/>
    <w:rsid w:val="00D004BE"/>
    <w:rsid w:val="00D00525"/>
    <w:rsid w:val="00D00655"/>
    <w:rsid w:val="00D00746"/>
    <w:rsid w:val="00D00B9B"/>
    <w:rsid w:val="00D00C1A"/>
    <w:rsid w:val="00D00C49"/>
    <w:rsid w:val="00D00DBC"/>
    <w:rsid w:val="00D00E4D"/>
    <w:rsid w:val="00D00E61"/>
    <w:rsid w:val="00D00F46"/>
    <w:rsid w:val="00D00FA6"/>
    <w:rsid w:val="00D01041"/>
    <w:rsid w:val="00D011AE"/>
    <w:rsid w:val="00D0161F"/>
    <w:rsid w:val="00D016D0"/>
    <w:rsid w:val="00D016EF"/>
    <w:rsid w:val="00D018D8"/>
    <w:rsid w:val="00D01B02"/>
    <w:rsid w:val="00D01EB7"/>
    <w:rsid w:val="00D022A3"/>
    <w:rsid w:val="00D022D5"/>
    <w:rsid w:val="00D02522"/>
    <w:rsid w:val="00D025E0"/>
    <w:rsid w:val="00D02654"/>
    <w:rsid w:val="00D02793"/>
    <w:rsid w:val="00D0283D"/>
    <w:rsid w:val="00D028B5"/>
    <w:rsid w:val="00D028DA"/>
    <w:rsid w:val="00D02A0B"/>
    <w:rsid w:val="00D02A95"/>
    <w:rsid w:val="00D02B24"/>
    <w:rsid w:val="00D02C33"/>
    <w:rsid w:val="00D02E9A"/>
    <w:rsid w:val="00D02F6C"/>
    <w:rsid w:val="00D03586"/>
    <w:rsid w:val="00D037F8"/>
    <w:rsid w:val="00D038FC"/>
    <w:rsid w:val="00D03ADA"/>
    <w:rsid w:val="00D03BB5"/>
    <w:rsid w:val="00D03BE8"/>
    <w:rsid w:val="00D03C7A"/>
    <w:rsid w:val="00D03F27"/>
    <w:rsid w:val="00D03F4B"/>
    <w:rsid w:val="00D04208"/>
    <w:rsid w:val="00D04248"/>
    <w:rsid w:val="00D04314"/>
    <w:rsid w:val="00D043E6"/>
    <w:rsid w:val="00D04555"/>
    <w:rsid w:val="00D047C6"/>
    <w:rsid w:val="00D047CE"/>
    <w:rsid w:val="00D04822"/>
    <w:rsid w:val="00D04835"/>
    <w:rsid w:val="00D04945"/>
    <w:rsid w:val="00D0495A"/>
    <w:rsid w:val="00D04DC1"/>
    <w:rsid w:val="00D04E33"/>
    <w:rsid w:val="00D04E87"/>
    <w:rsid w:val="00D04ECA"/>
    <w:rsid w:val="00D04F01"/>
    <w:rsid w:val="00D04FAB"/>
    <w:rsid w:val="00D0514E"/>
    <w:rsid w:val="00D0524F"/>
    <w:rsid w:val="00D05350"/>
    <w:rsid w:val="00D054DF"/>
    <w:rsid w:val="00D05618"/>
    <w:rsid w:val="00D05638"/>
    <w:rsid w:val="00D05726"/>
    <w:rsid w:val="00D05775"/>
    <w:rsid w:val="00D05780"/>
    <w:rsid w:val="00D05808"/>
    <w:rsid w:val="00D05904"/>
    <w:rsid w:val="00D05A16"/>
    <w:rsid w:val="00D05E6B"/>
    <w:rsid w:val="00D0608A"/>
    <w:rsid w:val="00D06483"/>
    <w:rsid w:val="00D064D2"/>
    <w:rsid w:val="00D0660D"/>
    <w:rsid w:val="00D066A7"/>
    <w:rsid w:val="00D066D9"/>
    <w:rsid w:val="00D06779"/>
    <w:rsid w:val="00D0689F"/>
    <w:rsid w:val="00D06B75"/>
    <w:rsid w:val="00D06D69"/>
    <w:rsid w:val="00D06DAF"/>
    <w:rsid w:val="00D06E96"/>
    <w:rsid w:val="00D06EE1"/>
    <w:rsid w:val="00D07103"/>
    <w:rsid w:val="00D0720B"/>
    <w:rsid w:val="00D07295"/>
    <w:rsid w:val="00D072C2"/>
    <w:rsid w:val="00D074A8"/>
    <w:rsid w:val="00D074C6"/>
    <w:rsid w:val="00D075C6"/>
    <w:rsid w:val="00D0762E"/>
    <w:rsid w:val="00D0766B"/>
    <w:rsid w:val="00D078D6"/>
    <w:rsid w:val="00D07AA0"/>
    <w:rsid w:val="00D07D1B"/>
    <w:rsid w:val="00D10006"/>
    <w:rsid w:val="00D102F9"/>
    <w:rsid w:val="00D1060D"/>
    <w:rsid w:val="00D106E5"/>
    <w:rsid w:val="00D10795"/>
    <w:rsid w:val="00D107A9"/>
    <w:rsid w:val="00D107C7"/>
    <w:rsid w:val="00D107CD"/>
    <w:rsid w:val="00D10844"/>
    <w:rsid w:val="00D10954"/>
    <w:rsid w:val="00D109BE"/>
    <w:rsid w:val="00D10B4A"/>
    <w:rsid w:val="00D10B57"/>
    <w:rsid w:val="00D10C7C"/>
    <w:rsid w:val="00D10CA8"/>
    <w:rsid w:val="00D1103B"/>
    <w:rsid w:val="00D1134B"/>
    <w:rsid w:val="00D11434"/>
    <w:rsid w:val="00D11463"/>
    <w:rsid w:val="00D11AC8"/>
    <w:rsid w:val="00D11D90"/>
    <w:rsid w:val="00D11E45"/>
    <w:rsid w:val="00D11EBB"/>
    <w:rsid w:val="00D11FC1"/>
    <w:rsid w:val="00D11FDF"/>
    <w:rsid w:val="00D1232F"/>
    <w:rsid w:val="00D12441"/>
    <w:rsid w:val="00D124C4"/>
    <w:rsid w:val="00D12696"/>
    <w:rsid w:val="00D129D2"/>
    <w:rsid w:val="00D12B2B"/>
    <w:rsid w:val="00D12C59"/>
    <w:rsid w:val="00D12CD9"/>
    <w:rsid w:val="00D12D14"/>
    <w:rsid w:val="00D12DB5"/>
    <w:rsid w:val="00D12E55"/>
    <w:rsid w:val="00D12EB2"/>
    <w:rsid w:val="00D1316B"/>
    <w:rsid w:val="00D1342C"/>
    <w:rsid w:val="00D134BA"/>
    <w:rsid w:val="00D1350A"/>
    <w:rsid w:val="00D136D2"/>
    <w:rsid w:val="00D1378F"/>
    <w:rsid w:val="00D13829"/>
    <w:rsid w:val="00D13897"/>
    <w:rsid w:val="00D138E2"/>
    <w:rsid w:val="00D13AC5"/>
    <w:rsid w:val="00D13B3A"/>
    <w:rsid w:val="00D13BF4"/>
    <w:rsid w:val="00D13E50"/>
    <w:rsid w:val="00D13E98"/>
    <w:rsid w:val="00D13F49"/>
    <w:rsid w:val="00D13FE7"/>
    <w:rsid w:val="00D1439F"/>
    <w:rsid w:val="00D1452E"/>
    <w:rsid w:val="00D1480F"/>
    <w:rsid w:val="00D14848"/>
    <w:rsid w:val="00D14894"/>
    <w:rsid w:val="00D1498C"/>
    <w:rsid w:val="00D14A63"/>
    <w:rsid w:val="00D14B3F"/>
    <w:rsid w:val="00D14BC6"/>
    <w:rsid w:val="00D14E22"/>
    <w:rsid w:val="00D14FAB"/>
    <w:rsid w:val="00D14FB9"/>
    <w:rsid w:val="00D15006"/>
    <w:rsid w:val="00D1505C"/>
    <w:rsid w:val="00D15106"/>
    <w:rsid w:val="00D152B2"/>
    <w:rsid w:val="00D1536C"/>
    <w:rsid w:val="00D153E1"/>
    <w:rsid w:val="00D15546"/>
    <w:rsid w:val="00D1557F"/>
    <w:rsid w:val="00D15661"/>
    <w:rsid w:val="00D156B2"/>
    <w:rsid w:val="00D158AF"/>
    <w:rsid w:val="00D1593D"/>
    <w:rsid w:val="00D15BBA"/>
    <w:rsid w:val="00D15D27"/>
    <w:rsid w:val="00D15D37"/>
    <w:rsid w:val="00D15EF3"/>
    <w:rsid w:val="00D15F69"/>
    <w:rsid w:val="00D16036"/>
    <w:rsid w:val="00D1610C"/>
    <w:rsid w:val="00D1614F"/>
    <w:rsid w:val="00D163FD"/>
    <w:rsid w:val="00D164EE"/>
    <w:rsid w:val="00D1691B"/>
    <w:rsid w:val="00D169EE"/>
    <w:rsid w:val="00D16CC2"/>
    <w:rsid w:val="00D16D83"/>
    <w:rsid w:val="00D1708C"/>
    <w:rsid w:val="00D1719B"/>
    <w:rsid w:val="00D173D4"/>
    <w:rsid w:val="00D174FC"/>
    <w:rsid w:val="00D1772F"/>
    <w:rsid w:val="00D179C0"/>
    <w:rsid w:val="00D179D0"/>
    <w:rsid w:val="00D17B25"/>
    <w:rsid w:val="00D17BD4"/>
    <w:rsid w:val="00D17DC2"/>
    <w:rsid w:val="00D17E02"/>
    <w:rsid w:val="00D17E7A"/>
    <w:rsid w:val="00D2001E"/>
    <w:rsid w:val="00D20021"/>
    <w:rsid w:val="00D200F8"/>
    <w:rsid w:val="00D2056C"/>
    <w:rsid w:val="00D205F3"/>
    <w:rsid w:val="00D20B86"/>
    <w:rsid w:val="00D20BF7"/>
    <w:rsid w:val="00D20C18"/>
    <w:rsid w:val="00D20D31"/>
    <w:rsid w:val="00D21013"/>
    <w:rsid w:val="00D211A2"/>
    <w:rsid w:val="00D21217"/>
    <w:rsid w:val="00D213E9"/>
    <w:rsid w:val="00D21538"/>
    <w:rsid w:val="00D21592"/>
    <w:rsid w:val="00D215F3"/>
    <w:rsid w:val="00D21807"/>
    <w:rsid w:val="00D21898"/>
    <w:rsid w:val="00D218C3"/>
    <w:rsid w:val="00D21A28"/>
    <w:rsid w:val="00D21ADF"/>
    <w:rsid w:val="00D21B4A"/>
    <w:rsid w:val="00D21D60"/>
    <w:rsid w:val="00D21DFF"/>
    <w:rsid w:val="00D21EA7"/>
    <w:rsid w:val="00D21F0B"/>
    <w:rsid w:val="00D21FB4"/>
    <w:rsid w:val="00D220C0"/>
    <w:rsid w:val="00D22118"/>
    <w:rsid w:val="00D22270"/>
    <w:rsid w:val="00D2228C"/>
    <w:rsid w:val="00D222ED"/>
    <w:rsid w:val="00D2230A"/>
    <w:rsid w:val="00D2249D"/>
    <w:rsid w:val="00D22686"/>
    <w:rsid w:val="00D226F2"/>
    <w:rsid w:val="00D22713"/>
    <w:rsid w:val="00D22854"/>
    <w:rsid w:val="00D22A4A"/>
    <w:rsid w:val="00D22BEE"/>
    <w:rsid w:val="00D22C2C"/>
    <w:rsid w:val="00D22C85"/>
    <w:rsid w:val="00D23325"/>
    <w:rsid w:val="00D23410"/>
    <w:rsid w:val="00D2354C"/>
    <w:rsid w:val="00D236F5"/>
    <w:rsid w:val="00D237C0"/>
    <w:rsid w:val="00D2385E"/>
    <w:rsid w:val="00D23978"/>
    <w:rsid w:val="00D23A04"/>
    <w:rsid w:val="00D23A35"/>
    <w:rsid w:val="00D242E0"/>
    <w:rsid w:val="00D2431E"/>
    <w:rsid w:val="00D2463F"/>
    <w:rsid w:val="00D24833"/>
    <w:rsid w:val="00D2490A"/>
    <w:rsid w:val="00D2499D"/>
    <w:rsid w:val="00D249A7"/>
    <w:rsid w:val="00D24ADA"/>
    <w:rsid w:val="00D24C65"/>
    <w:rsid w:val="00D24D05"/>
    <w:rsid w:val="00D24E9C"/>
    <w:rsid w:val="00D24EB8"/>
    <w:rsid w:val="00D250F6"/>
    <w:rsid w:val="00D252BA"/>
    <w:rsid w:val="00D2550E"/>
    <w:rsid w:val="00D25741"/>
    <w:rsid w:val="00D25CA2"/>
    <w:rsid w:val="00D25D59"/>
    <w:rsid w:val="00D25E2C"/>
    <w:rsid w:val="00D25EC8"/>
    <w:rsid w:val="00D261A5"/>
    <w:rsid w:val="00D261CF"/>
    <w:rsid w:val="00D26205"/>
    <w:rsid w:val="00D2620E"/>
    <w:rsid w:val="00D26210"/>
    <w:rsid w:val="00D2623A"/>
    <w:rsid w:val="00D2625B"/>
    <w:rsid w:val="00D262EB"/>
    <w:rsid w:val="00D2639A"/>
    <w:rsid w:val="00D26546"/>
    <w:rsid w:val="00D2656D"/>
    <w:rsid w:val="00D26657"/>
    <w:rsid w:val="00D268A3"/>
    <w:rsid w:val="00D268B2"/>
    <w:rsid w:val="00D268BE"/>
    <w:rsid w:val="00D26932"/>
    <w:rsid w:val="00D26C86"/>
    <w:rsid w:val="00D26E0D"/>
    <w:rsid w:val="00D26F55"/>
    <w:rsid w:val="00D2722A"/>
    <w:rsid w:val="00D27240"/>
    <w:rsid w:val="00D272BD"/>
    <w:rsid w:val="00D2739F"/>
    <w:rsid w:val="00D273CB"/>
    <w:rsid w:val="00D27614"/>
    <w:rsid w:val="00D2799A"/>
    <w:rsid w:val="00D279FA"/>
    <w:rsid w:val="00D27AC6"/>
    <w:rsid w:val="00D27BC9"/>
    <w:rsid w:val="00D27C4A"/>
    <w:rsid w:val="00D27C5B"/>
    <w:rsid w:val="00D27E53"/>
    <w:rsid w:val="00D27E6B"/>
    <w:rsid w:val="00D27F4D"/>
    <w:rsid w:val="00D3007D"/>
    <w:rsid w:val="00D30534"/>
    <w:rsid w:val="00D305B3"/>
    <w:rsid w:val="00D30968"/>
    <w:rsid w:val="00D309B0"/>
    <w:rsid w:val="00D30AEB"/>
    <w:rsid w:val="00D30C1A"/>
    <w:rsid w:val="00D30E72"/>
    <w:rsid w:val="00D30F5A"/>
    <w:rsid w:val="00D317B3"/>
    <w:rsid w:val="00D31A20"/>
    <w:rsid w:val="00D31ADF"/>
    <w:rsid w:val="00D31C87"/>
    <w:rsid w:val="00D31D43"/>
    <w:rsid w:val="00D31D57"/>
    <w:rsid w:val="00D32031"/>
    <w:rsid w:val="00D32141"/>
    <w:rsid w:val="00D32362"/>
    <w:rsid w:val="00D3261A"/>
    <w:rsid w:val="00D3271F"/>
    <w:rsid w:val="00D32920"/>
    <w:rsid w:val="00D3294E"/>
    <w:rsid w:val="00D32950"/>
    <w:rsid w:val="00D3298C"/>
    <w:rsid w:val="00D32A69"/>
    <w:rsid w:val="00D32BFB"/>
    <w:rsid w:val="00D32C36"/>
    <w:rsid w:val="00D32CC1"/>
    <w:rsid w:val="00D32FC2"/>
    <w:rsid w:val="00D33059"/>
    <w:rsid w:val="00D3321A"/>
    <w:rsid w:val="00D33558"/>
    <w:rsid w:val="00D3387E"/>
    <w:rsid w:val="00D3390E"/>
    <w:rsid w:val="00D339D9"/>
    <w:rsid w:val="00D33A69"/>
    <w:rsid w:val="00D33CF6"/>
    <w:rsid w:val="00D33D0A"/>
    <w:rsid w:val="00D33E94"/>
    <w:rsid w:val="00D34010"/>
    <w:rsid w:val="00D342F4"/>
    <w:rsid w:val="00D3435C"/>
    <w:rsid w:val="00D3454C"/>
    <w:rsid w:val="00D34CD2"/>
    <w:rsid w:val="00D34EAF"/>
    <w:rsid w:val="00D34F5C"/>
    <w:rsid w:val="00D34FF9"/>
    <w:rsid w:val="00D3504F"/>
    <w:rsid w:val="00D3508B"/>
    <w:rsid w:val="00D3537E"/>
    <w:rsid w:val="00D35504"/>
    <w:rsid w:val="00D355E8"/>
    <w:rsid w:val="00D357EC"/>
    <w:rsid w:val="00D35846"/>
    <w:rsid w:val="00D35899"/>
    <w:rsid w:val="00D3595F"/>
    <w:rsid w:val="00D3599E"/>
    <w:rsid w:val="00D35AE3"/>
    <w:rsid w:val="00D35F8C"/>
    <w:rsid w:val="00D35FE1"/>
    <w:rsid w:val="00D35FE4"/>
    <w:rsid w:val="00D36035"/>
    <w:rsid w:val="00D360CF"/>
    <w:rsid w:val="00D362C9"/>
    <w:rsid w:val="00D36610"/>
    <w:rsid w:val="00D367E9"/>
    <w:rsid w:val="00D36977"/>
    <w:rsid w:val="00D36A84"/>
    <w:rsid w:val="00D36C32"/>
    <w:rsid w:val="00D36DD4"/>
    <w:rsid w:val="00D36E50"/>
    <w:rsid w:val="00D36FF5"/>
    <w:rsid w:val="00D37114"/>
    <w:rsid w:val="00D37185"/>
    <w:rsid w:val="00D3766B"/>
    <w:rsid w:val="00D37881"/>
    <w:rsid w:val="00D379F2"/>
    <w:rsid w:val="00D37D92"/>
    <w:rsid w:val="00D37DAE"/>
    <w:rsid w:val="00D37F45"/>
    <w:rsid w:val="00D40002"/>
    <w:rsid w:val="00D400F5"/>
    <w:rsid w:val="00D40112"/>
    <w:rsid w:val="00D40242"/>
    <w:rsid w:val="00D40410"/>
    <w:rsid w:val="00D4049E"/>
    <w:rsid w:val="00D406F9"/>
    <w:rsid w:val="00D40795"/>
    <w:rsid w:val="00D40B17"/>
    <w:rsid w:val="00D40C16"/>
    <w:rsid w:val="00D4102A"/>
    <w:rsid w:val="00D4105E"/>
    <w:rsid w:val="00D410D3"/>
    <w:rsid w:val="00D4113E"/>
    <w:rsid w:val="00D41177"/>
    <w:rsid w:val="00D41230"/>
    <w:rsid w:val="00D41272"/>
    <w:rsid w:val="00D4132A"/>
    <w:rsid w:val="00D413A7"/>
    <w:rsid w:val="00D41479"/>
    <w:rsid w:val="00D4148D"/>
    <w:rsid w:val="00D4157C"/>
    <w:rsid w:val="00D41AB0"/>
    <w:rsid w:val="00D41F32"/>
    <w:rsid w:val="00D42169"/>
    <w:rsid w:val="00D42176"/>
    <w:rsid w:val="00D4240B"/>
    <w:rsid w:val="00D424A1"/>
    <w:rsid w:val="00D42578"/>
    <w:rsid w:val="00D42645"/>
    <w:rsid w:val="00D427E9"/>
    <w:rsid w:val="00D4285A"/>
    <w:rsid w:val="00D42970"/>
    <w:rsid w:val="00D42988"/>
    <w:rsid w:val="00D4298D"/>
    <w:rsid w:val="00D42B4B"/>
    <w:rsid w:val="00D42BDA"/>
    <w:rsid w:val="00D42D3B"/>
    <w:rsid w:val="00D42D7D"/>
    <w:rsid w:val="00D42E24"/>
    <w:rsid w:val="00D42EF9"/>
    <w:rsid w:val="00D42F32"/>
    <w:rsid w:val="00D42F8D"/>
    <w:rsid w:val="00D43063"/>
    <w:rsid w:val="00D4307D"/>
    <w:rsid w:val="00D432C5"/>
    <w:rsid w:val="00D4330B"/>
    <w:rsid w:val="00D4333E"/>
    <w:rsid w:val="00D4338E"/>
    <w:rsid w:val="00D4345C"/>
    <w:rsid w:val="00D43516"/>
    <w:rsid w:val="00D43518"/>
    <w:rsid w:val="00D4384D"/>
    <w:rsid w:val="00D43C34"/>
    <w:rsid w:val="00D43E23"/>
    <w:rsid w:val="00D43E57"/>
    <w:rsid w:val="00D43FC1"/>
    <w:rsid w:val="00D44052"/>
    <w:rsid w:val="00D443D3"/>
    <w:rsid w:val="00D4443A"/>
    <w:rsid w:val="00D4453B"/>
    <w:rsid w:val="00D446E6"/>
    <w:rsid w:val="00D44962"/>
    <w:rsid w:val="00D44EEB"/>
    <w:rsid w:val="00D45166"/>
    <w:rsid w:val="00D453CB"/>
    <w:rsid w:val="00D45541"/>
    <w:rsid w:val="00D456C3"/>
    <w:rsid w:val="00D457E8"/>
    <w:rsid w:val="00D458B4"/>
    <w:rsid w:val="00D45A21"/>
    <w:rsid w:val="00D45DF8"/>
    <w:rsid w:val="00D46024"/>
    <w:rsid w:val="00D46083"/>
    <w:rsid w:val="00D46107"/>
    <w:rsid w:val="00D461F6"/>
    <w:rsid w:val="00D46416"/>
    <w:rsid w:val="00D46673"/>
    <w:rsid w:val="00D4682E"/>
    <w:rsid w:val="00D469AD"/>
    <w:rsid w:val="00D46A87"/>
    <w:rsid w:val="00D46C85"/>
    <w:rsid w:val="00D46FAC"/>
    <w:rsid w:val="00D477AA"/>
    <w:rsid w:val="00D479A5"/>
    <w:rsid w:val="00D479F0"/>
    <w:rsid w:val="00D47B77"/>
    <w:rsid w:val="00D47D00"/>
    <w:rsid w:val="00D47D53"/>
    <w:rsid w:val="00D47E05"/>
    <w:rsid w:val="00D47E0A"/>
    <w:rsid w:val="00D47F79"/>
    <w:rsid w:val="00D5007F"/>
    <w:rsid w:val="00D500A6"/>
    <w:rsid w:val="00D50223"/>
    <w:rsid w:val="00D502D7"/>
    <w:rsid w:val="00D50310"/>
    <w:rsid w:val="00D504EC"/>
    <w:rsid w:val="00D505DB"/>
    <w:rsid w:val="00D505FB"/>
    <w:rsid w:val="00D50854"/>
    <w:rsid w:val="00D50899"/>
    <w:rsid w:val="00D50961"/>
    <w:rsid w:val="00D50B87"/>
    <w:rsid w:val="00D50CA7"/>
    <w:rsid w:val="00D50CB6"/>
    <w:rsid w:val="00D50EC3"/>
    <w:rsid w:val="00D50F9D"/>
    <w:rsid w:val="00D5100C"/>
    <w:rsid w:val="00D5124E"/>
    <w:rsid w:val="00D51270"/>
    <w:rsid w:val="00D513CF"/>
    <w:rsid w:val="00D514A4"/>
    <w:rsid w:val="00D514CF"/>
    <w:rsid w:val="00D514F8"/>
    <w:rsid w:val="00D51C16"/>
    <w:rsid w:val="00D51C37"/>
    <w:rsid w:val="00D51CA6"/>
    <w:rsid w:val="00D51D93"/>
    <w:rsid w:val="00D51E4F"/>
    <w:rsid w:val="00D52033"/>
    <w:rsid w:val="00D5213F"/>
    <w:rsid w:val="00D5223B"/>
    <w:rsid w:val="00D5223E"/>
    <w:rsid w:val="00D5257B"/>
    <w:rsid w:val="00D526E0"/>
    <w:rsid w:val="00D52784"/>
    <w:rsid w:val="00D5283B"/>
    <w:rsid w:val="00D528D4"/>
    <w:rsid w:val="00D52A6F"/>
    <w:rsid w:val="00D52B87"/>
    <w:rsid w:val="00D52D67"/>
    <w:rsid w:val="00D52DCE"/>
    <w:rsid w:val="00D53224"/>
    <w:rsid w:val="00D5343D"/>
    <w:rsid w:val="00D53530"/>
    <w:rsid w:val="00D5355C"/>
    <w:rsid w:val="00D5368B"/>
    <w:rsid w:val="00D536BD"/>
    <w:rsid w:val="00D53878"/>
    <w:rsid w:val="00D53934"/>
    <w:rsid w:val="00D53B3E"/>
    <w:rsid w:val="00D53D47"/>
    <w:rsid w:val="00D53E0C"/>
    <w:rsid w:val="00D53E72"/>
    <w:rsid w:val="00D54036"/>
    <w:rsid w:val="00D54147"/>
    <w:rsid w:val="00D54158"/>
    <w:rsid w:val="00D54262"/>
    <w:rsid w:val="00D542B5"/>
    <w:rsid w:val="00D5434B"/>
    <w:rsid w:val="00D544EB"/>
    <w:rsid w:val="00D546E5"/>
    <w:rsid w:val="00D547BC"/>
    <w:rsid w:val="00D54A75"/>
    <w:rsid w:val="00D551C7"/>
    <w:rsid w:val="00D5588C"/>
    <w:rsid w:val="00D558EA"/>
    <w:rsid w:val="00D55ADE"/>
    <w:rsid w:val="00D55B04"/>
    <w:rsid w:val="00D55B2B"/>
    <w:rsid w:val="00D55BD3"/>
    <w:rsid w:val="00D55DAA"/>
    <w:rsid w:val="00D55E6E"/>
    <w:rsid w:val="00D55F41"/>
    <w:rsid w:val="00D56769"/>
    <w:rsid w:val="00D56814"/>
    <w:rsid w:val="00D5683F"/>
    <w:rsid w:val="00D56A07"/>
    <w:rsid w:val="00D56AAE"/>
    <w:rsid w:val="00D56B6C"/>
    <w:rsid w:val="00D5701D"/>
    <w:rsid w:val="00D5702E"/>
    <w:rsid w:val="00D570D3"/>
    <w:rsid w:val="00D570F6"/>
    <w:rsid w:val="00D571CF"/>
    <w:rsid w:val="00D573AC"/>
    <w:rsid w:val="00D57843"/>
    <w:rsid w:val="00D57A23"/>
    <w:rsid w:val="00D57D0C"/>
    <w:rsid w:val="00D57D15"/>
    <w:rsid w:val="00D57DDE"/>
    <w:rsid w:val="00D57F90"/>
    <w:rsid w:val="00D57FFD"/>
    <w:rsid w:val="00D60332"/>
    <w:rsid w:val="00D607B0"/>
    <w:rsid w:val="00D609C6"/>
    <w:rsid w:val="00D60B87"/>
    <w:rsid w:val="00D60DAA"/>
    <w:rsid w:val="00D60DB8"/>
    <w:rsid w:val="00D60DD7"/>
    <w:rsid w:val="00D60E9A"/>
    <w:rsid w:val="00D61331"/>
    <w:rsid w:val="00D613E6"/>
    <w:rsid w:val="00D619A9"/>
    <w:rsid w:val="00D61A8D"/>
    <w:rsid w:val="00D61D6D"/>
    <w:rsid w:val="00D61D78"/>
    <w:rsid w:val="00D61DF6"/>
    <w:rsid w:val="00D61EA4"/>
    <w:rsid w:val="00D61EDB"/>
    <w:rsid w:val="00D622D0"/>
    <w:rsid w:val="00D62490"/>
    <w:rsid w:val="00D624BF"/>
    <w:rsid w:val="00D624CC"/>
    <w:rsid w:val="00D6255F"/>
    <w:rsid w:val="00D62800"/>
    <w:rsid w:val="00D62837"/>
    <w:rsid w:val="00D628EC"/>
    <w:rsid w:val="00D62958"/>
    <w:rsid w:val="00D62A90"/>
    <w:rsid w:val="00D62B7D"/>
    <w:rsid w:val="00D62C87"/>
    <w:rsid w:val="00D62FF9"/>
    <w:rsid w:val="00D63166"/>
    <w:rsid w:val="00D63284"/>
    <w:rsid w:val="00D63311"/>
    <w:rsid w:val="00D63388"/>
    <w:rsid w:val="00D63390"/>
    <w:rsid w:val="00D63415"/>
    <w:rsid w:val="00D63625"/>
    <w:rsid w:val="00D636F1"/>
    <w:rsid w:val="00D637C6"/>
    <w:rsid w:val="00D637FC"/>
    <w:rsid w:val="00D638AB"/>
    <w:rsid w:val="00D63A36"/>
    <w:rsid w:val="00D63A4E"/>
    <w:rsid w:val="00D63B70"/>
    <w:rsid w:val="00D63C15"/>
    <w:rsid w:val="00D63C94"/>
    <w:rsid w:val="00D63D53"/>
    <w:rsid w:val="00D63F90"/>
    <w:rsid w:val="00D64118"/>
    <w:rsid w:val="00D641C5"/>
    <w:rsid w:val="00D64953"/>
    <w:rsid w:val="00D64B3E"/>
    <w:rsid w:val="00D64DCC"/>
    <w:rsid w:val="00D65326"/>
    <w:rsid w:val="00D656A6"/>
    <w:rsid w:val="00D65718"/>
    <w:rsid w:val="00D65821"/>
    <w:rsid w:val="00D6589A"/>
    <w:rsid w:val="00D65ADE"/>
    <w:rsid w:val="00D65B55"/>
    <w:rsid w:val="00D65BCA"/>
    <w:rsid w:val="00D65C80"/>
    <w:rsid w:val="00D65ED7"/>
    <w:rsid w:val="00D66077"/>
    <w:rsid w:val="00D661F0"/>
    <w:rsid w:val="00D661FF"/>
    <w:rsid w:val="00D667D8"/>
    <w:rsid w:val="00D66B3F"/>
    <w:rsid w:val="00D66C06"/>
    <w:rsid w:val="00D66F65"/>
    <w:rsid w:val="00D67036"/>
    <w:rsid w:val="00D67212"/>
    <w:rsid w:val="00D6727D"/>
    <w:rsid w:val="00D67311"/>
    <w:rsid w:val="00D6742B"/>
    <w:rsid w:val="00D67470"/>
    <w:rsid w:val="00D67474"/>
    <w:rsid w:val="00D67592"/>
    <w:rsid w:val="00D675C7"/>
    <w:rsid w:val="00D678E7"/>
    <w:rsid w:val="00D678FE"/>
    <w:rsid w:val="00D67A2E"/>
    <w:rsid w:val="00D67A53"/>
    <w:rsid w:val="00D67BB5"/>
    <w:rsid w:val="00D67D0D"/>
    <w:rsid w:val="00D67D71"/>
    <w:rsid w:val="00D67EE6"/>
    <w:rsid w:val="00D70021"/>
    <w:rsid w:val="00D70022"/>
    <w:rsid w:val="00D700F9"/>
    <w:rsid w:val="00D70149"/>
    <w:rsid w:val="00D70265"/>
    <w:rsid w:val="00D702FB"/>
    <w:rsid w:val="00D7050E"/>
    <w:rsid w:val="00D706F0"/>
    <w:rsid w:val="00D70775"/>
    <w:rsid w:val="00D7079D"/>
    <w:rsid w:val="00D70955"/>
    <w:rsid w:val="00D70978"/>
    <w:rsid w:val="00D70990"/>
    <w:rsid w:val="00D70AAD"/>
    <w:rsid w:val="00D70C3F"/>
    <w:rsid w:val="00D70C7E"/>
    <w:rsid w:val="00D70F32"/>
    <w:rsid w:val="00D711BE"/>
    <w:rsid w:val="00D7126B"/>
    <w:rsid w:val="00D71462"/>
    <w:rsid w:val="00D71680"/>
    <w:rsid w:val="00D716C6"/>
    <w:rsid w:val="00D716CB"/>
    <w:rsid w:val="00D71B9E"/>
    <w:rsid w:val="00D71F39"/>
    <w:rsid w:val="00D72167"/>
    <w:rsid w:val="00D72181"/>
    <w:rsid w:val="00D721BB"/>
    <w:rsid w:val="00D72208"/>
    <w:rsid w:val="00D722D7"/>
    <w:rsid w:val="00D72556"/>
    <w:rsid w:val="00D725A5"/>
    <w:rsid w:val="00D7274E"/>
    <w:rsid w:val="00D72C0D"/>
    <w:rsid w:val="00D72F8A"/>
    <w:rsid w:val="00D73200"/>
    <w:rsid w:val="00D735C2"/>
    <w:rsid w:val="00D7368D"/>
    <w:rsid w:val="00D7378C"/>
    <w:rsid w:val="00D7384B"/>
    <w:rsid w:val="00D73866"/>
    <w:rsid w:val="00D7396F"/>
    <w:rsid w:val="00D73B81"/>
    <w:rsid w:val="00D73BC6"/>
    <w:rsid w:val="00D73D11"/>
    <w:rsid w:val="00D73DDE"/>
    <w:rsid w:val="00D73E6F"/>
    <w:rsid w:val="00D73E92"/>
    <w:rsid w:val="00D741AC"/>
    <w:rsid w:val="00D742CE"/>
    <w:rsid w:val="00D74401"/>
    <w:rsid w:val="00D7447E"/>
    <w:rsid w:val="00D747B8"/>
    <w:rsid w:val="00D748C9"/>
    <w:rsid w:val="00D7491E"/>
    <w:rsid w:val="00D74ED3"/>
    <w:rsid w:val="00D74F73"/>
    <w:rsid w:val="00D7512F"/>
    <w:rsid w:val="00D753A6"/>
    <w:rsid w:val="00D75723"/>
    <w:rsid w:val="00D757D4"/>
    <w:rsid w:val="00D75954"/>
    <w:rsid w:val="00D75BF9"/>
    <w:rsid w:val="00D75D9E"/>
    <w:rsid w:val="00D75E53"/>
    <w:rsid w:val="00D75F7A"/>
    <w:rsid w:val="00D7616F"/>
    <w:rsid w:val="00D76340"/>
    <w:rsid w:val="00D76490"/>
    <w:rsid w:val="00D764C9"/>
    <w:rsid w:val="00D76624"/>
    <w:rsid w:val="00D768F1"/>
    <w:rsid w:val="00D76964"/>
    <w:rsid w:val="00D76A33"/>
    <w:rsid w:val="00D76B2D"/>
    <w:rsid w:val="00D76BDE"/>
    <w:rsid w:val="00D76D26"/>
    <w:rsid w:val="00D76E87"/>
    <w:rsid w:val="00D76EFD"/>
    <w:rsid w:val="00D7700A"/>
    <w:rsid w:val="00D7712C"/>
    <w:rsid w:val="00D771C0"/>
    <w:rsid w:val="00D77204"/>
    <w:rsid w:val="00D77266"/>
    <w:rsid w:val="00D77305"/>
    <w:rsid w:val="00D776B7"/>
    <w:rsid w:val="00D7785F"/>
    <w:rsid w:val="00D77877"/>
    <w:rsid w:val="00D77C2E"/>
    <w:rsid w:val="00D77C62"/>
    <w:rsid w:val="00D77C80"/>
    <w:rsid w:val="00D77E0B"/>
    <w:rsid w:val="00D77FD4"/>
    <w:rsid w:val="00D8005E"/>
    <w:rsid w:val="00D80106"/>
    <w:rsid w:val="00D80148"/>
    <w:rsid w:val="00D801B9"/>
    <w:rsid w:val="00D801D1"/>
    <w:rsid w:val="00D806BB"/>
    <w:rsid w:val="00D80747"/>
    <w:rsid w:val="00D80B9C"/>
    <w:rsid w:val="00D80CC1"/>
    <w:rsid w:val="00D80F55"/>
    <w:rsid w:val="00D81363"/>
    <w:rsid w:val="00D815B3"/>
    <w:rsid w:val="00D81896"/>
    <w:rsid w:val="00D8192D"/>
    <w:rsid w:val="00D81AF1"/>
    <w:rsid w:val="00D81CAD"/>
    <w:rsid w:val="00D81FA8"/>
    <w:rsid w:val="00D81FBD"/>
    <w:rsid w:val="00D8218E"/>
    <w:rsid w:val="00D8238F"/>
    <w:rsid w:val="00D82B84"/>
    <w:rsid w:val="00D82CA1"/>
    <w:rsid w:val="00D83060"/>
    <w:rsid w:val="00D83095"/>
    <w:rsid w:val="00D833F8"/>
    <w:rsid w:val="00D83540"/>
    <w:rsid w:val="00D8357D"/>
    <w:rsid w:val="00D836E8"/>
    <w:rsid w:val="00D83713"/>
    <w:rsid w:val="00D838A1"/>
    <w:rsid w:val="00D83917"/>
    <w:rsid w:val="00D83BB6"/>
    <w:rsid w:val="00D83E00"/>
    <w:rsid w:val="00D83FAE"/>
    <w:rsid w:val="00D84015"/>
    <w:rsid w:val="00D8413D"/>
    <w:rsid w:val="00D841A5"/>
    <w:rsid w:val="00D8421F"/>
    <w:rsid w:val="00D84252"/>
    <w:rsid w:val="00D842F2"/>
    <w:rsid w:val="00D843D7"/>
    <w:rsid w:val="00D843FE"/>
    <w:rsid w:val="00D84807"/>
    <w:rsid w:val="00D84815"/>
    <w:rsid w:val="00D8484F"/>
    <w:rsid w:val="00D84876"/>
    <w:rsid w:val="00D84990"/>
    <w:rsid w:val="00D84A71"/>
    <w:rsid w:val="00D84B2B"/>
    <w:rsid w:val="00D84BB2"/>
    <w:rsid w:val="00D84BE2"/>
    <w:rsid w:val="00D84C21"/>
    <w:rsid w:val="00D84E4B"/>
    <w:rsid w:val="00D85102"/>
    <w:rsid w:val="00D85172"/>
    <w:rsid w:val="00D85197"/>
    <w:rsid w:val="00D8531B"/>
    <w:rsid w:val="00D8547D"/>
    <w:rsid w:val="00D854C4"/>
    <w:rsid w:val="00D854D6"/>
    <w:rsid w:val="00D85592"/>
    <w:rsid w:val="00D8566D"/>
    <w:rsid w:val="00D858B9"/>
    <w:rsid w:val="00D85925"/>
    <w:rsid w:val="00D859D4"/>
    <w:rsid w:val="00D85A37"/>
    <w:rsid w:val="00D85AE8"/>
    <w:rsid w:val="00D85DD5"/>
    <w:rsid w:val="00D85E7A"/>
    <w:rsid w:val="00D86047"/>
    <w:rsid w:val="00D86351"/>
    <w:rsid w:val="00D86381"/>
    <w:rsid w:val="00D86946"/>
    <w:rsid w:val="00D86956"/>
    <w:rsid w:val="00D86AB5"/>
    <w:rsid w:val="00D86C10"/>
    <w:rsid w:val="00D86C1E"/>
    <w:rsid w:val="00D86E6E"/>
    <w:rsid w:val="00D86F32"/>
    <w:rsid w:val="00D87058"/>
    <w:rsid w:val="00D872DD"/>
    <w:rsid w:val="00D8747F"/>
    <w:rsid w:val="00D874B0"/>
    <w:rsid w:val="00D878DA"/>
    <w:rsid w:val="00D87D98"/>
    <w:rsid w:val="00D900DD"/>
    <w:rsid w:val="00D90279"/>
    <w:rsid w:val="00D9029F"/>
    <w:rsid w:val="00D90345"/>
    <w:rsid w:val="00D9037C"/>
    <w:rsid w:val="00D903D4"/>
    <w:rsid w:val="00D9048C"/>
    <w:rsid w:val="00D9059B"/>
    <w:rsid w:val="00D90B1B"/>
    <w:rsid w:val="00D9153A"/>
    <w:rsid w:val="00D91637"/>
    <w:rsid w:val="00D91652"/>
    <w:rsid w:val="00D91933"/>
    <w:rsid w:val="00D9193C"/>
    <w:rsid w:val="00D91D52"/>
    <w:rsid w:val="00D91E57"/>
    <w:rsid w:val="00D920A1"/>
    <w:rsid w:val="00D9212C"/>
    <w:rsid w:val="00D92403"/>
    <w:rsid w:val="00D92480"/>
    <w:rsid w:val="00D924E2"/>
    <w:rsid w:val="00D9288F"/>
    <w:rsid w:val="00D928F8"/>
    <w:rsid w:val="00D92965"/>
    <w:rsid w:val="00D9298B"/>
    <w:rsid w:val="00D9298D"/>
    <w:rsid w:val="00D92A4E"/>
    <w:rsid w:val="00D92CB8"/>
    <w:rsid w:val="00D92E4D"/>
    <w:rsid w:val="00D92F00"/>
    <w:rsid w:val="00D92F75"/>
    <w:rsid w:val="00D935DB"/>
    <w:rsid w:val="00D935FA"/>
    <w:rsid w:val="00D9371B"/>
    <w:rsid w:val="00D9383B"/>
    <w:rsid w:val="00D9393E"/>
    <w:rsid w:val="00D93A2C"/>
    <w:rsid w:val="00D93C98"/>
    <w:rsid w:val="00D93CFF"/>
    <w:rsid w:val="00D93DE0"/>
    <w:rsid w:val="00D944FE"/>
    <w:rsid w:val="00D94753"/>
    <w:rsid w:val="00D94979"/>
    <w:rsid w:val="00D94A1C"/>
    <w:rsid w:val="00D94AFF"/>
    <w:rsid w:val="00D94C12"/>
    <w:rsid w:val="00D94C53"/>
    <w:rsid w:val="00D94F4E"/>
    <w:rsid w:val="00D94F6E"/>
    <w:rsid w:val="00D950BD"/>
    <w:rsid w:val="00D9530E"/>
    <w:rsid w:val="00D953E4"/>
    <w:rsid w:val="00D9546E"/>
    <w:rsid w:val="00D95546"/>
    <w:rsid w:val="00D956D2"/>
    <w:rsid w:val="00D95727"/>
    <w:rsid w:val="00D95A6E"/>
    <w:rsid w:val="00D95AFD"/>
    <w:rsid w:val="00D95C38"/>
    <w:rsid w:val="00D95EE1"/>
    <w:rsid w:val="00D962F5"/>
    <w:rsid w:val="00D96415"/>
    <w:rsid w:val="00D9642B"/>
    <w:rsid w:val="00D96654"/>
    <w:rsid w:val="00D969E5"/>
    <w:rsid w:val="00D96AF5"/>
    <w:rsid w:val="00D96C32"/>
    <w:rsid w:val="00D96CA0"/>
    <w:rsid w:val="00D96F14"/>
    <w:rsid w:val="00D96FD6"/>
    <w:rsid w:val="00D970D4"/>
    <w:rsid w:val="00D97198"/>
    <w:rsid w:val="00D973EF"/>
    <w:rsid w:val="00D9740C"/>
    <w:rsid w:val="00D9748E"/>
    <w:rsid w:val="00D97798"/>
    <w:rsid w:val="00D978A6"/>
    <w:rsid w:val="00D97942"/>
    <w:rsid w:val="00D97951"/>
    <w:rsid w:val="00D97A6B"/>
    <w:rsid w:val="00D97CE6"/>
    <w:rsid w:val="00D97D5E"/>
    <w:rsid w:val="00D97E54"/>
    <w:rsid w:val="00D97E7E"/>
    <w:rsid w:val="00D97EC3"/>
    <w:rsid w:val="00DA00EA"/>
    <w:rsid w:val="00DA0179"/>
    <w:rsid w:val="00DA017B"/>
    <w:rsid w:val="00DA03CB"/>
    <w:rsid w:val="00DA03E9"/>
    <w:rsid w:val="00DA0752"/>
    <w:rsid w:val="00DA0803"/>
    <w:rsid w:val="00DA0866"/>
    <w:rsid w:val="00DA0AD3"/>
    <w:rsid w:val="00DA0B7E"/>
    <w:rsid w:val="00DA0C75"/>
    <w:rsid w:val="00DA0D89"/>
    <w:rsid w:val="00DA0F28"/>
    <w:rsid w:val="00DA0FAE"/>
    <w:rsid w:val="00DA1292"/>
    <w:rsid w:val="00DA13A7"/>
    <w:rsid w:val="00DA159D"/>
    <w:rsid w:val="00DA16E6"/>
    <w:rsid w:val="00DA1ABE"/>
    <w:rsid w:val="00DA1E28"/>
    <w:rsid w:val="00DA1EDB"/>
    <w:rsid w:val="00DA1F55"/>
    <w:rsid w:val="00DA1F58"/>
    <w:rsid w:val="00DA20E6"/>
    <w:rsid w:val="00DA26A8"/>
    <w:rsid w:val="00DA28A7"/>
    <w:rsid w:val="00DA2928"/>
    <w:rsid w:val="00DA299B"/>
    <w:rsid w:val="00DA299E"/>
    <w:rsid w:val="00DA2BB3"/>
    <w:rsid w:val="00DA2BB8"/>
    <w:rsid w:val="00DA2BED"/>
    <w:rsid w:val="00DA2EB2"/>
    <w:rsid w:val="00DA2F8E"/>
    <w:rsid w:val="00DA2F9A"/>
    <w:rsid w:val="00DA35A1"/>
    <w:rsid w:val="00DA35DE"/>
    <w:rsid w:val="00DA393D"/>
    <w:rsid w:val="00DA3B68"/>
    <w:rsid w:val="00DA3E12"/>
    <w:rsid w:val="00DA4017"/>
    <w:rsid w:val="00DA412E"/>
    <w:rsid w:val="00DA4203"/>
    <w:rsid w:val="00DA4241"/>
    <w:rsid w:val="00DA4347"/>
    <w:rsid w:val="00DA453E"/>
    <w:rsid w:val="00DA45C7"/>
    <w:rsid w:val="00DA474A"/>
    <w:rsid w:val="00DA4819"/>
    <w:rsid w:val="00DA4AA7"/>
    <w:rsid w:val="00DA4B3F"/>
    <w:rsid w:val="00DA4C4D"/>
    <w:rsid w:val="00DA4D73"/>
    <w:rsid w:val="00DA4DC5"/>
    <w:rsid w:val="00DA4E1F"/>
    <w:rsid w:val="00DA4FFE"/>
    <w:rsid w:val="00DA5006"/>
    <w:rsid w:val="00DA5045"/>
    <w:rsid w:val="00DA509D"/>
    <w:rsid w:val="00DA50EA"/>
    <w:rsid w:val="00DA52E8"/>
    <w:rsid w:val="00DA5305"/>
    <w:rsid w:val="00DA56E7"/>
    <w:rsid w:val="00DA573A"/>
    <w:rsid w:val="00DA5767"/>
    <w:rsid w:val="00DA57B0"/>
    <w:rsid w:val="00DA5874"/>
    <w:rsid w:val="00DA5A98"/>
    <w:rsid w:val="00DA5B94"/>
    <w:rsid w:val="00DA5CD3"/>
    <w:rsid w:val="00DA5E80"/>
    <w:rsid w:val="00DA5EED"/>
    <w:rsid w:val="00DA61B7"/>
    <w:rsid w:val="00DA623F"/>
    <w:rsid w:val="00DA6365"/>
    <w:rsid w:val="00DA640B"/>
    <w:rsid w:val="00DA649E"/>
    <w:rsid w:val="00DA67AE"/>
    <w:rsid w:val="00DA682D"/>
    <w:rsid w:val="00DA6868"/>
    <w:rsid w:val="00DA6C79"/>
    <w:rsid w:val="00DA6C80"/>
    <w:rsid w:val="00DA6CEE"/>
    <w:rsid w:val="00DA6D9F"/>
    <w:rsid w:val="00DA6E5C"/>
    <w:rsid w:val="00DA708B"/>
    <w:rsid w:val="00DA72DC"/>
    <w:rsid w:val="00DA745E"/>
    <w:rsid w:val="00DA7547"/>
    <w:rsid w:val="00DA7619"/>
    <w:rsid w:val="00DA7661"/>
    <w:rsid w:val="00DA7993"/>
    <w:rsid w:val="00DA79B0"/>
    <w:rsid w:val="00DA7A53"/>
    <w:rsid w:val="00DA7C6C"/>
    <w:rsid w:val="00DA7D0A"/>
    <w:rsid w:val="00DA7DAC"/>
    <w:rsid w:val="00DA7F13"/>
    <w:rsid w:val="00DA7FB4"/>
    <w:rsid w:val="00DB02C0"/>
    <w:rsid w:val="00DB030E"/>
    <w:rsid w:val="00DB0371"/>
    <w:rsid w:val="00DB044A"/>
    <w:rsid w:val="00DB077C"/>
    <w:rsid w:val="00DB08A7"/>
    <w:rsid w:val="00DB094C"/>
    <w:rsid w:val="00DB0C19"/>
    <w:rsid w:val="00DB0D46"/>
    <w:rsid w:val="00DB102F"/>
    <w:rsid w:val="00DB103E"/>
    <w:rsid w:val="00DB1092"/>
    <w:rsid w:val="00DB118F"/>
    <w:rsid w:val="00DB1226"/>
    <w:rsid w:val="00DB140F"/>
    <w:rsid w:val="00DB16ED"/>
    <w:rsid w:val="00DB18A0"/>
    <w:rsid w:val="00DB1B2C"/>
    <w:rsid w:val="00DB1CD9"/>
    <w:rsid w:val="00DB1CFA"/>
    <w:rsid w:val="00DB1FAA"/>
    <w:rsid w:val="00DB2396"/>
    <w:rsid w:val="00DB25B5"/>
    <w:rsid w:val="00DB2657"/>
    <w:rsid w:val="00DB2774"/>
    <w:rsid w:val="00DB29FC"/>
    <w:rsid w:val="00DB2BA9"/>
    <w:rsid w:val="00DB2BED"/>
    <w:rsid w:val="00DB2D69"/>
    <w:rsid w:val="00DB2D7B"/>
    <w:rsid w:val="00DB2FF5"/>
    <w:rsid w:val="00DB3036"/>
    <w:rsid w:val="00DB3334"/>
    <w:rsid w:val="00DB3762"/>
    <w:rsid w:val="00DB3A31"/>
    <w:rsid w:val="00DB3A6A"/>
    <w:rsid w:val="00DB3B58"/>
    <w:rsid w:val="00DB3CDE"/>
    <w:rsid w:val="00DB3CF7"/>
    <w:rsid w:val="00DB3D6F"/>
    <w:rsid w:val="00DB3F89"/>
    <w:rsid w:val="00DB3F97"/>
    <w:rsid w:val="00DB426A"/>
    <w:rsid w:val="00DB4272"/>
    <w:rsid w:val="00DB42C5"/>
    <w:rsid w:val="00DB4547"/>
    <w:rsid w:val="00DB463B"/>
    <w:rsid w:val="00DB4A7E"/>
    <w:rsid w:val="00DB4B00"/>
    <w:rsid w:val="00DB4F6F"/>
    <w:rsid w:val="00DB50CB"/>
    <w:rsid w:val="00DB5203"/>
    <w:rsid w:val="00DB5262"/>
    <w:rsid w:val="00DB53C6"/>
    <w:rsid w:val="00DB545E"/>
    <w:rsid w:val="00DB56C1"/>
    <w:rsid w:val="00DB57C1"/>
    <w:rsid w:val="00DB5805"/>
    <w:rsid w:val="00DB5919"/>
    <w:rsid w:val="00DB5BC9"/>
    <w:rsid w:val="00DB5C76"/>
    <w:rsid w:val="00DB5D03"/>
    <w:rsid w:val="00DB5D11"/>
    <w:rsid w:val="00DB5D75"/>
    <w:rsid w:val="00DB5DFB"/>
    <w:rsid w:val="00DB5E49"/>
    <w:rsid w:val="00DB5F6D"/>
    <w:rsid w:val="00DB6045"/>
    <w:rsid w:val="00DB6252"/>
    <w:rsid w:val="00DB679A"/>
    <w:rsid w:val="00DB67D9"/>
    <w:rsid w:val="00DB69E1"/>
    <w:rsid w:val="00DB7055"/>
    <w:rsid w:val="00DB7179"/>
    <w:rsid w:val="00DB7351"/>
    <w:rsid w:val="00DB749A"/>
    <w:rsid w:val="00DB74F2"/>
    <w:rsid w:val="00DB7775"/>
    <w:rsid w:val="00DB7A41"/>
    <w:rsid w:val="00DB7B9B"/>
    <w:rsid w:val="00DB7E48"/>
    <w:rsid w:val="00DB7EA6"/>
    <w:rsid w:val="00DB7F04"/>
    <w:rsid w:val="00DC0159"/>
    <w:rsid w:val="00DC018C"/>
    <w:rsid w:val="00DC01E9"/>
    <w:rsid w:val="00DC01FB"/>
    <w:rsid w:val="00DC0405"/>
    <w:rsid w:val="00DC0500"/>
    <w:rsid w:val="00DC0599"/>
    <w:rsid w:val="00DC05AE"/>
    <w:rsid w:val="00DC081F"/>
    <w:rsid w:val="00DC086E"/>
    <w:rsid w:val="00DC089B"/>
    <w:rsid w:val="00DC0B92"/>
    <w:rsid w:val="00DC0DED"/>
    <w:rsid w:val="00DC0E6A"/>
    <w:rsid w:val="00DC0F89"/>
    <w:rsid w:val="00DC1140"/>
    <w:rsid w:val="00DC12A6"/>
    <w:rsid w:val="00DC133A"/>
    <w:rsid w:val="00DC1C9E"/>
    <w:rsid w:val="00DC2186"/>
    <w:rsid w:val="00DC221A"/>
    <w:rsid w:val="00DC23A7"/>
    <w:rsid w:val="00DC281E"/>
    <w:rsid w:val="00DC2934"/>
    <w:rsid w:val="00DC293A"/>
    <w:rsid w:val="00DC2EB1"/>
    <w:rsid w:val="00DC2EB3"/>
    <w:rsid w:val="00DC3232"/>
    <w:rsid w:val="00DC32BB"/>
    <w:rsid w:val="00DC36DF"/>
    <w:rsid w:val="00DC3944"/>
    <w:rsid w:val="00DC3B7C"/>
    <w:rsid w:val="00DC3E6C"/>
    <w:rsid w:val="00DC4189"/>
    <w:rsid w:val="00DC419E"/>
    <w:rsid w:val="00DC4544"/>
    <w:rsid w:val="00DC4591"/>
    <w:rsid w:val="00DC4592"/>
    <w:rsid w:val="00DC4A42"/>
    <w:rsid w:val="00DC501C"/>
    <w:rsid w:val="00DC5090"/>
    <w:rsid w:val="00DC50B7"/>
    <w:rsid w:val="00DC50FB"/>
    <w:rsid w:val="00DC5130"/>
    <w:rsid w:val="00DC518A"/>
    <w:rsid w:val="00DC523D"/>
    <w:rsid w:val="00DC52AC"/>
    <w:rsid w:val="00DC5403"/>
    <w:rsid w:val="00DC54FD"/>
    <w:rsid w:val="00DC55F5"/>
    <w:rsid w:val="00DC5804"/>
    <w:rsid w:val="00DC58E2"/>
    <w:rsid w:val="00DC591D"/>
    <w:rsid w:val="00DC5AD5"/>
    <w:rsid w:val="00DC5D37"/>
    <w:rsid w:val="00DC5D87"/>
    <w:rsid w:val="00DC5EC1"/>
    <w:rsid w:val="00DC5F43"/>
    <w:rsid w:val="00DC600A"/>
    <w:rsid w:val="00DC601D"/>
    <w:rsid w:val="00DC6052"/>
    <w:rsid w:val="00DC607D"/>
    <w:rsid w:val="00DC62A6"/>
    <w:rsid w:val="00DC62E7"/>
    <w:rsid w:val="00DC6478"/>
    <w:rsid w:val="00DC679B"/>
    <w:rsid w:val="00DC682C"/>
    <w:rsid w:val="00DC68F8"/>
    <w:rsid w:val="00DC6933"/>
    <w:rsid w:val="00DC6B27"/>
    <w:rsid w:val="00DC6D4A"/>
    <w:rsid w:val="00DC6E94"/>
    <w:rsid w:val="00DC6FA6"/>
    <w:rsid w:val="00DC71BD"/>
    <w:rsid w:val="00DC738C"/>
    <w:rsid w:val="00DC7404"/>
    <w:rsid w:val="00DC77A7"/>
    <w:rsid w:val="00DC78B3"/>
    <w:rsid w:val="00DC7965"/>
    <w:rsid w:val="00DC7B7A"/>
    <w:rsid w:val="00DC7B80"/>
    <w:rsid w:val="00DC7D84"/>
    <w:rsid w:val="00DC7F93"/>
    <w:rsid w:val="00DD02D5"/>
    <w:rsid w:val="00DD0397"/>
    <w:rsid w:val="00DD0567"/>
    <w:rsid w:val="00DD0A8B"/>
    <w:rsid w:val="00DD0B90"/>
    <w:rsid w:val="00DD0C45"/>
    <w:rsid w:val="00DD0D99"/>
    <w:rsid w:val="00DD0DA5"/>
    <w:rsid w:val="00DD108F"/>
    <w:rsid w:val="00DD134F"/>
    <w:rsid w:val="00DD14B9"/>
    <w:rsid w:val="00DD1529"/>
    <w:rsid w:val="00DD1675"/>
    <w:rsid w:val="00DD1762"/>
    <w:rsid w:val="00DD17C9"/>
    <w:rsid w:val="00DD1854"/>
    <w:rsid w:val="00DD1974"/>
    <w:rsid w:val="00DD1ACF"/>
    <w:rsid w:val="00DD1AEB"/>
    <w:rsid w:val="00DD1C52"/>
    <w:rsid w:val="00DD1C80"/>
    <w:rsid w:val="00DD1CD7"/>
    <w:rsid w:val="00DD1F60"/>
    <w:rsid w:val="00DD1FBE"/>
    <w:rsid w:val="00DD2174"/>
    <w:rsid w:val="00DD2204"/>
    <w:rsid w:val="00DD23F2"/>
    <w:rsid w:val="00DD24BA"/>
    <w:rsid w:val="00DD2659"/>
    <w:rsid w:val="00DD2960"/>
    <w:rsid w:val="00DD2A09"/>
    <w:rsid w:val="00DD2A52"/>
    <w:rsid w:val="00DD2B27"/>
    <w:rsid w:val="00DD2BCC"/>
    <w:rsid w:val="00DD2ED1"/>
    <w:rsid w:val="00DD2F52"/>
    <w:rsid w:val="00DD3069"/>
    <w:rsid w:val="00DD321A"/>
    <w:rsid w:val="00DD3434"/>
    <w:rsid w:val="00DD34E7"/>
    <w:rsid w:val="00DD3623"/>
    <w:rsid w:val="00DD3725"/>
    <w:rsid w:val="00DD38A0"/>
    <w:rsid w:val="00DD420C"/>
    <w:rsid w:val="00DD4457"/>
    <w:rsid w:val="00DD490D"/>
    <w:rsid w:val="00DD4B7B"/>
    <w:rsid w:val="00DD4D74"/>
    <w:rsid w:val="00DD500D"/>
    <w:rsid w:val="00DD50E8"/>
    <w:rsid w:val="00DD5352"/>
    <w:rsid w:val="00DD53E4"/>
    <w:rsid w:val="00DD554A"/>
    <w:rsid w:val="00DD5801"/>
    <w:rsid w:val="00DD5894"/>
    <w:rsid w:val="00DD59E6"/>
    <w:rsid w:val="00DD5B94"/>
    <w:rsid w:val="00DD5BEA"/>
    <w:rsid w:val="00DD5D4B"/>
    <w:rsid w:val="00DD5E32"/>
    <w:rsid w:val="00DD5FAF"/>
    <w:rsid w:val="00DD6190"/>
    <w:rsid w:val="00DD61C3"/>
    <w:rsid w:val="00DD6589"/>
    <w:rsid w:val="00DD66CE"/>
    <w:rsid w:val="00DD6716"/>
    <w:rsid w:val="00DD68CD"/>
    <w:rsid w:val="00DD694E"/>
    <w:rsid w:val="00DD6C65"/>
    <w:rsid w:val="00DD6CDA"/>
    <w:rsid w:val="00DD6D90"/>
    <w:rsid w:val="00DD6F23"/>
    <w:rsid w:val="00DD6F38"/>
    <w:rsid w:val="00DD71D0"/>
    <w:rsid w:val="00DD7437"/>
    <w:rsid w:val="00DD776A"/>
    <w:rsid w:val="00DD7AD5"/>
    <w:rsid w:val="00DD7B35"/>
    <w:rsid w:val="00DD7C23"/>
    <w:rsid w:val="00DD7C46"/>
    <w:rsid w:val="00DD7F4A"/>
    <w:rsid w:val="00DD7FBB"/>
    <w:rsid w:val="00DE01C1"/>
    <w:rsid w:val="00DE027A"/>
    <w:rsid w:val="00DE0317"/>
    <w:rsid w:val="00DE0585"/>
    <w:rsid w:val="00DE05DF"/>
    <w:rsid w:val="00DE06BB"/>
    <w:rsid w:val="00DE0959"/>
    <w:rsid w:val="00DE098F"/>
    <w:rsid w:val="00DE09B8"/>
    <w:rsid w:val="00DE0A59"/>
    <w:rsid w:val="00DE0C0B"/>
    <w:rsid w:val="00DE0D2B"/>
    <w:rsid w:val="00DE0D49"/>
    <w:rsid w:val="00DE0D5B"/>
    <w:rsid w:val="00DE0DCB"/>
    <w:rsid w:val="00DE1064"/>
    <w:rsid w:val="00DE10A4"/>
    <w:rsid w:val="00DE10CB"/>
    <w:rsid w:val="00DE10FA"/>
    <w:rsid w:val="00DE11E5"/>
    <w:rsid w:val="00DE12E0"/>
    <w:rsid w:val="00DE1391"/>
    <w:rsid w:val="00DE139C"/>
    <w:rsid w:val="00DE1402"/>
    <w:rsid w:val="00DE1B0D"/>
    <w:rsid w:val="00DE1B3C"/>
    <w:rsid w:val="00DE1C64"/>
    <w:rsid w:val="00DE247B"/>
    <w:rsid w:val="00DE261E"/>
    <w:rsid w:val="00DE2704"/>
    <w:rsid w:val="00DE297C"/>
    <w:rsid w:val="00DE2B44"/>
    <w:rsid w:val="00DE2BB0"/>
    <w:rsid w:val="00DE2D4E"/>
    <w:rsid w:val="00DE2D74"/>
    <w:rsid w:val="00DE2FCC"/>
    <w:rsid w:val="00DE2FDA"/>
    <w:rsid w:val="00DE317B"/>
    <w:rsid w:val="00DE32E3"/>
    <w:rsid w:val="00DE33DC"/>
    <w:rsid w:val="00DE34D4"/>
    <w:rsid w:val="00DE35BC"/>
    <w:rsid w:val="00DE372D"/>
    <w:rsid w:val="00DE38F3"/>
    <w:rsid w:val="00DE39B7"/>
    <w:rsid w:val="00DE3A35"/>
    <w:rsid w:val="00DE3A3C"/>
    <w:rsid w:val="00DE3B2B"/>
    <w:rsid w:val="00DE3B54"/>
    <w:rsid w:val="00DE3E62"/>
    <w:rsid w:val="00DE3F8C"/>
    <w:rsid w:val="00DE3FE6"/>
    <w:rsid w:val="00DE42A9"/>
    <w:rsid w:val="00DE444A"/>
    <w:rsid w:val="00DE4456"/>
    <w:rsid w:val="00DE447D"/>
    <w:rsid w:val="00DE457F"/>
    <w:rsid w:val="00DE45B0"/>
    <w:rsid w:val="00DE45DD"/>
    <w:rsid w:val="00DE473C"/>
    <w:rsid w:val="00DE4AB5"/>
    <w:rsid w:val="00DE4B99"/>
    <w:rsid w:val="00DE4BDF"/>
    <w:rsid w:val="00DE4BE2"/>
    <w:rsid w:val="00DE4D10"/>
    <w:rsid w:val="00DE4FD1"/>
    <w:rsid w:val="00DE5389"/>
    <w:rsid w:val="00DE54F8"/>
    <w:rsid w:val="00DE56EB"/>
    <w:rsid w:val="00DE574D"/>
    <w:rsid w:val="00DE5A5A"/>
    <w:rsid w:val="00DE5A6E"/>
    <w:rsid w:val="00DE5B37"/>
    <w:rsid w:val="00DE5DDE"/>
    <w:rsid w:val="00DE5DE6"/>
    <w:rsid w:val="00DE5E01"/>
    <w:rsid w:val="00DE5F22"/>
    <w:rsid w:val="00DE5FD2"/>
    <w:rsid w:val="00DE6264"/>
    <w:rsid w:val="00DE62C7"/>
    <w:rsid w:val="00DE63B2"/>
    <w:rsid w:val="00DE64EE"/>
    <w:rsid w:val="00DE6500"/>
    <w:rsid w:val="00DE6A6E"/>
    <w:rsid w:val="00DE6BC1"/>
    <w:rsid w:val="00DE6C14"/>
    <w:rsid w:val="00DE6E12"/>
    <w:rsid w:val="00DE705F"/>
    <w:rsid w:val="00DE70BA"/>
    <w:rsid w:val="00DE70CD"/>
    <w:rsid w:val="00DE70ED"/>
    <w:rsid w:val="00DE7144"/>
    <w:rsid w:val="00DE72E3"/>
    <w:rsid w:val="00DE74AA"/>
    <w:rsid w:val="00DE761C"/>
    <w:rsid w:val="00DE7674"/>
    <w:rsid w:val="00DE799A"/>
    <w:rsid w:val="00DE7DC8"/>
    <w:rsid w:val="00DE7E5B"/>
    <w:rsid w:val="00DF0225"/>
    <w:rsid w:val="00DF0269"/>
    <w:rsid w:val="00DF02F6"/>
    <w:rsid w:val="00DF061A"/>
    <w:rsid w:val="00DF081D"/>
    <w:rsid w:val="00DF0E5E"/>
    <w:rsid w:val="00DF0E80"/>
    <w:rsid w:val="00DF0EBB"/>
    <w:rsid w:val="00DF10DD"/>
    <w:rsid w:val="00DF12CB"/>
    <w:rsid w:val="00DF150E"/>
    <w:rsid w:val="00DF15E4"/>
    <w:rsid w:val="00DF1AC9"/>
    <w:rsid w:val="00DF1EE4"/>
    <w:rsid w:val="00DF1FE3"/>
    <w:rsid w:val="00DF21F3"/>
    <w:rsid w:val="00DF2405"/>
    <w:rsid w:val="00DF26F4"/>
    <w:rsid w:val="00DF2822"/>
    <w:rsid w:val="00DF2890"/>
    <w:rsid w:val="00DF28FF"/>
    <w:rsid w:val="00DF2D49"/>
    <w:rsid w:val="00DF2F1F"/>
    <w:rsid w:val="00DF31DC"/>
    <w:rsid w:val="00DF3326"/>
    <w:rsid w:val="00DF3483"/>
    <w:rsid w:val="00DF34EF"/>
    <w:rsid w:val="00DF3569"/>
    <w:rsid w:val="00DF3643"/>
    <w:rsid w:val="00DF376E"/>
    <w:rsid w:val="00DF391E"/>
    <w:rsid w:val="00DF3971"/>
    <w:rsid w:val="00DF39B3"/>
    <w:rsid w:val="00DF3C04"/>
    <w:rsid w:val="00DF3C3B"/>
    <w:rsid w:val="00DF3CF2"/>
    <w:rsid w:val="00DF3E2D"/>
    <w:rsid w:val="00DF3F8F"/>
    <w:rsid w:val="00DF3FFB"/>
    <w:rsid w:val="00DF415E"/>
    <w:rsid w:val="00DF4224"/>
    <w:rsid w:val="00DF422A"/>
    <w:rsid w:val="00DF42BF"/>
    <w:rsid w:val="00DF43A5"/>
    <w:rsid w:val="00DF43DB"/>
    <w:rsid w:val="00DF44C6"/>
    <w:rsid w:val="00DF4716"/>
    <w:rsid w:val="00DF49D2"/>
    <w:rsid w:val="00DF4B94"/>
    <w:rsid w:val="00DF4D8A"/>
    <w:rsid w:val="00DF50A7"/>
    <w:rsid w:val="00DF5126"/>
    <w:rsid w:val="00DF5249"/>
    <w:rsid w:val="00DF534F"/>
    <w:rsid w:val="00DF54D6"/>
    <w:rsid w:val="00DF54FB"/>
    <w:rsid w:val="00DF556C"/>
    <w:rsid w:val="00DF55C8"/>
    <w:rsid w:val="00DF562F"/>
    <w:rsid w:val="00DF5727"/>
    <w:rsid w:val="00DF5858"/>
    <w:rsid w:val="00DF58F4"/>
    <w:rsid w:val="00DF5DD7"/>
    <w:rsid w:val="00DF5DE8"/>
    <w:rsid w:val="00DF5F3D"/>
    <w:rsid w:val="00DF5F7C"/>
    <w:rsid w:val="00DF6338"/>
    <w:rsid w:val="00DF6374"/>
    <w:rsid w:val="00DF6391"/>
    <w:rsid w:val="00DF6441"/>
    <w:rsid w:val="00DF657F"/>
    <w:rsid w:val="00DF68C5"/>
    <w:rsid w:val="00DF697A"/>
    <w:rsid w:val="00DF6DEE"/>
    <w:rsid w:val="00DF7015"/>
    <w:rsid w:val="00DF70BE"/>
    <w:rsid w:val="00DF70FE"/>
    <w:rsid w:val="00DF74FF"/>
    <w:rsid w:val="00DF77BD"/>
    <w:rsid w:val="00DF77D9"/>
    <w:rsid w:val="00DF7A69"/>
    <w:rsid w:val="00DF7AF7"/>
    <w:rsid w:val="00DF7B9A"/>
    <w:rsid w:val="00DF7C39"/>
    <w:rsid w:val="00DF7E27"/>
    <w:rsid w:val="00DF7F40"/>
    <w:rsid w:val="00E000F3"/>
    <w:rsid w:val="00E0031B"/>
    <w:rsid w:val="00E003AB"/>
    <w:rsid w:val="00E005A9"/>
    <w:rsid w:val="00E006D9"/>
    <w:rsid w:val="00E007B2"/>
    <w:rsid w:val="00E0098A"/>
    <w:rsid w:val="00E009E5"/>
    <w:rsid w:val="00E00B65"/>
    <w:rsid w:val="00E00D4D"/>
    <w:rsid w:val="00E00D7F"/>
    <w:rsid w:val="00E00F04"/>
    <w:rsid w:val="00E015D3"/>
    <w:rsid w:val="00E018F8"/>
    <w:rsid w:val="00E01C8E"/>
    <w:rsid w:val="00E01CB7"/>
    <w:rsid w:val="00E01F54"/>
    <w:rsid w:val="00E01F78"/>
    <w:rsid w:val="00E021A3"/>
    <w:rsid w:val="00E021DC"/>
    <w:rsid w:val="00E02261"/>
    <w:rsid w:val="00E02316"/>
    <w:rsid w:val="00E0259E"/>
    <w:rsid w:val="00E0278B"/>
    <w:rsid w:val="00E02B13"/>
    <w:rsid w:val="00E02C19"/>
    <w:rsid w:val="00E02ECE"/>
    <w:rsid w:val="00E02EFD"/>
    <w:rsid w:val="00E03020"/>
    <w:rsid w:val="00E0314F"/>
    <w:rsid w:val="00E03155"/>
    <w:rsid w:val="00E0336D"/>
    <w:rsid w:val="00E03680"/>
    <w:rsid w:val="00E03681"/>
    <w:rsid w:val="00E03822"/>
    <w:rsid w:val="00E03979"/>
    <w:rsid w:val="00E039A9"/>
    <w:rsid w:val="00E03A36"/>
    <w:rsid w:val="00E03A85"/>
    <w:rsid w:val="00E03A90"/>
    <w:rsid w:val="00E03C1A"/>
    <w:rsid w:val="00E03DF4"/>
    <w:rsid w:val="00E03F71"/>
    <w:rsid w:val="00E03F80"/>
    <w:rsid w:val="00E044CE"/>
    <w:rsid w:val="00E045B6"/>
    <w:rsid w:val="00E04661"/>
    <w:rsid w:val="00E04718"/>
    <w:rsid w:val="00E04904"/>
    <w:rsid w:val="00E04C02"/>
    <w:rsid w:val="00E04CCA"/>
    <w:rsid w:val="00E04F44"/>
    <w:rsid w:val="00E05236"/>
    <w:rsid w:val="00E05378"/>
    <w:rsid w:val="00E05462"/>
    <w:rsid w:val="00E054A3"/>
    <w:rsid w:val="00E056CD"/>
    <w:rsid w:val="00E058E8"/>
    <w:rsid w:val="00E05A98"/>
    <w:rsid w:val="00E05B9F"/>
    <w:rsid w:val="00E05BFB"/>
    <w:rsid w:val="00E05C04"/>
    <w:rsid w:val="00E05C65"/>
    <w:rsid w:val="00E05FAD"/>
    <w:rsid w:val="00E060C9"/>
    <w:rsid w:val="00E062D3"/>
    <w:rsid w:val="00E06734"/>
    <w:rsid w:val="00E06823"/>
    <w:rsid w:val="00E068CB"/>
    <w:rsid w:val="00E0691B"/>
    <w:rsid w:val="00E06B1E"/>
    <w:rsid w:val="00E06B4C"/>
    <w:rsid w:val="00E06BA4"/>
    <w:rsid w:val="00E06EA1"/>
    <w:rsid w:val="00E06EE7"/>
    <w:rsid w:val="00E07217"/>
    <w:rsid w:val="00E072F2"/>
    <w:rsid w:val="00E07306"/>
    <w:rsid w:val="00E07515"/>
    <w:rsid w:val="00E076B0"/>
    <w:rsid w:val="00E07A01"/>
    <w:rsid w:val="00E07CEB"/>
    <w:rsid w:val="00E07E26"/>
    <w:rsid w:val="00E100F5"/>
    <w:rsid w:val="00E1051D"/>
    <w:rsid w:val="00E107FA"/>
    <w:rsid w:val="00E10837"/>
    <w:rsid w:val="00E109CF"/>
    <w:rsid w:val="00E10D1E"/>
    <w:rsid w:val="00E10D30"/>
    <w:rsid w:val="00E10E33"/>
    <w:rsid w:val="00E10EFD"/>
    <w:rsid w:val="00E10F10"/>
    <w:rsid w:val="00E10F5C"/>
    <w:rsid w:val="00E113A6"/>
    <w:rsid w:val="00E115CB"/>
    <w:rsid w:val="00E118B6"/>
    <w:rsid w:val="00E118FE"/>
    <w:rsid w:val="00E11B0C"/>
    <w:rsid w:val="00E11CD8"/>
    <w:rsid w:val="00E121BC"/>
    <w:rsid w:val="00E1232D"/>
    <w:rsid w:val="00E12480"/>
    <w:rsid w:val="00E12532"/>
    <w:rsid w:val="00E1272F"/>
    <w:rsid w:val="00E12D5B"/>
    <w:rsid w:val="00E12F7D"/>
    <w:rsid w:val="00E130A9"/>
    <w:rsid w:val="00E132D6"/>
    <w:rsid w:val="00E13325"/>
    <w:rsid w:val="00E13359"/>
    <w:rsid w:val="00E13416"/>
    <w:rsid w:val="00E13670"/>
    <w:rsid w:val="00E136FD"/>
    <w:rsid w:val="00E138C2"/>
    <w:rsid w:val="00E13AF2"/>
    <w:rsid w:val="00E13B1E"/>
    <w:rsid w:val="00E13B22"/>
    <w:rsid w:val="00E13C23"/>
    <w:rsid w:val="00E13C56"/>
    <w:rsid w:val="00E13CEB"/>
    <w:rsid w:val="00E13D7B"/>
    <w:rsid w:val="00E13EE4"/>
    <w:rsid w:val="00E13F77"/>
    <w:rsid w:val="00E140A2"/>
    <w:rsid w:val="00E1424E"/>
    <w:rsid w:val="00E1471C"/>
    <w:rsid w:val="00E14B71"/>
    <w:rsid w:val="00E14B7D"/>
    <w:rsid w:val="00E14D60"/>
    <w:rsid w:val="00E14E84"/>
    <w:rsid w:val="00E1514E"/>
    <w:rsid w:val="00E15227"/>
    <w:rsid w:val="00E15232"/>
    <w:rsid w:val="00E15233"/>
    <w:rsid w:val="00E15391"/>
    <w:rsid w:val="00E1543A"/>
    <w:rsid w:val="00E15446"/>
    <w:rsid w:val="00E1544B"/>
    <w:rsid w:val="00E15592"/>
    <w:rsid w:val="00E1590C"/>
    <w:rsid w:val="00E15932"/>
    <w:rsid w:val="00E1593D"/>
    <w:rsid w:val="00E15A22"/>
    <w:rsid w:val="00E15BCC"/>
    <w:rsid w:val="00E15DD4"/>
    <w:rsid w:val="00E15E24"/>
    <w:rsid w:val="00E15E45"/>
    <w:rsid w:val="00E15F04"/>
    <w:rsid w:val="00E15F37"/>
    <w:rsid w:val="00E160E7"/>
    <w:rsid w:val="00E161A6"/>
    <w:rsid w:val="00E161FA"/>
    <w:rsid w:val="00E16332"/>
    <w:rsid w:val="00E1652E"/>
    <w:rsid w:val="00E1655A"/>
    <w:rsid w:val="00E1666F"/>
    <w:rsid w:val="00E16688"/>
    <w:rsid w:val="00E167A5"/>
    <w:rsid w:val="00E1685D"/>
    <w:rsid w:val="00E168DC"/>
    <w:rsid w:val="00E16D18"/>
    <w:rsid w:val="00E16D72"/>
    <w:rsid w:val="00E16F81"/>
    <w:rsid w:val="00E17030"/>
    <w:rsid w:val="00E17387"/>
    <w:rsid w:val="00E17458"/>
    <w:rsid w:val="00E17467"/>
    <w:rsid w:val="00E1763E"/>
    <w:rsid w:val="00E17688"/>
    <w:rsid w:val="00E176E3"/>
    <w:rsid w:val="00E17705"/>
    <w:rsid w:val="00E1776F"/>
    <w:rsid w:val="00E17A4C"/>
    <w:rsid w:val="00E17AA8"/>
    <w:rsid w:val="00E17C5F"/>
    <w:rsid w:val="00E17D28"/>
    <w:rsid w:val="00E17DFA"/>
    <w:rsid w:val="00E17F1F"/>
    <w:rsid w:val="00E20099"/>
    <w:rsid w:val="00E201D1"/>
    <w:rsid w:val="00E202E0"/>
    <w:rsid w:val="00E203CA"/>
    <w:rsid w:val="00E20464"/>
    <w:rsid w:val="00E20477"/>
    <w:rsid w:val="00E204A1"/>
    <w:rsid w:val="00E2053C"/>
    <w:rsid w:val="00E20562"/>
    <w:rsid w:val="00E2085C"/>
    <w:rsid w:val="00E20A29"/>
    <w:rsid w:val="00E20A95"/>
    <w:rsid w:val="00E20BA6"/>
    <w:rsid w:val="00E20DBD"/>
    <w:rsid w:val="00E20DC6"/>
    <w:rsid w:val="00E21037"/>
    <w:rsid w:val="00E21561"/>
    <w:rsid w:val="00E216A6"/>
    <w:rsid w:val="00E217F5"/>
    <w:rsid w:val="00E21835"/>
    <w:rsid w:val="00E2190E"/>
    <w:rsid w:val="00E2192C"/>
    <w:rsid w:val="00E2194B"/>
    <w:rsid w:val="00E21980"/>
    <w:rsid w:val="00E21A55"/>
    <w:rsid w:val="00E21AEC"/>
    <w:rsid w:val="00E21BE0"/>
    <w:rsid w:val="00E21FF9"/>
    <w:rsid w:val="00E221F6"/>
    <w:rsid w:val="00E22353"/>
    <w:rsid w:val="00E225A9"/>
    <w:rsid w:val="00E227DE"/>
    <w:rsid w:val="00E232FD"/>
    <w:rsid w:val="00E234CC"/>
    <w:rsid w:val="00E23752"/>
    <w:rsid w:val="00E23B09"/>
    <w:rsid w:val="00E23C0D"/>
    <w:rsid w:val="00E23EE6"/>
    <w:rsid w:val="00E23F8C"/>
    <w:rsid w:val="00E242BF"/>
    <w:rsid w:val="00E24308"/>
    <w:rsid w:val="00E245D7"/>
    <w:rsid w:val="00E2479B"/>
    <w:rsid w:val="00E247DE"/>
    <w:rsid w:val="00E24AA2"/>
    <w:rsid w:val="00E24E75"/>
    <w:rsid w:val="00E24FA1"/>
    <w:rsid w:val="00E253A4"/>
    <w:rsid w:val="00E253CF"/>
    <w:rsid w:val="00E254A8"/>
    <w:rsid w:val="00E2560B"/>
    <w:rsid w:val="00E256E9"/>
    <w:rsid w:val="00E25E4E"/>
    <w:rsid w:val="00E25EC7"/>
    <w:rsid w:val="00E25F03"/>
    <w:rsid w:val="00E25F6A"/>
    <w:rsid w:val="00E26050"/>
    <w:rsid w:val="00E26288"/>
    <w:rsid w:val="00E262A2"/>
    <w:rsid w:val="00E2664E"/>
    <w:rsid w:val="00E2682D"/>
    <w:rsid w:val="00E26906"/>
    <w:rsid w:val="00E26A60"/>
    <w:rsid w:val="00E26EDE"/>
    <w:rsid w:val="00E26F4D"/>
    <w:rsid w:val="00E2707C"/>
    <w:rsid w:val="00E2716D"/>
    <w:rsid w:val="00E2718B"/>
    <w:rsid w:val="00E2729B"/>
    <w:rsid w:val="00E27368"/>
    <w:rsid w:val="00E2749E"/>
    <w:rsid w:val="00E27532"/>
    <w:rsid w:val="00E2780E"/>
    <w:rsid w:val="00E27896"/>
    <w:rsid w:val="00E27B2D"/>
    <w:rsid w:val="00E27BE0"/>
    <w:rsid w:val="00E27CF2"/>
    <w:rsid w:val="00E27E75"/>
    <w:rsid w:val="00E27F1F"/>
    <w:rsid w:val="00E30055"/>
    <w:rsid w:val="00E30056"/>
    <w:rsid w:val="00E303E0"/>
    <w:rsid w:val="00E304A2"/>
    <w:rsid w:val="00E30697"/>
    <w:rsid w:val="00E30811"/>
    <w:rsid w:val="00E30855"/>
    <w:rsid w:val="00E308E4"/>
    <w:rsid w:val="00E30A3C"/>
    <w:rsid w:val="00E30A79"/>
    <w:rsid w:val="00E30BB4"/>
    <w:rsid w:val="00E30EB3"/>
    <w:rsid w:val="00E31103"/>
    <w:rsid w:val="00E312B3"/>
    <w:rsid w:val="00E313E5"/>
    <w:rsid w:val="00E3143D"/>
    <w:rsid w:val="00E3150C"/>
    <w:rsid w:val="00E3159D"/>
    <w:rsid w:val="00E316A9"/>
    <w:rsid w:val="00E317F2"/>
    <w:rsid w:val="00E31814"/>
    <w:rsid w:val="00E31866"/>
    <w:rsid w:val="00E318DA"/>
    <w:rsid w:val="00E319E8"/>
    <w:rsid w:val="00E31C63"/>
    <w:rsid w:val="00E32028"/>
    <w:rsid w:val="00E32043"/>
    <w:rsid w:val="00E32088"/>
    <w:rsid w:val="00E32235"/>
    <w:rsid w:val="00E322CD"/>
    <w:rsid w:val="00E32449"/>
    <w:rsid w:val="00E325D8"/>
    <w:rsid w:val="00E325E1"/>
    <w:rsid w:val="00E32617"/>
    <w:rsid w:val="00E32762"/>
    <w:rsid w:val="00E32846"/>
    <w:rsid w:val="00E3287C"/>
    <w:rsid w:val="00E32A53"/>
    <w:rsid w:val="00E32A74"/>
    <w:rsid w:val="00E32D70"/>
    <w:rsid w:val="00E33003"/>
    <w:rsid w:val="00E33071"/>
    <w:rsid w:val="00E330C7"/>
    <w:rsid w:val="00E331EE"/>
    <w:rsid w:val="00E332D0"/>
    <w:rsid w:val="00E332F7"/>
    <w:rsid w:val="00E33681"/>
    <w:rsid w:val="00E336B4"/>
    <w:rsid w:val="00E336ED"/>
    <w:rsid w:val="00E33AFF"/>
    <w:rsid w:val="00E33CDA"/>
    <w:rsid w:val="00E34154"/>
    <w:rsid w:val="00E341E4"/>
    <w:rsid w:val="00E34377"/>
    <w:rsid w:val="00E344B6"/>
    <w:rsid w:val="00E34528"/>
    <w:rsid w:val="00E347FE"/>
    <w:rsid w:val="00E349AE"/>
    <w:rsid w:val="00E34A0B"/>
    <w:rsid w:val="00E34A1F"/>
    <w:rsid w:val="00E34A5E"/>
    <w:rsid w:val="00E34B7A"/>
    <w:rsid w:val="00E34C5D"/>
    <w:rsid w:val="00E34CC0"/>
    <w:rsid w:val="00E34EDC"/>
    <w:rsid w:val="00E35043"/>
    <w:rsid w:val="00E35149"/>
    <w:rsid w:val="00E3520A"/>
    <w:rsid w:val="00E352CA"/>
    <w:rsid w:val="00E354AA"/>
    <w:rsid w:val="00E356E9"/>
    <w:rsid w:val="00E35707"/>
    <w:rsid w:val="00E357A4"/>
    <w:rsid w:val="00E3580A"/>
    <w:rsid w:val="00E3590F"/>
    <w:rsid w:val="00E35ABA"/>
    <w:rsid w:val="00E35B18"/>
    <w:rsid w:val="00E35C04"/>
    <w:rsid w:val="00E35C5A"/>
    <w:rsid w:val="00E35DC4"/>
    <w:rsid w:val="00E35E0A"/>
    <w:rsid w:val="00E35F0B"/>
    <w:rsid w:val="00E35FCC"/>
    <w:rsid w:val="00E361A6"/>
    <w:rsid w:val="00E3644D"/>
    <w:rsid w:val="00E365C9"/>
    <w:rsid w:val="00E3665B"/>
    <w:rsid w:val="00E3688D"/>
    <w:rsid w:val="00E3693C"/>
    <w:rsid w:val="00E36999"/>
    <w:rsid w:val="00E369B6"/>
    <w:rsid w:val="00E36B03"/>
    <w:rsid w:val="00E36C55"/>
    <w:rsid w:val="00E36CA6"/>
    <w:rsid w:val="00E36CB0"/>
    <w:rsid w:val="00E36CCA"/>
    <w:rsid w:val="00E36E3D"/>
    <w:rsid w:val="00E36E73"/>
    <w:rsid w:val="00E36F79"/>
    <w:rsid w:val="00E36FF7"/>
    <w:rsid w:val="00E3702D"/>
    <w:rsid w:val="00E3703D"/>
    <w:rsid w:val="00E373EA"/>
    <w:rsid w:val="00E374E0"/>
    <w:rsid w:val="00E3760F"/>
    <w:rsid w:val="00E3780B"/>
    <w:rsid w:val="00E37A02"/>
    <w:rsid w:val="00E37BEB"/>
    <w:rsid w:val="00E37DDC"/>
    <w:rsid w:val="00E37EC2"/>
    <w:rsid w:val="00E37F99"/>
    <w:rsid w:val="00E4018C"/>
    <w:rsid w:val="00E402CC"/>
    <w:rsid w:val="00E40355"/>
    <w:rsid w:val="00E40441"/>
    <w:rsid w:val="00E40489"/>
    <w:rsid w:val="00E4051E"/>
    <w:rsid w:val="00E405A7"/>
    <w:rsid w:val="00E40672"/>
    <w:rsid w:val="00E40673"/>
    <w:rsid w:val="00E406C0"/>
    <w:rsid w:val="00E40750"/>
    <w:rsid w:val="00E40B1A"/>
    <w:rsid w:val="00E40C85"/>
    <w:rsid w:val="00E40F74"/>
    <w:rsid w:val="00E41246"/>
    <w:rsid w:val="00E41481"/>
    <w:rsid w:val="00E414FF"/>
    <w:rsid w:val="00E415ED"/>
    <w:rsid w:val="00E4161C"/>
    <w:rsid w:val="00E416B8"/>
    <w:rsid w:val="00E416D2"/>
    <w:rsid w:val="00E41702"/>
    <w:rsid w:val="00E417B1"/>
    <w:rsid w:val="00E4186D"/>
    <w:rsid w:val="00E41A34"/>
    <w:rsid w:val="00E41AFE"/>
    <w:rsid w:val="00E41C64"/>
    <w:rsid w:val="00E41CCB"/>
    <w:rsid w:val="00E41E73"/>
    <w:rsid w:val="00E4213B"/>
    <w:rsid w:val="00E4223E"/>
    <w:rsid w:val="00E42491"/>
    <w:rsid w:val="00E42708"/>
    <w:rsid w:val="00E427FE"/>
    <w:rsid w:val="00E42892"/>
    <w:rsid w:val="00E42BC5"/>
    <w:rsid w:val="00E42CC4"/>
    <w:rsid w:val="00E42DFB"/>
    <w:rsid w:val="00E42FDA"/>
    <w:rsid w:val="00E42FEA"/>
    <w:rsid w:val="00E43353"/>
    <w:rsid w:val="00E439EE"/>
    <w:rsid w:val="00E43A57"/>
    <w:rsid w:val="00E43B0D"/>
    <w:rsid w:val="00E43CD4"/>
    <w:rsid w:val="00E43DFA"/>
    <w:rsid w:val="00E43F2A"/>
    <w:rsid w:val="00E43F38"/>
    <w:rsid w:val="00E43F6D"/>
    <w:rsid w:val="00E44052"/>
    <w:rsid w:val="00E440E3"/>
    <w:rsid w:val="00E44269"/>
    <w:rsid w:val="00E442CE"/>
    <w:rsid w:val="00E442D0"/>
    <w:rsid w:val="00E44385"/>
    <w:rsid w:val="00E44744"/>
    <w:rsid w:val="00E44B1B"/>
    <w:rsid w:val="00E44DA4"/>
    <w:rsid w:val="00E44E50"/>
    <w:rsid w:val="00E44EC8"/>
    <w:rsid w:val="00E44FDE"/>
    <w:rsid w:val="00E45349"/>
    <w:rsid w:val="00E45385"/>
    <w:rsid w:val="00E4542C"/>
    <w:rsid w:val="00E45599"/>
    <w:rsid w:val="00E4561E"/>
    <w:rsid w:val="00E459D1"/>
    <w:rsid w:val="00E45CCA"/>
    <w:rsid w:val="00E46043"/>
    <w:rsid w:val="00E4607D"/>
    <w:rsid w:val="00E460CA"/>
    <w:rsid w:val="00E462CC"/>
    <w:rsid w:val="00E4634B"/>
    <w:rsid w:val="00E463B1"/>
    <w:rsid w:val="00E463D7"/>
    <w:rsid w:val="00E463E9"/>
    <w:rsid w:val="00E46531"/>
    <w:rsid w:val="00E465E6"/>
    <w:rsid w:val="00E4670A"/>
    <w:rsid w:val="00E46C01"/>
    <w:rsid w:val="00E46CD4"/>
    <w:rsid w:val="00E46CD5"/>
    <w:rsid w:val="00E472DD"/>
    <w:rsid w:val="00E47349"/>
    <w:rsid w:val="00E473B0"/>
    <w:rsid w:val="00E47430"/>
    <w:rsid w:val="00E4772C"/>
    <w:rsid w:val="00E4775F"/>
    <w:rsid w:val="00E47927"/>
    <w:rsid w:val="00E47AB1"/>
    <w:rsid w:val="00E47B8D"/>
    <w:rsid w:val="00E47B8E"/>
    <w:rsid w:val="00E47BE2"/>
    <w:rsid w:val="00E47C7B"/>
    <w:rsid w:val="00E50373"/>
    <w:rsid w:val="00E50484"/>
    <w:rsid w:val="00E50517"/>
    <w:rsid w:val="00E505F8"/>
    <w:rsid w:val="00E507B7"/>
    <w:rsid w:val="00E50818"/>
    <w:rsid w:val="00E50A99"/>
    <w:rsid w:val="00E50C7D"/>
    <w:rsid w:val="00E50DF3"/>
    <w:rsid w:val="00E5109E"/>
    <w:rsid w:val="00E51156"/>
    <w:rsid w:val="00E511E3"/>
    <w:rsid w:val="00E5124B"/>
    <w:rsid w:val="00E515E0"/>
    <w:rsid w:val="00E515E8"/>
    <w:rsid w:val="00E5174A"/>
    <w:rsid w:val="00E517FC"/>
    <w:rsid w:val="00E51A30"/>
    <w:rsid w:val="00E51D49"/>
    <w:rsid w:val="00E51D8B"/>
    <w:rsid w:val="00E51FE4"/>
    <w:rsid w:val="00E52015"/>
    <w:rsid w:val="00E52101"/>
    <w:rsid w:val="00E521AE"/>
    <w:rsid w:val="00E523D3"/>
    <w:rsid w:val="00E523F8"/>
    <w:rsid w:val="00E5257C"/>
    <w:rsid w:val="00E525E4"/>
    <w:rsid w:val="00E528D9"/>
    <w:rsid w:val="00E52A84"/>
    <w:rsid w:val="00E52A92"/>
    <w:rsid w:val="00E52EF9"/>
    <w:rsid w:val="00E530EB"/>
    <w:rsid w:val="00E53321"/>
    <w:rsid w:val="00E53434"/>
    <w:rsid w:val="00E5344D"/>
    <w:rsid w:val="00E534F9"/>
    <w:rsid w:val="00E53718"/>
    <w:rsid w:val="00E5371F"/>
    <w:rsid w:val="00E5395C"/>
    <w:rsid w:val="00E53AC8"/>
    <w:rsid w:val="00E53B1A"/>
    <w:rsid w:val="00E53B66"/>
    <w:rsid w:val="00E53C06"/>
    <w:rsid w:val="00E53D43"/>
    <w:rsid w:val="00E53ECE"/>
    <w:rsid w:val="00E54085"/>
    <w:rsid w:val="00E5415C"/>
    <w:rsid w:val="00E54415"/>
    <w:rsid w:val="00E544C2"/>
    <w:rsid w:val="00E5478F"/>
    <w:rsid w:val="00E5480D"/>
    <w:rsid w:val="00E54955"/>
    <w:rsid w:val="00E54AAA"/>
    <w:rsid w:val="00E54B8A"/>
    <w:rsid w:val="00E54BC5"/>
    <w:rsid w:val="00E54C2C"/>
    <w:rsid w:val="00E54C51"/>
    <w:rsid w:val="00E54D83"/>
    <w:rsid w:val="00E54DD0"/>
    <w:rsid w:val="00E54E9A"/>
    <w:rsid w:val="00E5512F"/>
    <w:rsid w:val="00E551FF"/>
    <w:rsid w:val="00E552A7"/>
    <w:rsid w:val="00E552DE"/>
    <w:rsid w:val="00E552DF"/>
    <w:rsid w:val="00E55419"/>
    <w:rsid w:val="00E55592"/>
    <w:rsid w:val="00E55887"/>
    <w:rsid w:val="00E55CBE"/>
    <w:rsid w:val="00E55D72"/>
    <w:rsid w:val="00E5601F"/>
    <w:rsid w:val="00E56132"/>
    <w:rsid w:val="00E5647D"/>
    <w:rsid w:val="00E564AE"/>
    <w:rsid w:val="00E565FD"/>
    <w:rsid w:val="00E56772"/>
    <w:rsid w:val="00E567C5"/>
    <w:rsid w:val="00E56985"/>
    <w:rsid w:val="00E56B6D"/>
    <w:rsid w:val="00E56C47"/>
    <w:rsid w:val="00E5705F"/>
    <w:rsid w:val="00E571B4"/>
    <w:rsid w:val="00E57342"/>
    <w:rsid w:val="00E5762E"/>
    <w:rsid w:val="00E576C9"/>
    <w:rsid w:val="00E578E8"/>
    <w:rsid w:val="00E57918"/>
    <w:rsid w:val="00E57B48"/>
    <w:rsid w:val="00E57BFA"/>
    <w:rsid w:val="00E57C15"/>
    <w:rsid w:val="00E57CEC"/>
    <w:rsid w:val="00E57D08"/>
    <w:rsid w:val="00E57E2D"/>
    <w:rsid w:val="00E57E38"/>
    <w:rsid w:val="00E57FD7"/>
    <w:rsid w:val="00E602D4"/>
    <w:rsid w:val="00E6037A"/>
    <w:rsid w:val="00E604A4"/>
    <w:rsid w:val="00E6087E"/>
    <w:rsid w:val="00E609CA"/>
    <w:rsid w:val="00E60DDC"/>
    <w:rsid w:val="00E60FA2"/>
    <w:rsid w:val="00E610CC"/>
    <w:rsid w:val="00E61126"/>
    <w:rsid w:val="00E613BF"/>
    <w:rsid w:val="00E6149E"/>
    <w:rsid w:val="00E614EF"/>
    <w:rsid w:val="00E61571"/>
    <w:rsid w:val="00E617F2"/>
    <w:rsid w:val="00E61977"/>
    <w:rsid w:val="00E619BA"/>
    <w:rsid w:val="00E61BC6"/>
    <w:rsid w:val="00E61C12"/>
    <w:rsid w:val="00E61C47"/>
    <w:rsid w:val="00E61F8F"/>
    <w:rsid w:val="00E62126"/>
    <w:rsid w:val="00E62308"/>
    <w:rsid w:val="00E6234B"/>
    <w:rsid w:val="00E62364"/>
    <w:rsid w:val="00E623DB"/>
    <w:rsid w:val="00E624D1"/>
    <w:rsid w:val="00E624F9"/>
    <w:rsid w:val="00E625B7"/>
    <w:rsid w:val="00E625DF"/>
    <w:rsid w:val="00E626BF"/>
    <w:rsid w:val="00E628DB"/>
    <w:rsid w:val="00E62B22"/>
    <w:rsid w:val="00E62E20"/>
    <w:rsid w:val="00E62E4B"/>
    <w:rsid w:val="00E62F1F"/>
    <w:rsid w:val="00E633B0"/>
    <w:rsid w:val="00E63527"/>
    <w:rsid w:val="00E63A88"/>
    <w:rsid w:val="00E63A90"/>
    <w:rsid w:val="00E63A9A"/>
    <w:rsid w:val="00E63B27"/>
    <w:rsid w:val="00E63DD9"/>
    <w:rsid w:val="00E63E70"/>
    <w:rsid w:val="00E63EC6"/>
    <w:rsid w:val="00E63FC6"/>
    <w:rsid w:val="00E64448"/>
    <w:rsid w:val="00E64643"/>
    <w:rsid w:val="00E6474E"/>
    <w:rsid w:val="00E6476A"/>
    <w:rsid w:val="00E647BA"/>
    <w:rsid w:val="00E64981"/>
    <w:rsid w:val="00E64B80"/>
    <w:rsid w:val="00E64BD3"/>
    <w:rsid w:val="00E64CB4"/>
    <w:rsid w:val="00E64D00"/>
    <w:rsid w:val="00E64E07"/>
    <w:rsid w:val="00E64F54"/>
    <w:rsid w:val="00E650D8"/>
    <w:rsid w:val="00E6514A"/>
    <w:rsid w:val="00E656D4"/>
    <w:rsid w:val="00E658C4"/>
    <w:rsid w:val="00E659E6"/>
    <w:rsid w:val="00E65C26"/>
    <w:rsid w:val="00E65D4F"/>
    <w:rsid w:val="00E65D76"/>
    <w:rsid w:val="00E65FD8"/>
    <w:rsid w:val="00E660C5"/>
    <w:rsid w:val="00E66167"/>
    <w:rsid w:val="00E6629E"/>
    <w:rsid w:val="00E66710"/>
    <w:rsid w:val="00E667CD"/>
    <w:rsid w:val="00E66900"/>
    <w:rsid w:val="00E66BE8"/>
    <w:rsid w:val="00E66DF7"/>
    <w:rsid w:val="00E66E37"/>
    <w:rsid w:val="00E66E4B"/>
    <w:rsid w:val="00E66F06"/>
    <w:rsid w:val="00E677C0"/>
    <w:rsid w:val="00E67AB3"/>
    <w:rsid w:val="00E67B33"/>
    <w:rsid w:val="00E67E4E"/>
    <w:rsid w:val="00E67EEF"/>
    <w:rsid w:val="00E67FAB"/>
    <w:rsid w:val="00E67FCD"/>
    <w:rsid w:val="00E70341"/>
    <w:rsid w:val="00E70656"/>
    <w:rsid w:val="00E7076B"/>
    <w:rsid w:val="00E707AA"/>
    <w:rsid w:val="00E70AD4"/>
    <w:rsid w:val="00E70AF1"/>
    <w:rsid w:val="00E70B6E"/>
    <w:rsid w:val="00E70BFE"/>
    <w:rsid w:val="00E70D6F"/>
    <w:rsid w:val="00E70EC1"/>
    <w:rsid w:val="00E70F38"/>
    <w:rsid w:val="00E71093"/>
    <w:rsid w:val="00E7142D"/>
    <w:rsid w:val="00E71712"/>
    <w:rsid w:val="00E71845"/>
    <w:rsid w:val="00E719C1"/>
    <w:rsid w:val="00E71A68"/>
    <w:rsid w:val="00E71AFD"/>
    <w:rsid w:val="00E71B0D"/>
    <w:rsid w:val="00E71C4C"/>
    <w:rsid w:val="00E71CC0"/>
    <w:rsid w:val="00E71D0E"/>
    <w:rsid w:val="00E71FBA"/>
    <w:rsid w:val="00E71FDC"/>
    <w:rsid w:val="00E721AE"/>
    <w:rsid w:val="00E7223D"/>
    <w:rsid w:val="00E72443"/>
    <w:rsid w:val="00E725A0"/>
    <w:rsid w:val="00E725A5"/>
    <w:rsid w:val="00E727AD"/>
    <w:rsid w:val="00E72815"/>
    <w:rsid w:val="00E72AFD"/>
    <w:rsid w:val="00E72F36"/>
    <w:rsid w:val="00E730FA"/>
    <w:rsid w:val="00E73179"/>
    <w:rsid w:val="00E733E9"/>
    <w:rsid w:val="00E73841"/>
    <w:rsid w:val="00E73893"/>
    <w:rsid w:val="00E739BF"/>
    <w:rsid w:val="00E73AC8"/>
    <w:rsid w:val="00E73B1B"/>
    <w:rsid w:val="00E73BEF"/>
    <w:rsid w:val="00E73D5F"/>
    <w:rsid w:val="00E73F32"/>
    <w:rsid w:val="00E73FAC"/>
    <w:rsid w:val="00E741B4"/>
    <w:rsid w:val="00E74221"/>
    <w:rsid w:val="00E74413"/>
    <w:rsid w:val="00E7459B"/>
    <w:rsid w:val="00E7467F"/>
    <w:rsid w:val="00E74B18"/>
    <w:rsid w:val="00E74D08"/>
    <w:rsid w:val="00E74D59"/>
    <w:rsid w:val="00E74D68"/>
    <w:rsid w:val="00E74F16"/>
    <w:rsid w:val="00E74F3A"/>
    <w:rsid w:val="00E75089"/>
    <w:rsid w:val="00E750F6"/>
    <w:rsid w:val="00E75126"/>
    <w:rsid w:val="00E753EE"/>
    <w:rsid w:val="00E75424"/>
    <w:rsid w:val="00E754D1"/>
    <w:rsid w:val="00E7561B"/>
    <w:rsid w:val="00E75960"/>
    <w:rsid w:val="00E75A31"/>
    <w:rsid w:val="00E75A6C"/>
    <w:rsid w:val="00E75B9A"/>
    <w:rsid w:val="00E75EDD"/>
    <w:rsid w:val="00E75F39"/>
    <w:rsid w:val="00E76032"/>
    <w:rsid w:val="00E7631F"/>
    <w:rsid w:val="00E765A8"/>
    <w:rsid w:val="00E76813"/>
    <w:rsid w:val="00E76863"/>
    <w:rsid w:val="00E76AC7"/>
    <w:rsid w:val="00E76E5F"/>
    <w:rsid w:val="00E76F5F"/>
    <w:rsid w:val="00E76F87"/>
    <w:rsid w:val="00E7713D"/>
    <w:rsid w:val="00E77264"/>
    <w:rsid w:val="00E772CF"/>
    <w:rsid w:val="00E772D2"/>
    <w:rsid w:val="00E772DB"/>
    <w:rsid w:val="00E77463"/>
    <w:rsid w:val="00E774C7"/>
    <w:rsid w:val="00E776DF"/>
    <w:rsid w:val="00E7791B"/>
    <w:rsid w:val="00E7797C"/>
    <w:rsid w:val="00E77ADF"/>
    <w:rsid w:val="00E8002C"/>
    <w:rsid w:val="00E80118"/>
    <w:rsid w:val="00E8074F"/>
    <w:rsid w:val="00E80803"/>
    <w:rsid w:val="00E8080B"/>
    <w:rsid w:val="00E808A8"/>
    <w:rsid w:val="00E811A6"/>
    <w:rsid w:val="00E812FC"/>
    <w:rsid w:val="00E813D9"/>
    <w:rsid w:val="00E813F0"/>
    <w:rsid w:val="00E814AC"/>
    <w:rsid w:val="00E8182A"/>
    <w:rsid w:val="00E81897"/>
    <w:rsid w:val="00E818BB"/>
    <w:rsid w:val="00E819AF"/>
    <w:rsid w:val="00E81C52"/>
    <w:rsid w:val="00E81F81"/>
    <w:rsid w:val="00E82773"/>
    <w:rsid w:val="00E8281D"/>
    <w:rsid w:val="00E82A7A"/>
    <w:rsid w:val="00E82C7C"/>
    <w:rsid w:val="00E82CC0"/>
    <w:rsid w:val="00E82FC3"/>
    <w:rsid w:val="00E830B7"/>
    <w:rsid w:val="00E831E8"/>
    <w:rsid w:val="00E832A6"/>
    <w:rsid w:val="00E8348B"/>
    <w:rsid w:val="00E835ED"/>
    <w:rsid w:val="00E8370F"/>
    <w:rsid w:val="00E83BD2"/>
    <w:rsid w:val="00E83D00"/>
    <w:rsid w:val="00E83D11"/>
    <w:rsid w:val="00E84056"/>
    <w:rsid w:val="00E84407"/>
    <w:rsid w:val="00E8459A"/>
    <w:rsid w:val="00E84648"/>
    <w:rsid w:val="00E84743"/>
    <w:rsid w:val="00E847C9"/>
    <w:rsid w:val="00E8484E"/>
    <w:rsid w:val="00E84A02"/>
    <w:rsid w:val="00E84A3B"/>
    <w:rsid w:val="00E84A4C"/>
    <w:rsid w:val="00E84A7A"/>
    <w:rsid w:val="00E84CA8"/>
    <w:rsid w:val="00E84F05"/>
    <w:rsid w:val="00E85080"/>
    <w:rsid w:val="00E850CF"/>
    <w:rsid w:val="00E8519B"/>
    <w:rsid w:val="00E8545B"/>
    <w:rsid w:val="00E85470"/>
    <w:rsid w:val="00E8557E"/>
    <w:rsid w:val="00E85685"/>
    <w:rsid w:val="00E856B0"/>
    <w:rsid w:val="00E8598C"/>
    <w:rsid w:val="00E85A2F"/>
    <w:rsid w:val="00E85BF8"/>
    <w:rsid w:val="00E85D10"/>
    <w:rsid w:val="00E85E42"/>
    <w:rsid w:val="00E86186"/>
    <w:rsid w:val="00E86486"/>
    <w:rsid w:val="00E86551"/>
    <w:rsid w:val="00E86589"/>
    <w:rsid w:val="00E86943"/>
    <w:rsid w:val="00E8696D"/>
    <w:rsid w:val="00E86F05"/>
    <w:rsid w:val="00E86F0D"/>
    <w:rsid w:val="00E86F6F"/>
    <w:rsid w:val="00E87401"/>
    <w:rsid w:val="00E87407"/>
    <w:rsid w:val="00E874D6"/>
    <w:rsid w:val="00E87754"/>
    <w:rsid w:val="00E87804"/>
    <w:rsid w:val="00E87A4E"/>
    <w:rsid w:val="00E87B40"/>
    <w:rsid w:val="00E87B6F"/>
    <w:rsid w:val="00E87F29"/>
    <w:rsid w:val="00E9013D"/>
    <w:rsid w:val="00E901B5"/>
    <w:rsid w:val="00E902D6"/>
    <w:rsid w:val="00E907C4"/>
    <w:rsid w:val="00E907ED"/>
    <w:rsid w:val="00E90944"/>
    <w:rsid w:val="00E909C4"/>
    <w:rsid w:val="00E90CBC"/>
    <w:rsid w:val="00E91032"/>
    <w:rsid w:val="00E91396"/>
    <w:rsid w:val="00E91430"/>
    <w:rsid w:val="00E91513"/>
    <w:rsid w:val="00E915E0"/>
    <w:rsid w:val="00E917E1"/>
    <w:rsid w:val="00E91AB8"/>
    <w:rsid w:val="00E91C35"/>
    <w:rsid w:val="00E91D1D"/>
    <w:rsid w:val="00E91EC3"/>
    <w:rsid w:val="00E923BE"/>
    <w:rsid w:val="00E923E7"/>
    <w:rsid w:val="00E924C2"/>
    <w:rsid w:val="00E9253B"/>
    <w:rsid w:val="00E92703"/>
    <w:rsid w:val="00E9272A"/>
    <w:rsid w:val="00E9275E"/>
    <w:rsid w:val="00E927B7"/>
    <w:rsid w:val="00E927DF"/>
    <w:rsid w:val="00E928BC"/>
    <w:rsid w:val="00E928C3"/>
    <w:rsid w:val="00E92AAF"/>
    <w:rsid w:val="00E92B32"/>
    <w:rsid w:val="00E92B82"/>
    <w:rsid w:val="00E92C22"/>
    <w:rsid w:val="00E92D0B"/>
    <w:rsid w:val="00E92F00"/>
    <w:rsid w:val="00E93218"/>
    <w:rsid w:val="00E9322B"/>
    <w:rsid w:val="00E9338E"/>
    <w:rsid w:val="00E93423"/>
    <w:rsid w:val="00E93534"/>
    <w:rsid w:val="00E93596"/>
    <w:rsid w:val="00E9376B"/>
    <w:rsid w:val="00E93858"/>
    <w:rsid w:val="00E93AD0"/>
    <w:rsid w:val="00E93AFC"/>
    <w:rsid w:val="00E93D95"/>
    <w:rsid w:val="00E93DBB"/>
    <w:rsid w:val="00E93DE2"/>
    <w:rsid w:val="00E93EE2"/>
    <w:rsid w:val="00E93F05"/>
    <w:rsid w:val="00E9408F"/>
    <w:rsid w:val="00E943AE"/>
    <w:rsid w:val="00E9468E"/>
    <w:rsid w:val="00E9481D"/>
    <w:rsid w:val="00E94901"/>
    <w:rsid w:val="00E9490C"/>
    <w:rsid w:val="00E94912"/>
    <w:rsid w:val="00E94D65"/>
    <w:rsid w:val="00E952E5"/>
    <w:rsid w:val="00E952EB"/>
    <w:rsid w:val="00E953DB"/>
    <w:rsid w:val="00E9543B"/>
    <w:rsid w:val="00E95583"/>
    <w:rsid w:val="00E956F5"/>
    <w:rsid w:val="00E95788"/>
    <w:rsid w:val="00E9591A"/>
    <w:rsid w:val="00E95ABB"/>
    <w:rsid w:val="00E95B12"/>
    <w:rsid w:val="00E95D0C"/>
    <w:rsid w:val="00E95D61"/>
    <w:rsid w:val="00E96090"/>
    <w:rsid w:val="00E9612E"/>
    <w:rsid w:val="00E9639B"/>
    <w:rsid w:val="00E968D9"/>
    <w:rsid w:val="00E969E4"/>
    <w:rsid w:val="00E96A5E"/>
    <w:rsid w:val="00E96A63"/>
    <w:rsid w:val="00E96BCB"/>
    <w:rsid w:val="00E96D54"/>
    <w:rsid w:val="00E96FF1"/>
    <w:rsid w:val="00E97231"/>
    <w:rsid w:val="00E972BF"/>
    <w:rsid w:val="00E9730B"/>
    <w:rsid w:val="00E9734B"/>
    <w:rsid w:val="00E974ED"/>
    <w:rsid w:val="00E9758C"/>
    <w:rsid w:val="00E97592"/>
    <w:rsid w:val="00E97621"/>
    <w:rsid w:val="00E976A0"/>
    <w:rsid w:val="00E977E7"/>
    <w:rsid w:val="00E97872"/>
    <w:rsid w:val="00E97AA8"/>
    <w:rsid w:val="00E97ADB"/>
    <w:rsid w:val="00E97BA3"/>
    <w:rsid w:val="00E97C94"/>
    <w:rsid w:val="00EA008F"/>
    <w:rsid w:val="00EA0464"/>
    <w:rsid w:val="00EA052B"/>
    <w:rsid w:val="00EA0670"/>
    <w:rsid w:val="00EA0835"/>
    <w:rsid w:val="00EA0A07"/>
    <w:rsid w:val="00EA0D3D"/>
    <w:rsid w:val="00EA0DC3"/>
    <w:rsid w:val="00EA0E91"/>
    <w:rsid w:val="00EA0F11"/>
    <w:rsid w:val="00EA1226"/>
    <w:rsid w:val="00EA1256"/>
    <w:rsid w:val="00EA13C1"/>
    <w:rsid w:val="00EA17B7"/>
    <w:rsid w:val="00EA1977"/>
    <w:rsid w:val="00EA1AD4"/>
    <w:rsid w:val="00EA2268"/>
    <w:rsid w:val="00EA22CC"/>
    <w:rsid w:val="00EA2496"/>
    <w:rsid w:val="00EA25AA"/>
    <w:rsid w:val="00EA27B1"/>
    <w:rsid w:val="00EA27FB"/>
    <w:rsid w:val="00EA2924"/>
    <w:rsid w:val="00EA2988"/>
    <w:rsid w:val="00EA2A81"/>
    <w:rsid w:val="00EA2C3C"/>
    <w:rsid w:val="00EA2C46"/>
    <w:rsid w:val="00EA2E38"/>
    <w:rsid w:val="00EA2E70"/>
    <w:rsid w:val="00EA2ED5"/>
    <w:rsid w:val="00EA32AD"/>
    <w:rsid w:val="00EA3497"/>
    <w:rsid w:val="00EA349B"/>
    <w:rsid w:val="00EA35D6"/>
    <w:rsid w:val="00EA3725"/>
    <w:rsid w:val="00EA3757"/>
    <w:rsid w:val="00EA3780"/>
    <w:rsid w:val="00EA3C9D"/>
    <w:rsid w:val="00EA4015"/>
    <w:rsid w:val="00EA416E"/>
    <w:rsid w:val="00EA4493"/>
    <w:rsid w:val="00EA451A"/>
    <w:rsid w:val="00EA4596"/>
    <w:rsid w:val="00EA4754"/>
    <w:rsid w:val="00EA4764"/>
    <w:rsid w:val="00EA487D"/>
    <w:rsid w:val="00EA4938"/>
    <w:rsid w:val="00EA4AA0"/>
    <w:rsid w:val="00EA4AAC"/>
    <w:rsid w:val="00EA4AD0"/>
    <w:rsid w:val="00EA4ADA"/>
    <w:rsid w:val="00EA4B63"/>
    <w:rsid w:val="00EA4E65"/>
    <w:rsid w:val="00EA541A"/>
    <w:rsid w:val="00EA5614"/>
    <w:rsid w:val="00EA5815"/>
    <w:rsid w:val="00EA584E"/>
    <w:rsid w:val="00EA5A19"/>
    <w:rsid w:val="00EA5A3D"/>
    <w:rsid w:val="00EA5AF6"/>
    <w:rsid w:val="00EA5E31"/>
    <w:rsid w:val="00EA5E66"/>
    <w:rsid w:val="00EA5F40"/>
    <w:rsid w:val="00EA5FD5"/>
    <w:rsid w:val="00EA6172"/>
    <w:rsid w:val="00EA61B0"/>
    <w:rsid w:val="00EA6433"/>
    <w:rsid w:val="00EA648C"/>
    <w:rsid w:val="00EA6564"/>
    <w:rsid w:val="00EA65A3"/>
    <w:rsid w:val="00EA67DB"/>
    <w:rsid w:val="00EA6812"/>
    <w:rsid w:val="00EA6913"/>
    <w:rsid w:val="00EA6964"/>
    <w:rsid w:val="00EA6EA0"/>
    <w:rsid w:val="00EA6F1A"/>
    <w:rsid w:val="00EA6FA0"/>
    <w:rsid w:val="00EA70FF"/>
    <w:rsid w:val="00EA730C"/>
    <w:rsid w:val="00EA7477"/>
    <w:rsid w:val="00EA7578"/>
    <w:rsid w:val="00EA77F3"/>
    <w:rsid w:val="00EA78B8"/>
    <w:rsid w:val="00EA791B"/>
    <w:rsid w:val="00EA7B5B"/>
    <w:rsid w:val="00EA7BD2"/>
    <w:rsid w:val="00EA7D24"/>
    <w:rsid w:val="00EA7EA6"/>
    <w:rsid w:val="00EB0082"/>
    <w:rsid w:val="00EB01CC"/>
    <w:rsid w:val="00EB039A"/>
    <w:rsid w:val="00EB0447"/>
    <w:rsid w:val="00EB0518"/>
    <w:rsid w:val="00EB0574"/>
    <w:rsid w:val="00EB06B2"/>
    <w:rsid w:val="00EB0729"/>
    <w:rsid w:val="00EB0976"/>
    <w:rsid w:val="00EB0A26"/>
    <w:rsid w:val="00EB0B26"/>
    <w:rsid w:val="00EB0B2C"/>
    <w:rsid w:val="00EB0E0A"/>
    <w:rsid w:val="00EB121D"/>
    <w:rsid w:val="00EB124D"/>
    <w:rsid w:val="00EB138D"/>
    <w:rsid w:val="00EB13FE"/>
    <w:rsid w:val="00EB15FC"/>
    <w:rsid w:val="00EB16FD"/>
    <w:rsid w:val="00EB1B10"/>
    <w:rsid w:val="00EB1B71"/>
    <w:rsid w:val="00EB1B86"/>
    <w:rsid w:val="00EB1EBA"/>
    <w:rsid w:val="00EB1F5E"/>
    <w:rsid w:val="00EB1FAE"/>
    <w:rsid w:val="00EB211C"/>
    <w:rsid w:val="00EB2185"/>
    <w:rsid w:val="00EB2241"/>
    <w:rsid w:val="00EB24A4"/>
    <w:rsid w:val="00EB24D2"/>
    <w:rsid w:val="00EB2659"/>
    <w:rsid w:val="00EB265C"/>
    <w:rsid w:val="00EB285A"/>
    <w:rsid w:val="00EB29E3"/>
    <w:rsid w:val="00EB2B54"/>
    <w:rsid w:val="00EB2B81"/>
    <w:rsid w:val="00EB2D39"/>
    <w:rsid w:val="00EB2EE0"/>
    <w:rsid w:val="00EB2F50"/>
    <w:rsid w:val="00EB31A9"/>
    <w:rsid w:val="00EB31EA"/>
    <w:rsid w:val="00EB3344"/>
    <w:rsid w:val="00EB345F"/>
    <w:rsid w:val="00EB346A"/>
    <w:rsid w:val="00EB375E"/>
    <w:rsid w:val="00EB377F"/>
    <w:rsid w:val="00EB382D"/>
    <w:rsid w:val="00EB38A1"/>
    <w:rsid w:val="00EB38F0"/>
    <w:rsid w:val="00EB39C6"/>
    <w:rsid w:val="00EB3BB5"/>
    <w:rsid w:val="00EB4038"/>
    <w:rsid w:val="00EB408C"/>
    <w:rsid w:val="00EB413E"/>
    <w:rsid w:val="00EB423D"/>
    <w:rsid w:val="00EB46DC"/>
    <w:rsid w:val="00EB4729"/>
    <w:rsid w:val="00EB4897"/>
    <w:rsid w:val="00EB48E6"/>
    <w:rsid w:val="00EB4B4A"/>
    <w:rsid w:val="00EB4C9C"/>
    <w:rsid w:val="00EB4CE0"/>
    <w:rsid w:val="00EB4CF9"/>
    <w:rsid w:val="00EB4D5D"/>
    <w:rsid w:val="00EB4E9E"/>
    <w:rsid w:val="00EB4F68"/>
    <w:rsid w:val="00EB4FE0"/>
    <w:rsid w:val="00EB50E4"/>
    <w:rsid w:val="00EB5209"/>
    <w:rsid w:val="00EB5244"/>
    <w:rsid w:val="00EB5342"/>
    <w:rsid w:val="00EB5C97"/>
    <w:rsid w:val="00EB5CE9"/>
    <w:rsid w:val="00EB5D6A"/>
    <w:rsid w:val="00EB5D79"/>
    <w:rsid w:val="00EB6216"/>
    <w:rsid w:val="00EB66CD"/>
    <w:rsid w:val="00EB687F"/>
    <w:rsid w:val="00EB6998"/>
    <w:rsid w:val="00EB6A29"/>
    <w:rsid w:val="00EB6BD1"/>
    <w:rsid w:val="00EB6C29"/>
    <w:rsid w:val="00EB6C34"/>
    <w:rsid w:val="00EB6C8D"/>
    <w:rsid w:val="00EB6DA8"/>
    <w:rsid w:val="00EB6DBC"/>
    <w:rsid w:val="00EB6DEA"/>
    <w:rsid w:val="00EB6E82"/>
    <w:rsid w:val="00EB6F6F"/>
    <w:rsid w:val="00EB6F88"/>
    <w:rsid w:val="00EB7025"/>
    <w:rsid w:val="00EB705A"/>
    <w:rsid w:val="00EB71C4"/>
    <w:rsid w:val="00EB733B"/>
    <w:rsid w:val="00EB74E0"/>
    <w:rsid w:val="00EB7587"/>
    <w:rsid w:val="00EB76B8"/>
    <w:rsid w:val="00EB7764"/>
    <w:rsid w:val="00EB788C"/>
    <w:rsid w:val="00EB78AD"/>
    <w:rsid w:val="00EB78C1"/>
    <w:rsid w:val="00EB7955"/>
    <w:rsid w:val="00EB79B9"/>
    <w:rsid w:val="00EB7B25"/>
    <w:rsid w:val="00EB7B71"/>
    <w:rsid w:val="00EB7C0C"/>
    <w:rsid w:val="00EC0043"/>
    <w:rsid w:val="00EC01B5"/>
    <w:rsid w:val="00EC0241"/>
    <w:rsid w:val="00EC077C"/>
    <w:rsid w:val="00EC0900"/>
    <w:rsid w:val="00EC093B"/>
    <w:rsid w:val="00EC095C"/>
    <w:rsid w:val="00EC09E5"/>
    <w:rsid w:val="00EC0AA7"/>
    <w:rsid w:val="00EC0C97"/>
    <w:rsid w:val="00EC0DE1"/>
    <w:rsid w:val="00EC0E77"/>
    <w:rsid w:val="00EC0F6C"/>
    <w:rsid w:val="00EC1273"/>
    <w:rsid w:val="00EC14AF"/>
    <w:rsid w:val="00EC184C"/>
    <w:rsid w:val="00EC192B"/>
    <w:rsid w:val="00EC19BD"/>
    <w:rsid w:val="00EC1AB9"/>
    <w:rsid w:val="00EC1AEF"/>
    <w:rsid w:val="00EC1B51"/>
    <w:rsid w:val="00EC1BF7"/>
    <w:rsid w:val="00EC1C96"/>
    <w:rsid w:val="00EC1D72"/>
    <w:rsid w:val="00EC1DEA"/>
    <w:rsid w:val="00EC1F80"/>
    <w:rsid w:val="00EC225F"/>
    <w:rsid w:val="00EC2261"/>
    <w:rsid w:val="00EC22FD"/>
    <w:rsid w:val="00EC25DE"/>
    <w:rsid w:val="00EC27EB"/>
    <w:rsid w:val="00EC2A2E"/>
    <w:rsid w:val="00EC2BE7"/>
    <w:rsid w:val="00EC2C2F"/>
    <w:rsid w:val="00EC2D07"/>
    <w:rsid w:val="00EC2DED"/>
    <w:rsid w:val="00EC324D"/>
    <w:rsid w:val="00EC3324"/>
    <w:rsid w:val="00EC3325"/>
    <w:rsid w:val="00EC34A8"/>
    <w:rsid w:val="00EC353E"/>
    <w:rsid w:val="00EC3656"/>
    <w:rsid w:val="00EC3826"/>
    <w:rsid w:val="00EC382D"/>
    <w:rsid w:val="00EC39E3"/>
    <w:rsid w:val="00EC3B6F"/>
    <w:rsid w:val="00EC3C6D"/>
    <w:rsid w:val="00EC3F55"/>
    <w:rsid w:val="00EC40FD"/>
    <w:rsid w:val="00EC4374"/>
    <w:rsid w:val="00EC43A3"/>
    <w:rsid w:val="00EC44F8"/>
    <w:rsid w:val="00EC453C"/>
    <w:rsid w:val="00EC459D"/>
    <w:rsid w:val="00EC465E"/>
    <w:rsid w:val="00EC46FD"/>
    <w:rsid w:val="00EC4A6D"/>
    <w:rsid w:val="00EC4ADA"/>
    <w:rsid w:val="00EC4B75"/>
    <w:rsid w:val="00EC4E0F"/>
    <w:rsid w:val="00EC4FD2"/>
    <w:rsid w:val="00EC55EA"/>
    <w:rsid w:val="00EC5859"/>
    <w:rsid w:val="00EC5A6B"/>
    <w:rsid w:val="00EC5AF8"/>
    <w:rsid w:val="00EC5D8C"/>
    <w:rsid w:val="00EC5E04"/>
    <w:rsid w:val="00EC5E32"/>
    <w:rsid w:val="00EC6143"/>
    <w:rsid w:val="00EC6189"/>
    <w:rsid w:val="00EC619D"/>
    <w:rsid w:val="00EC6231"/>
    <w:rsid w:val="00EC625E"/>
    <w:rsid w:val="00EC6267"/>
    <w:rsid w:val="00EC663E"/>
    <w:rsid w:val="00EC67FD"/>
    <w:rsid w:val="00EC6B9D"/>
    <w:rsid w:val="00EC6D8C"/>
    <w:rsid w:val="00EC6DFF"/>
    <w:rsid w:val="00EC6EF0"/>
    <w:rsid w:val="00EC6FE6"/>
    <w:rsid w:val="00EC710E"/>
    <w:rsid w:val="00EC7152"/>
    <w:rsid w:val="00EC7202"/>
    <w:rsid w:val="00EC735B"/>
    <w:rsid w:val="00EC73E9"/>
    <w:rsid w:val="00EC774D"/>
    <w:rsid w:val="00EC7946"/>
    <w:rsid w:val="00EC7B12"/>
    <w:rsid w:val="00EC7CB5"/>
    <w:rsid w:val="00EC7D67"/>
    <w:rsid w:val="00EC7DF0"/>
    <w:rsid w:val="00EC7E77"/>
    <w:rsid w:val="00EC7ECF"/>
    <w:rsid w:val="00ED003D"/>
    <w:rsid w:val="00ED0125"/>
    <w:rsid w:val="00ED026A"/>
    <w:rsid w:val="00ED02D8"/>
    <w:rsid w:val="00ED03C3"/>
    <w:rsid w:val="00ED045F"/>
    <w:rsid w:val="00ED06BE"/>
    <w:rsid w:val="00ED06E6"/>
    <w:rsid w:val="00ED0B8D"/>
    <w:rsid w:val="00ED0C3B"/>
    <w:rsid w:val="00ED0C6A"/>
    <w:rsid w:val="00ED0D9E"/>
    <w:rsid w:val="00ED115E"/>
    <w:rsid w:val="00ED1267"/>
    <w:rsid w:val="00ED127A"/>
    <w:rsid w:val="00ED1499"/>
    <w:rsid w:val="00ED14A7"/>
    <w:rsid w:val="00ED15DA"/>
    <w:rsid w:val="00ED166F"/>
    <w:rsid w:val="00ED168C"/>
    <w:rsid w:val="00ED16E3"/>
    <w:rsid w:val="00ED1AFE"/>
    <w:rsid w:val="00ED1C4B"/>
    <w:rsid w:val="00ED1E4E"/>
    <w:rsid w:val="00ED24EC"/>
    <w:rsid w:val="00ED25F9"/>
    <w:rsid w:val="00ED2646"/>
    <w:rsid w:val="00ED2717"/>
    <w:rsid w:val="00ED287D"/>
    <w:rsid w:val="00ED28BD"/>
    <w:rsid w:val="00ED2928"/>
    <w:rsid w:val="00ED2AA8"/>
    <w:rsid w:val="00ED2CB0"/>
    <w:rsid w:val="00ED2E2B"/>
    <w:rsid w:val="00ED3030"/>
    <w:rsid w:val="00ED30BB"/>
    <w:rsid w:val="00ED3169"/>
    <w:rsid w:val="00ED3216"/>
    <w:rsid w:val="00ED331D"/>
    <w:rsid w:val="00ED37E7"/>
    <w:rsid w:val="00ED3882"/>
    <w:rsid w:val="00ED38AE"/>
    <w:rsid w:val="00ED394D"/>
    <w:rsid w:val="00ED3C9A"/>
    <w:rsid w:val="00ED3CC6"/>
    <w:rsid w:val="00ED41AF"/>
    <w:rsid w:val="00ED433E"/>
    <w:rsid w:val="00ED490B"/>
    <w:rsid w:val="00ED49D4"/>
    <w:rsid w:val="00ED49ED"/>
    <w:rsid w:val="00ED4A09"/>
    <w:rsid w:val="00ED4C0B"/>
    <w:rsid w:val="00ED4D56"/>
    <w:rsid w:val="00ED4DF7"/>
    <w:rsid w:val="00ED4E72"/>
    <w:rsid w:val="00ED4FBF"/>
    <w:rsid w:val="00ED50D2"/>
    <w:rsid w:val="00ED50E6"/>
    <w:rsid w:val="00ED514B"/>
    <w:rsid w:val="00ED578A"/>
    <w:rsid w:val="00ED5B41"/>
    <w:rsid w:val="00ED5B63"/>
    <w:rsid w:val="00ED5D1B"/>
    <w:rsid w:val="00ED5D8B"/>
    <w:rsid w:val="00ED5ECF"/>
    <w:rsid w:val="00ED5FB8"/>
    <w:rsid w:val="00ED6031"/>
    <w:rsid w:val="00ED6064"/>
    <w:rsid w:val="00ED60EB"/>
    <w:rsid w:val="00ED61E3"/>
    <w:rsid w:val="00ED645E"/>
    <w:rsid w:val="00ED6573"/>
    <w:rsid w:val="00ED682E"/>
    <w:rsid w:val="00ED6A88"/>
    <w:rsid w:val="00ED6A9B"/>
    <w:rsid w:val="00ED6B46"/>
    <w:rsid w:val="00ED6C67"/>
    <w:rsid w:val="00ED6C80"/>
    <w:rsid w:val="00ED6EFA"/>
    <w:rsid w:val="00ED6F47"/>
    <w:rsid w:val="00ED7747"/>
    <w:rsid w:val="00ED776B"/>
    <w:rsid w:val="00ED77DF"/>
    <w:rsid w:val="00ED7A3E"/>
    <w:rsid w:val="00ED7DEB"/>
    <w:rsid w:val="00ED7EB5"/>
    <w:rsid w:val="00ED7FFB"/>
    <w:rsid w:val="00EE00CE"/>
    <w:rsid w:val="00EE033F"/>
    <w:rsid w:val="00EE087C"/>
    <w:rsid w:val="00EE0AE0"/>
    <w:rsid w:val="00EE0DD4"/>
    <w:rsid w:val="00EE0DE8"/>
    <w:rsid w:val="00EE0F3F"/>
    <w:rsid w:val="00EE0F89"/>
    <w:rsid w:val="00EE14CD"/>
    <w:rsid w:val="00EE156B"/>
    <w:rsid w:val="00EE1629"/>
    <w:rsid w:val="00EE173B"/>
    <w:rsid w:val="00EE1879"/>
    <w:rsid w:val="00EE1A27"/>
    <w:rsid w:val="00EE1A58"/>
    <w:rsid w:val="00EE1C26"/>
    <w:rsid w:val="00EE1DED"/>
    <w:rsid w:val="00EE1F4A"/>
    <w:rsid w:val="00EE2173"/>
    <w:rsid w:val="00EE21F9"/>
    <w:rsid w:val="00EE223F"/>
    <w:rsid w:val="00EE2243"/>
    <w:rsid w:val="00EE2269"/>
    <w:rsid w:val="00EE22C4"/>
    <w:rsid w:val="00EE25B1"/>
    <w:rsid w:val="00EE2875"/>
    <w:rsid w:val="00EE2896"/>
    <w:rsid w:val="00EE28CA"/>
    <w:rsid w:val="00EE2BB8"/>
    <w:rsid w:val="00EE2DFF"/>
    <w:rsid w:val="00EE2FDB"/>
    <w:rsid w:val="00EE3100"/>
    <w:rsid w:val="00EE3132"/>
    <w:rsid w:val="00EE3335"/>
    <w:rsid w:val="00EE345F"/>
    <w:rsid w:val="00EE34E9"/>
    <w:rsid w:val="00EE3640"/>
    <w:rsid w:val="00EE3A0E"/>
    <w:rsid w:val="00EE3B1D"/>
    <w:rsid w:val="00EE3C3D"/>
    <w:rsid w:val="00EE3D1A"/>
    <w:rsid w:val="00EE3F4C"/>
    <w:rsid w:val="00EE4020"/>
    <w:rsid w:val="00EE40B2"/>
    <w:rsid w:val="00EE40B8"/>
    <w:rsid w:val="00EE41E3"/>
    <w:rsid w:val="00EE42FD"/>
    <w:rsid w:val="00EE4338"/>
    <w:rsid w:val="00EE43A7"/>
    <w:rsid w:val="00EE44B2"/>
    <w:rsid w:val="00EE4846"/>
    <w:rsid w:val="00EE4877"/>
    <w:rsid w:val="00EE495D"/>
    <w:rsid w:val="00EE49A1"/>
    <w:rsid w:val="00EE49D8"/>
    <w:rsid w:val="00EE4B2A"/>
    <w:rsid w:val="00EE4C29"/>
    <w:rsid w:val="00EE4D9D"/>
    <w:rsid w:val="00EE4F66"/>
    <w:rsid w:val="00EE5083"/>
    <w:rsid w:val="00EE50A7"/>
    <w:rsid w:val="00EE5129"/>
    <w:rsid w:val="00EE524E"/>
    <w:rsid w:val="00EE533E"/>
    <w:rsid w:val="00EE539E"/>
    <w:rsid w:val="00EE56B6"/>
    <w:rsid w:val="00EE57ED"/>
    <w:rsid w:val="00EE584D"/>
    <w:rsid w:val="00EE5BFA"/>
    <w:rsid w:val="00EE5DC1"/>
    <w:rsid w:val="00EE5F14"/>
    <w:rsid w:val="00EE5FF9"/>
    <w:rsid w:val="00EE61A5"/>
    <w:rsid w:val="00EE61C1"/>
    <w:rsid w:val="00EE6211"/>
    <w:rsid w:val="00EE63C9"/>
    <w:rsid w:val="00EE6931"/>
    <w:rsid w:val="00EE6A5E"/>
    <w:rsid w:val="00EE6DB0"/>
    <w:rsid w:val="00EE6E68"/>
    <w:rsid w:val="00EE6E90"/>
    <w:rsid w:val="00EE6EEB"/>
    <w:rsid w:val="00EE6EEC"/>
    <w:rsid w:val="00EE6F26"/>
    <w:rsid w:val="00EE712D"/>
    <w:rsid w:val="00EE713E"/>
    <w:rsid w:val="00EE71A8"/>
    <w:rsid w:val="00EE720B"/>
    <w:rsid w:val="00EE7415"/>
    <w:rsid w:val="00EE74BA"/>
    <w:rsid w:val="00EE77C9"/>
    <w:rsid w:val="00EE79C9"/>
    <w:rsid w:val="00EE79DC"/>
    <w:rsid w:val="00EE7B6D"/>
    <w:rsid w:val="00EE7BB1"/>
    <w:rsid w:val="00EE7C7A"/>
    <w:rsid w:val="00EE7CAA"/>
    <w:rsid w:val="00EE7DCC"/>
    <w:rsid w:val="00EE7ED2"/>
    <w:rsid w:val="00EF02E5"/>
    <w:rsid w:val="00EF0477"/>
    <w:rsid w:val="00EF04D3"/>
    <w:rsid w:val="00EF0584"/>
    <w:rsid w:val="00EF0831"/>
    <w:rsid w:val="00EF0935"/>
    <w:rsid w:val="00EF0945"/>
    <w:rsid w:val="00EF0B15"/>
    <w:rsid w:val="00EF0CB6"/>
    <w:rsid w:val="00EF0D6E"/>
    <w:rsid w:val="00EF0FD1"/>
    <w:rsid w:val="00EF1109"/>
    <w:rsid w:val="00EF1339"/>
    <w:rsid w:val="00EF174A"/>
    <w:rsid w:val="00EF186E"/>
    <w:rsid w:val="00EF1D21"/>
    <w:rsid w:val="00EF1F55"/>
    <w:rsid w:val="00EF21E4"/>
    <w:rsid w:val="00EF2242"/>
    <w:rsid w:val="00EF230A"/>
    <w:rsid w:val="00EF236C"/>
    <w:rsid w:val="00EF24FD"/>
    <w:rsid w:val="00EF2598"/>
    <w:rsid w:val="00EF2818"/>
    <w:rsid w:val="00EF29A4"/>
    <w:rsid w:val="00EF2B9C"/>
    <w:rsid w:val="00EF2CE0"/>
    <w:rsid w:val="00EF2D10"/>
    <w:rsid w:val="00EF2D9B"/>
    <w:rsid w:val="00EF30F5"/>
    <w:rsid w:val="00EF3144"/>
    <w:rsid w:val="00EF31B6"/>
    <w:rsid w:val="00EF3435"/>
    <w:rsid w:val="00EF3619"/>
    <w:rsid w:val="00EF362A"/>
    <w:rsid w:val="00EF3808"/>
    <w:rsid w:val="00EF3C64"/>
    <w:rsid w:val="00EF3DA9"/>
    <w:rsid w:val="00EF3DCA"/>
    <w:rsid w:val="00EF400B"/>
    <w:rsid w:val="00EF40F7"/>
    <w:rsid w:val="00EF40FA"/>
    <w:rsid w:val="00EF4207"/>
    <w:rsid w:val="00EF44E4"/>
    <w:rsid w:val="00EF466A"/>
    <w:rsid w:val="00EF4896"/>
    <w:rsid w:val="00EF48FF"/>
    <w:rsid w:val="00EF4C0A"/>
    <w:rsid w:val="00EF4C50"/>
    <w:rsid w:val="00EF4C70"/>
    <w:rsid w:val="00EF4D67"/>
    <w:rsid w:val="00EF4FB8"/>
    <w:rsid w:val="00EF4FF6"/>
    <w:rsid w:val="00EF50B8"/>
    <w:rsid w:val="00EF54C6"/>
    <w:rsid w:val="00EF5563"/>
    <w:rsid w:val="00EF55E6"/>
    <w:rsid w:val="00EF56A8"/>
    <w:rsid w:val="00EF5977"/>
    <w:rsid w:val="00EF5BC3"/>
    <w:rsid w:val="00EF5CEC"/>
    <w:rsid w:val="00EF60B2"/>
    <w:rsid w:val="00EF6256"/>
    <w:rsid w:val="00EF64FC"/>
    <w:rsid w:val="00EF6902"/>
    <w:rsid w:val="00EF6970"/>
    <w:rsid w:val="00EF6AC9"/>
    <w:rsid w:val="00EF6B5C"/>
    <w:rsid w:val="00EF6BED"/>
    <w:rsid w:val="00EF6D13"/>
    <w:rsid w:val="00EF6D6E"/>
    <w:rsid w:val="00EF6D93"/>
    <w:rsid w:val="00EF6E86"/>
    <w:rsid w:val="00EF73B5"/>
    <w:rsid w:val="00EF76D7"/>
    <w:rsid w:val="00EF780B"/>
    <w:rsid w:val="00EF7852"/>
    <w:rsid w:val="00EF7974"/>
    <w:rsid w:val="00EF7988"/>
    <w:rsid w:val="00EF7ABF"/>
    <w:rsid w:val="00EF7CFE"/>
    <w:rsid w:val="00EF7D31"/>
    <w:rsid w:val="00EF7F04"/>
    <w:rsid w:val="00F00004"/>
    <w:rsid w:val="00F0000F"/>
    <w:rsid w:val="00F002F6"/>
    <w:rsid w:val="00F003EA"/>
    <w:rsid w:val="00F0042C"/>
    <w:rsid w:val="00F00722"/>
    <w:rsid w:val="00F00AF7"/>
    <w:rsid w:val="00F00B1F"/>
    <w:rsid w:val="00F00DC2"/>
    <w:rsid w:val="00F00FE2"/>
    <w:rsid w:val="00F0101B"/>
    <w:rsid w:val="00F01066"/>
    <w:rsid w:val="00F01098"/>
    <w:rsid w:val="00F010A3"/>
    <w:rsid w:val="00F011FD"/>
    <w:rsid w:val="00F013FA"/>
    <w:rsid w:val="00F017C5"/>
    <w:rsid w:val="00F017FD"/>
    <w:rsid w:val="00F01BDA"/>
    <w:rsid w:val="00F01CD7"/>
    <w:rsid w:val="00F01D1B"/>
    <w:rsid w:val="00F01D90"/>
    <w:rsid w:val="00F0210F"/>
    <w:rsid w:val="00F02311"/>
    <w:rsid w:val="00F0238B"/>
    <w:rsid w:val="00F023EB"/>
    <w:rsid w:val="00F024FD"/>
    <w:rsid w:val="00F0250F"/>
    <w:rsid w:val="00F0256B"/>
    <w:rsid w:val="00F026B1"/>
    <w:rsid w:val="00F026E4"/>
    <w:rsid w:val="00F02701"/>
    <w:rsid w:val="00F027F9"/>
    <w:rsid w:val="00F02952"/>
    <w:rsid w:val="00F0298A"/>
    <w:rsid w:val="00F02EEB"/>
    <w:rsid w:val="00F02F62"/>
    <w:rsid w:val="00F03046"/>
    <w:rsid w:val="00F0306F"/>
    <w:rsid w:val="00F03390"/>
    <w:rsid w:val="00F033E6"/>
    <w:rsid w:val="00F03443"/>
    <w:rsid w:val="00F034DD"/>
    <w:rsid w:val="00F035E7"/>
    <w:rsid w:val="00F0374C"/>
    <w:rsid w:val="00F038E0"/>
    <w:rsid w:val="00F03968"/>
    <w:rsid w:val="00F039B8"/>
    <w:rsid w:val="00F03A2B"/>
    <w:rsid w:val="00F03AE4"/>
    <w:rsid w:val="00F03B52"/>
    <w:rsid w:val="00F03C32"/>
    <w:rsid w:val="00F03D1F"/>
    <w:rsid w:val="00F03DEA"/>
    <w:rsid w:val="00F03E7E"/>
    <w:rsid w:val="00F03E99"/>
    <w:rsid w:val="00F03F72"/>
    <w:rsid w:val="00F0417A"/>
    <w:rsid w:val="00F04205"/>
    <w:rsid w:val="00F04540"/>
    <w:rsid w:val="00F046BF"/>
    <w:rsid w:val="00F04BD1"/>
    <w:rsid w:val="00F04EC9"/>
    <w:rsid w:val="00F04FDA"/>
    <w:rsid w:val="00F0508A"/>
    <w:rsid w:val="00F051EF"/>
    <w:rsid w:val="00F05203"/>
    <w:rsid w:val="00F052AB"/>
    <w:rsid w:val="00F05692"/>
    <w:rsid w:val="00F057CE"/>
    <w:rsid w:val="00F05935"/>
    <w:rsid w:val="00F05A52"/>
    <w:rsid w:val="00F05F9A"/>
    <w:rsid w:val="00F06040"/>
    <w:rsid w:val="00F06052"/>
    <w:rsid w:val="00F06190"/>
    <w:rsid w:val="00F061F3"/>
    <w:rsid w:val="00F063D9"/>
    <w:rsid w:val="00F06671"/>
    <w:rsid w:val="00F066AD"/>
    <w:rsid w:val="00F0674E"/>
    <w:rsid w:val="00F068BF"/>
    <w:rsid w:val="00F06ADC"/>
    <w:rsid w:val="00F06BC2"/>
    <w:rsid w:val="00F06BD7"/>
    <w:rsid w:val="00F06F05"/>
    <w:rsid w:val="00F07088"/>
    <w:rsid w:val="00F071D0"/>
    <w:rsid w:val="00F07267"/>
    <w:rsid w:val="00F07397"/>
    <w:rsid w:val="00F07694"/>
    <w:rsid w:val="00F076E6"/>
    <w:rsid w:val="00F0774E"/>
    <w:rsid w:val="00F079E4"/>
    <w:rsid w:val="00F079ED"/>
    <w:rsid w:val="00F07A5F"/>
    <w:rsid w:val="00F07BDD"/>
    <w:rsid w:val="00F07CA0"/>
    <w:rsid w:val="00F07E0D"/>
    <w:rsid w:val="00F07EC6"/>
    <w:rsid w:val="00F07EE3"/>
    <w:rsid w:val="00F10149"/>
    <w:rsid w:val="00F102C5"/>
    <w:rsid w:val="00F102E7"/>
    <w:rsid w:val="00F10548"/>
    <w:rsid w:val="00F107BC"/>
    <w:rsid w:val="00F10893"/>
    <w:rsid w:val="00F108DD"/>
    <w:rsid w:val="00F1091D"/>
    <w:rsid w:val="00F10C80"/>
    <w:rsid w:val="00F10C8F"/>
    <w:rsid w:val="00F10CD2"/>
    <w:rsid w:val="00F10DA3"/>
    <w:rsid w:val="00F10E04"/>
    <w:rsid w:val="00F10EEA"/>
    <w:rsid w:val="00F10EF3"/>
    <w:rsid w:val="00F10F11"/>
    <w:rsid w:val="00F11038"/>
    <w:rsid w:val="00F1118C"/>
    <w:rsid w:val="00F111D0"/>
    <w:rsid w:val="00F1141D"/>
    <w:rsid w:val="00F1144D"/>
    <w:rsid w:val="00F11591"/>
    <w:rsid w:val="00F11738"/>
    <w:rsid w:val="00F117A7"/>
    <w:rsid w:val="00F1194D"/>
    <w:rsid w:val="00F11A7D"/>
    <w:rsid w:val="00F11B95"/>
    <w:rsid w:val="00F11C8B"/>
    <w:rsid w:val="00F11FDF"/>
    <w:rsid w:val="00F1205E"/>
    <w:rsid w:val="00F120EE"/>
    <w:rsid w:val="00F1210F"/>
    <w:rsid w:val="00F121DC"/>
    <w:rsid w:val="00F12323"/>
    <w:rsid w:val="00F126F8"/>
    <w:rsid w:val="00F12702"/>
    <w:rsid w:val="00F12813"/>
    <w:rsid w:val="00F1284C"/>
    <w:rsid w:val="00F12D19"/>
    <w:rsid w:val="00F12DD5"/>
    <w:rsid w:val="00F12FB9"/>
    <w:rsid w:val="00F12FE8"/>
    <w:rsid w:val="00F1305D"/>
    <w:rsid w:val="00F13074"/>
    <w:rsid w:val="00F130B4"/>
    <w:rsid w:val="00F13156"/>
    <w:rsid w:val="00F131AF"/>
    <w:rsid w:val="00F13264"/>
    <w:rsid w:val="00F132C3"/>
    <w:rsid w:val="00F13388"/>
    <w:rsid w:val="00F1349A"/>
    <w:rsid w:val="00F139D0"/>
    <w:rsid w:val="00F13D7B"/>
    <w:rsid w:val="00F13D84"/>
    <w:rsid w:val="00F14025"/>
    <w:rsid w:val="00F1408E"/>
    <w:rsid w:val="00F1412A"/>
    <w:rsid w:val="00F14235"/>
    <w:rsid w:val="00F142A9"/>
    <w:rsid w:val="00F143FD"/>
    <w:rsid w:val="00F14583"/>
    <w:rsid w:val="00F14612"/>
    <w:rsid w:val="00F148C9"/>
    <w:rsid w:val="00F149DB"/>
    <w:rsid w:val="00F14B88"/>
    <w:rsid w:val="00F14CB1"/>
    <w:rsid w:val="00F150F1"/>
    <w:rsid w:val="00F155DE"/>
    <w:rsid w:val="00F15603"/>
    <w:rsid w:val="00F15775"/>
    <w:rsid w:val="00F157BB"/>
    <w:rsid w:val="00F157FC"/>
    <w:rsid w:val="00F1588F"/>
    <w:rsid w:val="00F158E5"/>
    <w:rsid w:val="00F158F3"/>
    <w:rsid w:val="00F15BEA"/>
    <w:rsid w:val="00F15D46"/>
    <w:rsid w:val="00F15E2D"/>
    <w:rsid w:val="00F15FC6"/>
    <w:rsid w:val="00F1607D"/>
    <w:rsid w:val="00F162A1"/>
    <w:rsid w:val="00F1638E"/>
    <w:rsid w:val="00F163A7"/>
    <w:rsid w:val="00F16405"/>
    <w:rsid w:val="00F16530"/>
    <w:rsid w:val="00F16722"/>
    <w:rsid w:val="00F16837"/>
    <w:rsid w:val="00F16944"/>
    <w:rsid w:val="00F16D2C"/>
    <w:rsid w:val="00F16E14"/>
    <w:rsid w:val="00F16E32"/>
    <w:rsid w:val="00F1719D"/>
    <w:rsid w:val="00F171EE"/>
    <w:rsid w:val="00F17292"/>
    <w:rsid w:val="00F174AC"/>
    <w:rsid w:val="00F1760B"/>
    <w:rsid w:val="00F17D19"/>
    <w:rsid w:val="00F2007B"/>
    <w:rsid w:val="00F2012F"/>
    <w:rsid w:val="00F20684"/>
    <w:rsid w:val="00F20712"/>
    <w:rsid w:val="00F20C39"/>
    <w:rsid w:val="00F20DC2"/>
    <w:rsid w:val="00F20E38"/>
    <w:rsid w:val="00F20ECE"/>
    <w:rsid w:val="00F2108A"/>
    <w:rsid w:val="00F213D8"/>
    <w:rsid w:val="00F21400"/>
    <w:rsid w:val="00F21463"/>
    <w:rsid w:val="00F214CF"/>
    <w:rsid w:val="00F214EC"/>
    <w:rsid w:val="00F21561"/>
    <w:rsid w:val="00F215AB"/>
    <w:rsid w:val="00F215D0"/>
    <w:rsid w:val="00F2178D"/>
    <w:rsid w:val="00F21B9D"/>
    <w:rsid w:val="00F21BE1"/>
    <w:rsid w:val="00F21C22"/>
    <w:rsid w:val="00F21C9F"/>
    <w:rsid w:val="00F21DCE"/>
    <w:rsid w:val="00F21EB9"/>
    <w:rsid w:val="00F21FB5"/>
    <w:rsid w:val="00F220FB"/>
    <w:rsid w:val="00F22462"/>
    <w:rsid w:val="00F22607"/>
    <w:rsid w:val="00F228C1"/>
    <w:rsid w:val="00F229E3"/>
    <w:rsid w:val="00F22B21"/>
    <w:rsid w:val="00F22B4C"/>
    <w:rsid w:val="00F22BCF"/>
    <w:rsid w:val="00F22D6C"/>
    <w:rsid w:val="00F22D97"/>
    <w:rsid w:val="00F22FC0"/>
    <w:rsid w:val="00F23A54"/>
    <w:rsid w:val="00F23B4E"/>
    <w:rsid w:val="00F23D99"/>
    <w:rsid w:val="00F23DA9"/>
    <w:rsid w:val="00F23E98"/>
    <w:rsid w:val="00F23FD7"/>
    <w:rsid w:val="00F24126"/>
    <w:rsid w:val="00F2429E"/>
    <w:rsid w:val="00F2472F"/>
    <w:rsid w:val="00F24CA9"/>
    <w:rsid w:val="00F24EA9"/>
    <w:rsid w:val="00F24ED2"/>
    <w:rsid w:val="00F25243"/>
    <w:rsid w:val="00F253C6"/>
    <w:rsid w:val="00F256DA"/>
    <w:rsid w:val="00F25789"/>
    <w:rsid w:val="00F257C1"/>
    <w:rsid w:val="00F25829"/>
    <w:rsid w:val="00F25968"/>
    <w:rsid w:val="00F25A3A"/>
    <w:rsid w:val="00F25AA2"/>
    <w:rsid w:val="00F25B4C"/>
    <w:rsid w:val="00F25BCD"/>
    <w:rsid w:val="00F25C87"/>
    <w:rsid w:val="00F25FC0"/>
    <w:rsid w:val="00F2639A"/>
    <w:rsid w:val="00F26747"/>
    <w:rsid w:val="00F26D40"/>
    <w:rsid w:val="00F26E4D"/>
    <w:rsid w:val="00F270CF"/>
    <w:rsid w:val="00F27153"/>
    <w:rsid w:val="00F27378"/>
    <w:rsid w:val="00F273A7"/>
    <w:rsid w:val="00F27546"/>
    <w:rsid w:val="00F2762D"/>
    <w:rsid w:val="00F276EE"/>
    <w:rsid w:val="00F279BD"/>
    <w:rsid w:val="00F27A71"/>
    <w:rsid w:val="00F27B69"/>
    <w:rsid w:val="00F30311"/>
    <w:rsid w:val="00F305D0"/>
    <w:rsid w:val="00F30C0F"/>
    <w:rsid w:val="00F30C91"/>
    <w:rsid w:val="00F30CFA"/>
    <w:rsid w:val="00F30D33"/>
    <w:rsid w:val="00F30ED8"/>
    <w:rsid w:val="00F30EE6"/>
    <w:rsid w:val="00F30FA3"/>
    <w:rsid w:val="00F31097"/>
    <w:rsid w:val="00F312DF"/>
    <w:rsid w:val="00F3132A"/>
    <w:rsid w:val="00F313A1"/>
    <w:rsid w:val="00F3152D"/>
    <w:rsid w:val="00F315A9"/>
    <w:rsid w:val="00F3162D"/>
    <w:rsid w:val="00F31655"/>
    <w:rsid w:val="00F316BA"/>
    <w:rsid w:val="00F3176C"/>
    <w:rsid w:val="00F31826"/>
    <w:rsid w:val="00F3185B"/>
    <w:rsid w:val="00F31A5B"/>
    <w:rsid w:val="00F31B57"/>
    <w:rsid w:val="00F31B9A"/>
    <w:rsid w:val="00F31DD1"/>
    <w:rsid w:val="00F31ECA"/>
    <w:rsid w:val="00F31EF8"/>
    <w:rsid w:val="00F31F2F"/>
    <w:rsid w:val="00F31F9B"/>
    <w:rsid w:val="00F31FEA"/>
    <w:rsid w:val="00F32313"/>
    <w:rsid w:val="00F324E3"/>
    <w:rsid w:val="00F328DB"/>
    <w:rsid w:val="00F3294B"/>
    <w:rsid w:val="00F329E9"/>
    <w:rsid w:val="00F32A21"/>
    <w:rsid w:val="00F32A52"/>
    <w:rsid w:val="00F32ABF"/>
    <w:rsid w:val="00F32C3C"/>
    <w:rsid w:val="00F32CC2"/>
    <w:rsid w:val="00F32CCC"/>
    <w:rsid w:val="00F32F6C"/>
    <w:rsid w:val="00F330F1"/>
    <w:rsid w:val="00F331F7"/>
    <w:rsid w:val="00F3327D"/>
    <w:rsid w:val="00F332AE"/>
    <w:rsid w:val="00F334FC"/>
    <w:rsid w:val="00F33598"/>
    <w:rsid w:val="00F335DA"/>
    <w:rsid w:val="00F3370B"/>
    <w:rsid w:val="00F33819"/>
    <w:rsid w:val="00F3385A"/>
    <w:rsid w:val="00F33A18"/>
    <w:rsid w:val="00F33A7D"/>
    <w:rsid w:val="00F33AA8"/>
    <w:rsid w:val="00F33DB1"/>
    <w:rsid w:val="00F34044"/>
    <w:rsid w:val="00F34318"/>
    <w:rsid w:val="00F346EA"/>
    <w:rsid w:val="00F3470B"/>
    <w:rsid w:val="00F34B3D"/>
    <w:rsid w:val="00F34F10"/>
    <w:rsid w:val="00F35117"/>
    <w:rsid w:val="00F35152"/>
    <w:rsid w:val="00F354BD"/>
    <w:rsid w:val="00F35503"/>
    <w:rsid w:val="00F35561"/>
    <w:rsid w:val="00F356DF"/>
    <w:rsid w:val="00F35823"/>
    <w:rsid w:val="00F35957"/>
    <w:rsid w:val="00F35A6A"/>
    <w:rsid w:val="00F360B6"/>
    <w:rsid w:val="00F36102"/>
    <w:rsid w:val="00F36189"/>
    <w:rsid w:val="00F362DD"/>
    <w:rsid w:val="00F3640E"/>
    <w:rsid w:val="00F3662B"/>
    <w:rsid w:val="00F36850"/>
    <w:rsid w:val="00F36968"/>
    <w:rsid w:val="00F369D0"/>
    <w:rsid w:val="00F36DCF"/>
    <w:rsid w:val="00F36E4A"/>
    <w:rsid w:val="00F36FAF"/>
    <w:rsid w:val="00F3719E"/>
    <w:rsid w:val="00F371A9"/>
    <w:rsid w:val="00F372DD"/>
    <w:rsid w:val="00F37526"/>
    <w:rsid w:val="00F3770D"/>
    <w:rsid w:val="00F3776C"/>
    <w:rsid w:val="00F37836"/>
    <w:rsid w:val="00F3786A"/>
    <w:rsid w:val="00F378D8"/>
    <w:rsid w:val="00F3798E"/>
    <w:rsid w:val="00F379E2"/>
    <w:rsid w:val="00F37A11"/>
    <w:rsid w:val="00F37D31"/>
    <w:rsid w:val="00F37E70"/>
    <w:rsid w:val="00F4008D"/>
    <w:rsid w:val="00F400A8"/>
    <w:rsid w:val="00F4034B"/>
    <w:rsid w:val="00F4064E"/>
    <w:rsid w:val="00F408C6"/>
    <w:rsid w:val="00F40AE6"/>
    <w:rsid w:val="00F40DCC"/>
    <w:rsid w:val="00F40FF0"/>
    <w:rsid w:val="00F4100D"/>
    <w:rsid w:val="00F41127"/>
    <w:rsid w:val="00F413FA"/>
    <w:rsid w:val="00F417AF"/>
    <w:rsid w:val="00F417D9"/>
    <w:rsid w:val="00F41897"/>
    <w:rsid w:val="00F418BA"/>
    <w:rsid w:val="00F41903"/>
    <w:rsid w:val="00F41B33"/>
    <w:rsid w:val="00F42328"/>
    <w:rsid w:val="00F424DF"/>
    <w:rsid w:val="00F4254E"/>
    <w:rsid w:val="00F42558"/>
    <w:rsid w:val="00F42671"/>
    <w:rsid w:val="00F4270F"/>
    <w:rsid w:val="00F42919"/>
    <w:rsid w:val="00F42984"/>
    <w:rsid w:val="00F42BDD"/>
    <w:rsid w:val="00F42C90"/>
    <w:rsid w:val="00F42D8D"/>
    <w:rsid w:val="00F43129"/>
    <w:rsid w:val="00F43179"/>
    <w:rsid w:val="00F4317F"/>
    <w:rsid w:val="00F43509"/>
    <w:rsid w:val="00F43600"/>
    <w:rsid w:val="00F43846"/>
    <w:rsid w:val="00F43866"/>
    <w:rsid w:val="00F43A40"/>
    <w:rsid w:val="00F43AC0"/>
    <w:rsid w:val="00F43C01"/>
    <w:rsid w:val="00F43C12"/>
    <w:rsid w:val="00F43CE0"/>
    <w:rsid w:val="00F43DB0"/>
    <w:rsid w:val="00F43E7D"/>
    <w:rsid w:val="00F4404E"/>
    <w:rsid w:val="00F440EC"/>
    <w:rsid w:val="00F441EC"/>
    <w:rsid w:val="00F4430C"/>
    <w:rsid w:val="00F4458F"/>
    <w:rsid w:val="00F4486A"/>
    <w:rsid w:val="00F44F78"/>
    <w:rsid w:val="00F45152"/>
    <w:rsid w:val="00F456B5"/>
    <w:rsid w:val="00F4576A"/>
    <w:rsid w:val="00F45971"/>
    <w:rsid w:val="00F45A6D"/>
    <w:rsid w:val="00F45B36"/>
    <w:rsid w:val="00F45D61"/>
    <w:rsid w:val="00F45F25"/>
    <w:rsid w:val="00F46096"/>
    <w:rsid w:val="00F460F7"/>
    <w:rsid w:val="00F46143"/>
    <w:rsid w:val="00F46158"/>
    <w:rsid w:val="00F4626B"/>
    <w:rsid w:val="00F463AA"/>
    <w:rsid w:val="00F46497"/>
    <w:rsid w:val="00F46695"/>
    <w:rsid w:val="00F466AF"/>
    <w:rsid w:val="00F46709"/>
    <w:rsid w:val="00F46731"/>
    <w:rsid w:val="00F46BD2"/>
    <w:rsid w:val="00F46E10"/>
    <w:rsid w:val="00F46F42"/>
    <w:rsid w:val="00F470D1"/>
    <w:rsid w:val="00F471B6"/>
    <w:rsid w:val="00F474B9"/>
    <w:rsid w:val="00F475CA"/>
    <w:rsid w:val="00F475E4"/>
    <w:rsid w:val="00F476A3"/>
    <w:rsid w:val="00F477D6"/>
    <w:rsid w:val="00F4784B"/>
    <w:rsid w:val="00F478BF"/>
    <w:rsid w:val="00F47956"/>
    <w:rsid w:val="00F4798D"/>
    <w:rsid w:val="00F47B6E"/>
    <w:rsid w:val="00F47B75"/>
    <w:rsid w:val="00F47C61"/>
    <w:rsid w:val="00F500B6"/>
    <w:rsid w:val="00F502F6"/>
    <w:rsid w:val="00F50300"/>
    <w:rsid w:val="00F504E2"/>
    <w:rsid w:val="00F5071F"/>
    <w:rsid w:val="00F508C0"/>
    <w:rsid w:val="00F50A06"/>
    <w:rsid w:val="00F50CB0"/>
    <w:rsid w:val="00F50D7B"/>
    <w:rsid w:val="00F50D87"/>
    <w:rsid w:val="00F510A2"/>
    <w:rsid w:val="00F5117C"/>
    <w:rsid w:val="00F51595"/>
    <w:rsid w:val="00F515CE"/>
    <w:rsid w:val="00F51672"/>
    <w:rsid w:val="00F5169D"/>
    <w:rsid w:val="00F51867"/>
    <w:rsid w:val="00F51B27"/>
    <w:rsid w:val="00F51BBA"/>
    <w:rsid w:val="00F51ECF"/>
    <w:rsid w:val="00F51FC9"/>
    <w:rsid w:val="00F52323"/>
    <w:rsid w:val="00F523C2"/>
    <w:rsid w:val="00F524D5"/>
    <w:rsid w:val="00F5263D"/>
    <w:rsid w:val="00F52696"/>
    <w:rsid w:val="00F528E0"/>
    <w:rsid w:val="00F52C3C"/>
    <w:rsid w:val="00F52D2E"/>
    <w:rsid w:val="00F52D84"/>
    <w:rsid w:val="00F52D91"/>
    <w:rsid w:val="00F52E16"/>
    <w:rsid w:val="00F52E56"/>
    <w:rsid w:val="00F52E97"/>
    <w:rsid w:val="00F52EC4"/>
    <w:rsid w:val="00F5336D"/>
    <w:rsid w:val="00F5397B"/>
    <w:rsid w:val="00F53B59"/>
    <w:rsid w:val="00F53CAC"/>
    <w:rsid w:val="00F53E06"/>
    <w:rsid w:val="00F53EC2"/>
    <w:rsid w:val="00F5413B"/>
    <w:rsid w:val="00F54248"/>
    <w:rsid w:val="00F5428F"/>
    <w:rsid w:val="00F54657"/>
    <w:rsid w:val="00F5466C"/>
    <w:rsid w:val="00F548F5"/>
    <w:rsid w:val="00F54A54"/>
    <w:rsid w:val="00F54B95"/>
    <w:rsid w:val="00F54CC7"/>
    <w:rsid w:val="00F54F0E"/>
    <w:rsid w:val="00F55030"/>
    <w:rsid w:val="00F550B0"/>
    <w:rsid w:val="00F55251"/>
    <w:rsid w:val="00F5525D"/>
    <w:rsid w:val="00F552B5"/>
    <w:rsid w:val="00F55437"/>
    <w:rsid w:val="00F5543A"/>
    <w:rsid w:val="00F55727"/>
    <w:rsid w:val="00F55E27"/>
    <w:rsid w:val="00F55EA9"/>
    <w:rsid w:val="00F561F9"/>
    <w:rsid w:val="00F56215"/>
    <w:rsid w:val="00F562D7"/>
    <w:rsid w:val="00F5635D"/>
    <w:rsid w:val="00F56360"/>
    <w:rsid w:val="00F56382"/>
    <w:rsid w:val="00F5646B"/>
    <w:rsid w:val="00F5652A"/>
    <w:rsid w:val="00F56531"/>
    <w:rsid w:val="00F56600"/>
    <w:rsid w:val="00F5665F"/>
    <w:rsid w:val="00F5691B"/>
    <w:rsid w:val="00F56A11"/>
    <w:rsid w:val="00F56D71"/>
    <w:rsid w:val="00F56DC0"/>
    <w:rsid w:val="00F56E83"/>
    <w:rsid w:val="00F56F02"/>
    <w:rsid w:val="00F57128"/>
    <w:rsid w:val="00F57261"/>
    <w:rsid w:val="00F57472"/>
    <w:rsid w:val="00F5752E"/>
    <w:rsid w:val="00F5790A"/>
    <w:rsid w:val="00F57A61"/>
    <w:rsid w:val="00F57AA0"/>
    <w:rsid w:val="00F57B17"/>
    <w:rsid w:val="00F57D75"/>
    <w:rsid w:val="00F57E18"/>
    <w:rsid w:val="00F57ED3"/>
    <w:rsid w:val="00F60284"/>
    <w:rsid w:val="00F603B8"/>
    <w:rsid w:val="00F60429"/>
    <w:rsid w:val="00F60452"/>
    <w:rsid w:val="00F6047F"/>
    <w:rsid w:val="00F60504"/>
    <w:rsid w:val="00F60515"/>
    <w:rsid w:val="00F60B2E"/>
    <w:rsid w:val="00F60C38"/>
    <w:rsid w:val="00F60D5E"/>
    <w:rsid w:val="00F60EE7"/>
    <w:rsid w:val="00F61058"/>
    <w:rsid w:val="00F6109D"/>
    <w:rsid w:val="00F61123"/>
    <w:rsid w:val="00F612C8"/>
    <w:rsid w:val="00F61430"/>
    <w:rsid w:val="00F61555"/>
    <w:rsid w:val="00F616DF"/>
    <w:rsid w:val="00F61871"/>
    <w:rsid w:val="00F61ADA"/>
    <w:rsid w:val="00F61CF1"/>
    <w:rsid w:val="00F61CFB"/>
    <w:rsid w:val="00F61D82"/>
    <w:rsid w:val="00F61DE6"/>
    <w:rsid w:val="00F62045"/>
    <w:rsid w:val="00F62221"/>
    <w:rsid w:val="00F62348"/>
    <w:rsid w:val="00F62454"/>
    <w:rsid w:val="00F62810"/>
    <w:rsid w:val="00F62BB1"/>
    <w:rsid w:val="00F62C27"/>
    <w:rsid w:val="00F62CA1"/>
    <w:rsid w:val="00F63293"/>
    <w:rsid w:val="00F6333B"/>
    <w:rsid w:val="00F635FD"/>
    <w:rsid w:val="00F639D9"/>
    <w:rsid w:val="00F63C46"/>
    <w:rsid w:val="00F63C96"/>
    <w:rsid w:val="00F63D88"/>
    <w:rsid w:val="00F63D8D"/>
    <w:rsid w:val="00F63EA5"/>
    <w:rsid w:val="00F6432A"/>
    <w:rsid w:val="00F644C7"/>
    <w:rsid w:val="00F64A85"/>
    <w:rsid w:val="00F64C40"/>
    <w:rsid w:val="00F64DB6"/>
    <w:rsid w:val="00F64E28"/>
    <w:rsid w:val="00F650F3"/>
    <w:rsid w:val="00F652B6"/>
    <w:rsid w:val="00F653D9"/>
    <w:rsid w:val="00F65487"/>
    <w:rsid w:val="00F65BA8"/>
    <w:rsid w:val="00F65E50"/>
    <w:rsid w:val="00F66142"/>
    <w:rsid w:val="00F6614D"/>
    <w:rsid w:val="00F66490"/>
    <w:rsid w:val="00F66823"/>
    <w:rsid w:val="00F66873"/>
    <w:rsid w:val="00F66877"/>
    <w:rsid w:val="00F6689F"/>
    <w:rsid w:val="00F66905"/>
    <w:rsid w:val="00F66A9A"/>
    <w:rsid w:val="00F66B53"/>
    <w:rsid w:val="00F66C8F"/>
    <w:rsid w:val="00F66CB4"/>
    <w:rsid w:val="00F66CDA"/>
    <w:rsid w:val="00F66E02"/>
    <w:rsid w:val="00F66E48"/>
    <w:rsid w:val="00F66EAC"/>
    <w:rsid w:val="00F66FE7"/>
    <w:rsid w:val="00F670CC"/>
    <w:rsid w:val="00F6726E"/>
    <w:rsid w:val="00F67327"/>
    <w:rsid w:val="00F674EC"/>
    <w:rsid w:val="00F67559"/>
    <w:rsid w:val="00F676AF"/>
    <w:rsid w:val="00F676D1"/>
    <w:rsid w:val="00F6780B"/>
    <w:rsid w:val="00F67853"/>
    <w:rsid w:val="00F67ABC"/>
    <w:rsid w:val="00F67B54"/>
    <w:rsid w:val="00F67BC6"/>
    <w:rsid w:val="00F67CFD"/>
    <w:rsid w:val="00F67E7E"/>
    <w:rsid w:val="00F67FD2"/>
    <w:rsid w:val="00F7000C"/>
    <w:rsid w:val="00F70031"/>
    <w:rsid w:val="00F70274"/>
    <w:rsid w:val="00F703BB"/>
    <w:rsid w:val="00F70468"/>
    <w:rsid w:val="00F70577"/>
    <w:rsid w:val="00F7063F"/>
    <w:rsid w:val="00F70689"/>
    <w:rsid w:val="00F708F4"/>
    <w:rsid w:val="00F70A85"/>
    <w:rsid w:val="00F70AFD"/>
    <w:rsid w:val="00F70C8D"/>
    <w:rsid w:val="00F71008"/>
    <w:rsid w:val="00F7102D"/>
    <w:rsid w:val="00F71037"/>
    <w:rsid w:val="00F71338"/>
    <w:rsid w:val="00F715D0"/>
    <w:rsid w:val="00F715FC"/>
    <w:rsid w:val="00F716DB"/>
    <w:rsid w:val="00F716EB"/>
    <w:rsid w:val="00F71711"/>
    <w:rsid w:val="00F71942"/>
    <w:rsid w:val="00F71A33"/>
    <w:rsid w:val="00F71DC5"/>
    <w:rsid w:val="00F71E28"/>
    <w:rsid w:val="00F71F52"/>
    <w:rsid w:val="00F72217"/>
    <w:rsid w:val="00F72419"/>
    <w:rsid w:val="00F726FC"/>
    <w:rsid w:val="00F72CFF"/>
    <w:rsid w:val="00F72D18"/>
    <w:rsid w:val="00F72D48"/>
    <w:rsid w:val="00F72DB7"/>
    <w:rsid w:val="00F72DDD"/>
    <w:rsid w:val="00F72EF3"/>
    <w:rsid w:val="00F72F98"/>
    <w:rsid w:val="00F730FB"/>
    <w:rsid w:val="00F730FF"/>
    <w:rsid w:val="00F73123"/>
    <w:rsid w:val="00F73284"/>
    <w:rsid w:val="00F733C2"/>
    <w:rsid w:val="00F73593"/>
    <w:rsid w:val="00F736A8"/>
    <w:rsid w:val="00F7395E"/>
    <w:rsid w:val="00F73A4E"/>
    <w:rsid w:val="00F73B50"/>
    <w:rsid w:val="00F73D03"/>
    <w:rsid w:val="00F73E30"/>
    <w:rsid w:val="00F74058"/>
    <w:rsid w:val="00F740FF"/>
    <w:rsid w:val="00F7412C"/>
    <w:rsid w:val="00F742C2"/>
    <w:rsid w:val="00F74492"/>
    <w:rsid w:val="00F74620"/>
    <w:rsid w:val="00F74905"/>
    <w:rsid w:val="00F74A71"/>
    <w:rsid w:val="00F74A78"/>
    <w:rsid w:val="00F74B74"/>
    <w:rsid w:val="00F74DAA"/>
    <w:rsid w:val="00F74DDF"/>
    <w:rsid w:val="00F74E93"/>
    <w:rsid w:val="00F74F4D"/>
    <w:rsid w:val="00F751BC"/>
    <w:rsid w:val="00F75305"/>
    <w:rsid w:val="00F7535D"/>
    <w:rsid w:val="00F75410"/>
    <w:rsid w:val="00F75542"/>
    <w:rsid w:val="00F75700"/>
    <w:rsid w:val="00F75707"/>
    <w:rsid w:val="00F75712"/>
    <w:rsid w:val="00F757CA"/>
    <w:rsid w:val="00F75823"/>
    <w:rsid w:val="00F75895"/>
    <w:rsid w:val="00F75A0D"/>
    <w:rsid w:val="00F75C0A"/>
    <w:rsid w:val="00F75CAA"/>
    <w:rsid w:val="00F75D89"/>
    <w:rsid w:val="00F75F95"/>
    <w:rsid w:val="00F75FE9"/>
    <w:rsid w:val="00F7606E"/>
    <w:rsid w:val="00F76104"/>
    <w:rsid w:val="00F7653D"/>
    <w:rsid w:val="00F76BBA"/>
    <w:rsid w:val="00F76CAD"/>
    <w:rsid w:val="00F76FB2"/>
    <w:rsid w:val="00F77128"/>
    <w:rsid w:val="00F771A3"/>
    <w:rsid w:val="00F772D0"/>
    <w:rsid w:val="00F77342"/>
    <w:rsid w:val="00F77352"/>
    <w:rsid w:val="00F7755A"/>
    <w:rsid w:val="00F7764A"/>
    <w:rsid w:val="00F77696"/>
    <w:rsid w:val="00F779E0"/>
    <w:rsid w:val="00F77A6F"/>
    <w:rsid w:val="00F77AE9"/>
    <w:rsid w:val="00F77B6F"/>
    <w:rsid w:val="00F77E19"/>
    <w:rsid w:val="00F77FBE"/>
    <w:rsid w:val="00F8019E"/>
    <w:rsid w:val="00F80716"/>
    <w:rsid w:val="00F80852"/>
    <w:rsid w:val="00F8086A"/>
    <w:rsid w:val="00F80915"/>
    <w:rsid w:val="00F80BAB"/>
    <w:rsid w:val="00F80BE8"/>
    <w:rsid w:val="00F80C44"/>
    <w:rsid w:val="00F80C99"/>
    <w:rsid w:val="00F80FA7"/>
    <w:rsid w:val="00F80FBE"/>
    <w:rsid w:val="00F81019"/>
    <w:rsid w:val="00F81326"/>
    <w:rsid w:val="00F81493"/>
    <w:rsid w:val="00F8163A"/>
    <w:rsid w:val="00F81889"/>
    <w:rsid w:val="00F8188F"/>
    <w:rsid w:val="00F818C6"/>
    <w:rsid w:val="00F818F7"/>
    <w:rsid w:val="00F81978"/>
    <w:rsid w:val="00F81B0E"/>
    <w:rsid w:val="00F81B7A"/>
    <w:rsid w:val="00F81B95"/>
    <w:rsid w:val="00F81FA7"/>
    <w:rsid w:val="00F82158"/>
    <w:rsid w:val="00F82192"/>
    <w:rsid w:val="00F8222E"/>
    <w:rsid w:val="00F8224F"/>
    <w:rsid w:val="00F8232A"/>
    <w:rsid w:val="00F823BB"/>
    <w:rsid w:val="00F82820"/>
    <w:rsid w:val="00F82859"/>
    <w:rsid w:val="00F82916"/>
    <w:rsid w:val="00F82960"/>
    <w:rsid w:val="00F82A6E"/>
    <w:rsid w:val="00F82CCA"/>
    <w:rsid w:val="00F82D85"/>
    <w:rsid w:val="00F82DA4"/>
    <w:rsid w:val="00F82DE0"/>
    <w:rsid w:val="00F82F0D"/>
    <w:rsid w:val="00F82FAC"/>
    <w:rsid w:val="00F83030"/>
    <w:rsid w:val="00F83048"/>
    <w:rsid w:val="00F830D8"/>
    <w:rsid w:val="00F8320A"/>
    <w:rsid w:val="00F83464"/>
    <w:rsid w:val="00F83472"/>
    <w:rsid w:val="00F83727"/>
    <w:rsid w:val="00F83763"/>
    <w:rsid w:val="00F83B09"/>
    <w:rsid w:val="00F83D2C"/>
    <w:rsid w:val="00F840A3"/>
    <w:rsid w:val="00F8425B"/>
    <w:rsid w:val="00F84515"/>
    <w:rsid w:val="00F8464B"/>
    <w:rsid w:val="00F84798"/>
    <w:rsid w:val="00F847D8"/>
    <w:rsid w:val="00F84829"/>
    <w:rsid w:val="00F84A29"/>
    <w:rsid w:val="00F84CA9"/>
    <w:rsid w:val="00F84EA5"/>
    <w:rsid w:val="00F85164"/>
    <w:rsid w:val="00F851CD"/>
    <w:rsid w:val="00F854F6"/>
    <w:rsid w:val="00F8563A"/>
    <w:rsid w:val="00F856EE"/>
    <w:rsid w:val="00F85802"/>
    <w:rsid w:val="00F85A5F"/>
    <w:rsid w:val="00F85B95"/>
    <w:rsid w:val="00F85FA1"/>
    <w:rsid w:val="00F860ED"/>
    <w:rsid w:val="00F86139"/>
    <w:rsid w:val="00F861EE"/>
    <w:rsid w:val="00F8666E"/>
    <w:rsid w:val="00F8667D"/>
    <w:rsid w:val="00F867A6"/>
    <w:rsid w:val="00F867D2"/>
    <w:rsid w:val="00F86831"/>
    <w:rsid w:val="00F86859"/>
    <w:rsid w:val="00F86A45"/>
    <w:rsid w:val="00F86B9B"/>
    <w:rsid w:val="00F86BFB"/>
    <w:rsid w:val="00F86C68"/>
    <w:rsid w:val="00F86D1D"/>
    <w:rsid w:val="00F86F6A"/>
    <w:rsid w:val="00F8709C"/>
    <w:rsid w:val="00F87157"/>
    <w:rsid w:val="00F871BE"/>
    <w:rsid w:val="00F871C4"/>
    <w:rsid w:val="00F871DF"/>
    <w:rsid w:val="00F874D4"/>
    <w:rsid w:val="00F87566"/>
    <w:rsid w:val="00F87592"/>
    <w:rsid w:val="00F87610"/>
    <w:rsid w:val="00F8770E"/>
    <w:rsid w:val="00F87735"/>
    <w:rsid w:val="00F8773D"/>
    <w:rsid w:val="00F8773E"/>
    <w:rsid w:val="00F87803"/>
    <w:rsid w:val="00F8782B"/>
    <w:rsid w:val="00F87A5D"/>
    <w:rsid w:val="00F87BB8"/>
    <w:rsid w:val="00F87CB3"/>
    <w:rsid w:val="00F90107"/>
    <w:rsid w:val="00F90258"/>
    <w:rsid w:val="00F905EC"/>
    <w:rsid w:val="00F90607"/>
    <w:rsid w:val="00F9071C"/>
    <w:rsid w:val="00F907B2"/>
    <w:rsid w:val="00F909F1"/>
    <w:rsid w:val="00F90B04"/>
    <w:rsid w:val="00F90D27"/>
    <w:rsid w:val="00F90EC9"/>
    <w:rsid w:val="00F90F05"/>
    <w:rsid w:val="00F90F56"/>
    <w:rsid w:val="00F91234"/>
    <w:rsid w:val="00F913C1"/>
    <w:rsid w:val="00F91453"/>
    <w:rsid w:val="00F91570"/>
    <w:rsid w:val="00F91587"/>
    <w:rsid w:val="00F9176C"/>
    <w:rsid w:val="00F91B2D"/>
    <w:rsid w:val="00F91DB3"/>
    <w:rsid w:val="00F91E13"/>
    <w:rsid w:val="00F91F7A"/>
    <w:rsid w:val="00F921D8"/>
    <w:rsid w:val="00F92219"/>
    <w:rsid w:val="00F92234"/>
    <w:rsid w:val="00F922FE"/>
    <w:rsid w:val="00F923E3"/>
    <w:rsid w:val="00F926DE"/>
    <w:rsid w:val="00F927FB"/>
    <w:rsid w:val="00F9283D"/>
    <w:rsid w:val="00F9289B"/>
    <w:rsid w:val="00F929BD"/>
    <w:rsid w:val="00F92A7F"/>
    <w:rsid w:val="00F92C93"/>
    <w:rsid w:val="00F9319C"/>
    <w:rsid w:val="00F933FD"/>
    <w:rsid w:val="00F93465"/>
    <w:rsid w:val="00F9346B"/>
    <w:rsid w:val="00F935D9"/>
    <w:rsid w:val="00F9376E"/>
    <w:rsid w:val="00F93771"/>
    <w:rsid w:val="00F937A7"/>
    <w:rsid w:val="00F938E3"/>
    <w:rsid w:val="00F9391B"/>
    <w:rsid w:val="00F93B09"/>
    <w:rsid w:val="00F93B6E"/>
    <w:rsid w:val="00F93BCB"/>
    <w:rsid w:val="00F93C1B"/>
    <w:rsid w:val="00F93C71"/>
    <w:rsid w:val="00F93E16"/>
    <w:rsid w:val="00F93EC3"/>
    <w:rsid w:val="00F93F62"/>
    <w:rsid w:val="00F940A9"/>
    <w:rsid w:val="00F9420C"/>
    <w:rsid w:val="00F94398"/>
    <w:rsid w:val="00F94527"/>
    <w:rsid w:val="00F94541"/>
    <w:rsid w:val="00F94575"/>
    <w:rsid w:val="00F9491D"/>
    <w:rsid w:val="00F94991"/>
    <w:rsid w:val="00F94A15"/>
    <w:rsid w:val="00F94CF3"/>
    <w:rsid w:val="00F94D54"/>
    <w:rsid w:val="00F95237"/>
    <w:rsid w:val="00F953F1"/>
    <w:rsid w:val="00F954A7"/>
    <w:rsid w:val="00F95668"/>
    <w:rsid w:val="00F956E8"/>
    <w:rsid w:val="00F9577B"/>
    <w:rsid w:val="00F95937"/>
    <w:rsid w:val="00F95A49"/>
    <w:rsid w:val="00F95AFB"/>
    <w:rsid w:val="00F95C46"/>
    <w:rsid w:val="00F95C82"/>
    <w:rsid w:val="00F95D14"/>
    <w:rsid w:val="00F95D40"/>
    <w:rsid w:val="00F95D6E"/>
    <w:rsid w:val="00F96317"/>
    <w:rsid w:val="00F963C5"/>
    <w:rsid w:val="00F965A7"/>
    <w:rsid w:val="00F965E9"/>
    <w:rsid w:val="00F967C3"/>
    <w:rsid w:val="00F967F5"/>
    <w:rsid w:val="00F968F3"/>
    <w:rsid w:val="00F96B1E"/>
    <w:rsid w:val="00F96C44"/>
    <w:rsid w:val="00F96F82"/>
    <w:rsid w:val="00F96FE8"/>
    <w:rsid w:val="00F9706A"/>
    <w:rsid w:val="00F97086"/>
    <w:rsid w:val="00F97127"/>
    <w:rsid w:val="00F97649"/>
    <w:rsid w:val="00F97684"/>
    <w:rsid w:val="00F9768C"/>
    <w:rsid w:val="00F976E8"/>
    <w:rsid w:val="00F9770B"/>
    <w:rsid w:val="00F97736"/>
    <w:rsid w:val="00F977B6"/>
    <w:rsid w:val="00F978B5"/>
    <w:rsid w:val="00F97CF0"/>
    <w:rsid w:val="00F97DC1"/>
    <w:rsid w:val="00F97DD5"/>
    <w:rsid w:val="00F97E7B"/>
    <w:rsid w:val="00F97EF5"/>
    <w:rsid w:val="00FA007F"/>
    <w:rsid w:val="00FA0118"/>
    <w:rsid w:val="00FA05B6"/>
    <w:rsid w:val="00FA0682"/>
    <w:rsid w:val="00FA06DD"/>
    <w:rsid w:val="00FA075D"/>
    <w:rsid w:val="00FA0760"/>
    <w:rsid w:val="00FA077B"/>
    <w:rsid w:val="00FA0933"/>
    <w:rsid w:val="00FA0B32"/>
    <w:rsid w:val="00FA0D70"/>
    <w:rsid w:val="00FA0E50"/>
    <w:rsid w:val="00FA0EDF"/>
    <w:rsid w:val="00FA0F5D"/>
    <w:rsid w:val="00FA1067"/>
    <w:rsid w:val="00FA139C"/>
    <w:rsid w:val="00FA151C"/>
    <w:rsid w:val="00FA1554"/>
    <w:rsid w:val="00FA15D1"/>
    <w:rsid w:val="00FA1684"/>
    <w:rsid w:val="00FA1B8A"/>
    <w:rsid w:val="00FA1DA8"/>
    <w:rsid w:val="00FA1E3A"/>
    <w:rsid w:val="00FA20EA"/>
    <w:rsid w:val="00FA2291"/>
    <w:rsid w:val="00FA253E"/>
    <w:rsid w:val="00FA2548"/>
    <w:rsid w:val="00FA26FD"/>
    <w:rsid w:val="00FA2800"/>
    <w:rsid w:val="00FA2AB1"/>
    <w:rsid w:val="00FA2AED"/>
    <w:rsid w:val="00FA2CAD"/>
    <w:rsid w:val="00FA2DB0"/>
    <w:rsid w:val="00FA2F70"/>
    <w:rsid w:val="00FA307A"/>
    <w:rsid w:val="00FA3128"/>
    <w:rsid w:val="00FA31AE"/>
    <w:rsid w:val="00FA32D9"/>
    <w:rsid w:val="00FA3697"/>
    <w:rsid w:val="00FA3737"/>
    <w:rsid w:val="00FA387C"/>
    <w:rsid w:val="00FA38D7"/>
    <w:rsid w:val="00FA38E0"/>
    <w:rsid w:val="00FA39F1"/>
    <w:rsid w:val="00FA3A0E"/>
    <w:rsid w:val="00FA3CD7"/>
    <w:rsid w:val="00FA3CFC"/>
    <w:rsid w:val="00FA3D4C"/>
    <w:rsid w:val="00FA3D93"/>
    <w:rsid w:val="00FA3F69"/>
    <w:rsid w:val="00FA3F76"/>
    <w:rsid w:val="00FA3FA1"/>
    <w:rsid w:val="00FA40CF"/>
    <w:rsid w:val="00FA4186"/>
    <w:rsid w:val="00FA41A2"/>
    <w:rsid w:val="00FA4390"/>
    <w:rsid w:val="00FA46DC"/>
    <w:rsid w:val="00FA46EC"/>
    <w:rsid w:val="00FA4A99"/>
    <w:rsid w:val="00FA4D14"/>
    <w:rsid w:val="00FA4FF0"/>
    <w:rsid w:val="00FA5074"/>
    <w:rsid w:val="00FA50B1"/>
    <w:rsid w:val="00FA5179"/>
    <w:rsid w:val="00FA5193"/>
    <w:rsid w:val="00FA51A9"/>
    <w:rsid w:val="00FA52A4"/>
    <w:rsid w:val="00FA5504"/>
    <w:rsid w:val="00FA5770"/>
    <w:rsid w:val="00FA595F"/>
    <w:rsid w:val="00FA61F6"/>
    <w:rsid w:val="00FA621C"/>
    <w:rsid w:val="00FA622C"/>
    <w:rsid w:val="00FA628F"/>
    <w:rsid w:val="00FA62C1"/>
    <w:rsid w:val="00FA6732"/>
    <w:rsid w:val="00FA6741"/>
    <w:rsid w:val="00FA6748"/>
    <w:rsid w:val="00FA67E1"/>
    <w:rsid w:val="00FA69AB"/>
    <w:rsid w:val="00FA69DF"/>
    <w:rsid w:val="00FA6D2B"/>
    <w:rsid w:val="00FA6DDE"/>
    <w:rsid w:val="00FA6EB5"/>
    <w:rsid w:val="00FA7013"/>
    <w:rsid w:val="00FA70C2"/>
    <w:rsid w:val="00FA70D4"/>
    <w:rsid w:val="00FA717D"/>
    <w:rsid w:val="00FA71CC"/>
    <w:rsid w:val="00FA71D4"/>
    <w:rsid w:val="00FA7250"/>
    <w:rsid w:val="00FA72A2"/>
    <w:rsid w:val="00FA740F"/>
    <w:rsid w:val="00FA773B"/>
    <w:rsid w:val="00FA782A"/>
    <w:rsid w:val="00FA7853"/>
    <w:rsid w:val="00FA7971"/>
    <w:rsid w:val="00FA7A06"/>
    <w:rsid w:val="00FA7A5E"/>
    <w:rsid w:val="00FA7C05"/>
    <w:rsid w:val="00FA7DAD"/>
    <w:rsid w:val="00FA7DD8"/>
    <w:rsid w:val="00FA7EC7"/>
    <w:rsid w:val="00FB006B"/>
    <w:rsid w:val="00FB02CC"/>
    <w:rsid w:val="00FB03C8"/>
    <w:rsid w:val="00FB04AE"/>
    <w:rsid w:val="00FB0591"/>
    <w:rsid w:val="00FB07ED"/>
    <w:rsid w:val="00FB08E8"/>
    <w:rsid w:val="00FB0969"/>
    <w:rsid w:val="00FB096F"/>
    <w:rsid w:val="00FB09E8"/>
    <w:rsid w:val="00FB0AF5"/>
    <w:rsid w:val="00FB0C39"/>
    <w:rsid w:val="00FB1189"/>
    <w:rsid w:val="00FB1222"/>
    <w:rsid w:val="00FB1386"/>
    <w:rsid w:val="00FB153B"/>
    <w:rsid w:val="00FB163E"/>
    <w:rsid w:val="00FB1684"/>
    <w:rsid w:val="00FB1808"/>
    <w:rsid w:val="00FB1941"/>
    <w:rsid w:val="00FB1A17"/>
    <w:rsid w:val="00FB1B73"/>
    <w:rsid w:val="00FB1C7C"/>
    <w:rsid w:val="00FB1E84"/>
    <w:rsid w:val="00FB1FA6"/>
    <w:rsid w:val="00FB233C"/>
    <w:rsid w:val="00FB25E4"/>
    <w:rsid w:val="00FB265D"/>
    <w:rsid w:val="00FB26D5"/>
    <w:rsid w:val="00FB2988"/>
    <w:rsid w:val="00FB2A65"/>
    <w:rsid w:val="00FB2A97"/>
    <w:rsid w:val="00FB2CD8"/>
    <w:rsid w:val="00FB2F40"/>
    <w:rsid w:val="00FB32DA"/>
    <w:rsid w:val="00FB3425"/>
    <w:rsid w:val="00FB352E"/>
    <w:rsid w:val="00FB3537"/>
    <w:rsid w:val="00FB3826"/>
    <w:rsid w:val="00FB38D0"/>
    <w:rsid w:val="00FB3900"/>
    <w:rsid w:val="00FB3A29"/>
    <w:rsid w:val="00FB3C21"/>
    <w:rsid w:val="00FB3E37"/>
    <w:rsid w:val="00FB4362"/>
    <w:rsid w:val="00FB44D9"/>
    <w:rsid w:val="00FB4596"/>
    <w:rsid w:val="00FB45BE"/>
    <w:rsid w:val="00FB4668"/>
    <w:rsid w:val="00FB4709"/>
    <w:rsid w:val="00FB478D"/>
    <w:rsid w:val="00FB4796"/>
    <w:rsid w:val="00FB48D4"/>
    <w:rsid w:val="00FB4A00"/>
    <w:rsid w:val="00FB4D62"/>
    <w:rsid w:val="00FB5085"/>
    <w:rsid w:val="00FB51E2"/>
    <w:rsid w:val="00FB5283"/>
    <w:rsid w:val="00FB52D7"/>
    <w:rsid w:val="00FB538E"/>
    <w:rsid w:val="00FB5499"/>
    <w:rsid w:val="00FB54E1"/>
    <w:rsid w:val="00FB5531"/>
    <w:rsid w:val="00FB5561"/>
    <w:rsid w:val="00FB5856"/>
    <w:rsid w:val="00FB5966"/>
    <w:rsid w:val="00FB5A0F"/>
    <w:rsid w:val="00FB5AA1"/>
    <w:rsid w:val="00FB5E72"/>
    <w:rsid w:val="00FB5EA9"/>
    <w:rsid w:val="00FB5F98"/>
    <w:rsid w:val="00FB5FAF"/>
    <w:rsid w:val="00FB5FFA"/>
    <w:rsid w:val="00FB6039"/>
    <w:rsid w:val="00FB609C"/>
    <w:rsid w:val="00FB60E7"/>
    <w:rsid w:val="00FB618C"/>
    <w:rsid w:val="00FB638F"/>
    <w:rsid w:val="00FB65C9"/>
    <w:rsid w:val="00FB6666"/>
    <w:rsid w:val="00FB67A1"/>
    <w:rsid w:val="00FB67ED"/>
    <w:rsid w:val="00FB6A36"/>
    <w:rsid w:val="00FB6A92"/>
    <w:rsid w:val="00FB6AC5"/>
    <w:rsid w:val="00FB6B1B"/>
    <w:rsid w:val="00FB6B6D"/>
    <w:rsid w:val="00FB6BDA"/>
    <w:rsid w:val="00FB6D4C"/>
    <w:rsid w:val="00FB6E3C"/>
    <w:rsid w:val="00FB6FCF"/>
    <w:rsid w:val="00FB7066"/>
    <w:rsid w:val="00FB711D"/>
    <w:rsid w:val="00FB729C"/>
    <w:rsid w:val="00FB730F"/>
    <w:rsid w:val="00FB732F"/>
    <w:rsid w:val="00FB7382"/>
    <w:rsid w:val="00FB7642"/>
    <w:rsid w:val="00FB78AC"/>
    <w:rsid w:val="00FB78B0"/>
    <w:rsid w:val="00FB7BE4"/>
    <w:rsid w:val="00FB7D36"/>
    <w:rsid w:val="00FB7DAA"/>
    <w:rsid w:val="00FB7DDF"/>
    <w:rsid w:val="00FB7F86"/>
    <w:rsid w:val="00FB7F98"/>
    <w:rsid w:val="00FC007D"/>
    <w:rsid w:val="00FC05FC"/>
    <w:rsid w:val="00FC078F"/>
    <w:rsid w:val="00FC079E"/>
    <w:rsid w:val="00FC0871"/>
    <w:rsid w:val="00FC0908"/>
    <w:rsid w:val="00FC0945"/>
    <w:rsid w:val="00FC0A77"/>
    <w:rsid w:val="00FC0EAE"/>
    <w:rsid w:val="00FC0F24"/>
    <w:rsid w:val="00FC10BB"/>
    <w:rsid w:val="00FC1137"/>
    <w:rsid w:val="00FC12E6"/>
    <w:rsid w:val="00FC13CF"/>
    <w:rsid w:val="00FC1548"/>
    <w:rsid w:val="00FC1E6A"/>
    <w:rsid w:val="00FC1EF0"/>
    <w:rsid w:val="00FC1F38"/>
    <w:rsid w:val="00FC1FFE"/>
    <w:rsid w:val="00FC2012"/>
    <w:rsid w:val="00FC2136"/>
    <w:rsid w:val="00FC213B"/>
    <w:rsid w:val="00FC25C9"/>
    <w:rsid w:val="00FC27B2"/>
    <w:rsid w:val="00FC27B8"/>
    <w:rsid w:val="00FC2810"/>
    <w:rsid w:val="00FC2954"/>
    <w:rsid w:val="00FC2B34"/>
    <w:rsid w:val="00FC2BAD"/>
    <w:rsid w:val="00FC2C66"/>
    <w:rsid w:val="00FC2CB7"/>
    <w:rsid w:val="00FC2CE5"/>
    <w:rsid w:val="00FC3090"/>
    <w:rsid w:val="00FC318D"/>
    <w:rsid w:val="00FC369C"/>
    <w:rsid w:val="00FC369E"/>
    <w:rsid w:val="00FC3EEF"/>
    <w:rsid w:val="00FC3F4A"/>
    <w:rsid w:val="00FC4082"/>
    <w:rsid w:val="00FC4330"/>
    <w:rsid w:val="00FC43EE"/>
    <w:rsid w:val="00FC4499"/>
    <w:rsid w:val="00FC4564"/>
    <w:rsid w:val="00FC483F"/>
    <w:rsid w:val="00FC4A77"/>
    <w:rsid w:val="00FC4B9F"/>
    <w:rsid w:val="00FC4DF1"/>
    <w:rsid w:val="00FC50B5"/>
    <w:rsid w:val="00FC5728"/>
    <w:rsid w:val="00FC5739"/>
    <w:rsid w:val="00FC5908"/>
    <w:rsid w:val="00FC596F"/>
    <w:rsid w:val="00FC5A53"/>
    <w:rsid w:val="00FC5BBB"/>
    <w:rsid w:val="00FC5C98"/>
    <w:rsid w:val="00FC5D25"/>
    <w:rsid w:val="00FC5D5B"/>
    <w:rsid w:val="00FC5D68"/>
    <w:rsid w:val="00FC5E7E"/>
    <w:rsid w:val="00FC60DB"/>
    <w:rsid w:val="00FC6212"/>
    <w:rsid w:val="00FC6317"/>
    <w:rsid w:val="00FC63A5"/>
    <w:rsid w:val="00FC6617"/>
    <w:rsid w:val="00FC6809"/>
    <w:rsid w:val="00FC6B7A"/>
    <w:rsid w:val="00FC6C32"/>
    <w:rsid w:val="00FC6D3A"/>
    <w:rsid w:val="00FC6D83"/>
    <w:rsid w:val="00FC6DF5"/>
    <w:rsid w:val="00FC7027"/>
    <w:rsid w:val="00FC707A"/>
    <w:rsid w:val="00FC7134"/>
    <w:rsid w:val="00FC7236"/>
    <w:rsid w:val="00FC7495"/>
    <w:rsid w:val="00FC75D0"/>
    <w:rsid w:val="00FC776C"/>
    <w:rsid w:val="00FC7855"/>
    <w:rsid w:val="00FC7A45"/>
    <w:rsid w:val="00FC7C4B"/>
    <w:rsid w:val="00FC7CD4"/>
    <w:rsid w:val="00FC7D5E"/>
    <w:rsid w:val="00FC7F85"/>
    <w:rsid w:val="00FD0131"/>
    <w:rsid w:val="00FD030A"/>
    <w:rsid w:val="00FD041D"/>
    <w:rsid w:val="00FD0614"/>
    <w:rsid w:val="00FD0708"/>
    <w:rsid w:val="00FD076B"/>
    <w:rsid w:val="00FD0839"/>
    <w:rsid w:val="00FD0CBF"/>
    <w:rsid w:val="00FD0F08"/>
    <w:rsid w:val="00FD14F5"/>
    <w:rsid w:val="00FD15DA"/>
    <w:rsid w:val="00FD16B9"/>
    <w:rsid w:val="00FD1807"/>
    <w:rsid w:val="00FD19A5"/>
    <w:rsid w:val="00FD1D09"/>
    <w:rsid w:val="00FD210E"/>
    <w:rsid w:val="00FD2146"/>
    <w:rsid w:val="00FD21D2"/>
    <w:rsid w:val="00FD21E9"/>
    <w:rsid w:val="00FD229F"/>
    <w:rsid w:val="00FD2309"/>
    <w:rsid w:val="00FD2318"/>
    <w:rsid w:val="00FD2339"/>
    <w:rsid w:val="00FD239B"/>
    <w:rsid w:val="00FD245A"/>
    <w:rsid w:val="00FD2670"/>
    <w:rsid w:val="00FD2751"/>
    <w:rsid w:val="00FD2B73"/>
    <w:rsid w:val="00FD2C9A"/>
    <w:rsid w:val="00FD2E49"/>
    <w:rsid w:val="00FD2E81"/>
    <w:rsid w:val="00FD323B"/>
    <w:rsid w:val="00FD32D8"/>
    <w:rsid w:val="00FD341F"/>
    <w:rsid w:val="00FD37CF"/>
    <w:rsid w:val="00FD3CCD"/>
    <w:rsid w:val="00FD3CF4"/>
    <w:rsid w:val="00FD3D27"/>
    <w:rsid w:val="00FD3D3B"/>
    <w:rsid w:val="00FD3E5A"/>
    <w:rsid w:val="00FD3FC2"/>
    <w:rsid w:val="00FD3FFA"/>
    <w:rsid w:val="00FD4046"/>
    <w:rsid w:val="00FD412D"/>
    <w:rsid w:val="00FD42AB"/>
    <w:rsid w:val="00FD4498"/>
    <w:rsid w:val="00FD44F3"/>
    <w:rsid w:val="00FD45B5"/>
    <w:rsid w:val="00FD46A7"/>
    <w:rsid w:val="00FD471D"/>
    <w:rsid w:val="00FD47B7"/>
    <w:rsid w:val="00FD4AA4"/>
    <w:rsid w:val="00FD4B7A"/>
    <w:rsid w:val="00FD4DF6"/>
    <w:rsid w:val="00FD5075"/>
    <w:rsid w:val="00FD53C5"/>
    <w:rsid w:val="00FD553F"/>
    <w:rsid w:val="00FD5593"/>
    <w:rsid w:val="00FD55DD"/>
    <w:rsid w:val="00FD57BD"/>
    <w:rsid w:val="00FD5953"/>
    <w:rsid w:val="00FD5959"/>
    <w:rsid w:val="00FD5A0F"/>
    <w:rsid w:val="00FD5BE9"/>
    <w:rsid w:val="00FD5F1C"/>
    <w:rsid w:val="00FD60EF"/>
    <w:rsid w:val="00FD61D4"/>
    <w:rsid w:val="00FD6443"/>
    <w:rsid w:val="00FD64F7"/>
    <w:rsid w:val="00FD666B"/>
    <w:rsid w:val="00FD6786"/>
    <w:rsid w:val="00FD6865"/>
    <w:rsid w:val="00FD6A9B"/>
    <w:rsid w:val="00FD6BBD"/>
    <w:rsid w:val="00FD6CA1"/>
    <w:rsid w:val="00FD6CC2"/>
    <w:rsid w:val="00FD6F00"/>
    <w:rsid w:val="00FD70CC"/>
    <w:rsid w:val="00FD731C"/>
    <w:rsid w:val="00FD731F"/>
    <w:rsid w:val="00FD744F"/>
    <w:rsid w:val="00FD74E3"/>
    <w:rsid w:val="00FD77F3"/>
    <w:rsid w:val="00FD7958"/>
    <w:rsid w:val="00FD79F7"/>
    <w:rsid w:val="00FD7A01"/>
    <w:rsid w:val="00FD7BE7"/>
    <w:rsid w:val="00FD7E16"/>
    <w:rsid w:val="00FE00AF"/>
    <w:rsid w:val="00FE012D"/>
    <w:rsid w:val="00FE0226"/>
    <w:rsid w:val="00FE07CF"/>
    <w:rsid w:val="00FE08D5"/>
    <w:rsid w:val="00FE0933"/>
    <w:rsid w:val="00FE0D02"/>
    <w:rsid w:val="00FE0DFD"/>
    <w:rsid w:val="00FE110A"/>
    <w:rsid w:val="00FE1254"/>
    <w:rsid w:val="00FE147D"/>
    <w:rsid w:val="00FE14F4"/>
    <w:rsid w:val="00FE17CE"/>
    <w:rsid w:val="00FE1938"/>
    <w:rsid w:val="00FE1AF6"/>
    <w:rsid w:val="00FE1B81"/>
    <w:rsid w:val="00FE1CBA"/>
    <w:rsid w:val="00FE1DEE"/>
    <w:rsid w:val="00FE2038"/>
    <w:rsid w:val="00FE2079"/>
    <w:rsid w:val="00FE22F9"/>
    <w:rsid w:val="00FE2591"/>
    <w:rsid w:val="00FE277B"/>
    <w:rsid w:val="00FE2ACF"/>
    <w:rsid w:val="00FE2ADA"/>
    <w:rsid w:val="00FE3028"/>
    <w:rsid w:val="00FE30E5"/>
    <w:rsid w:val="00FE315C"/>
    <w:rsid w:val="00FE3262"/>
    <w:rsid w:val="00FE33F6"/>
    <w:rsid w:val="00FE3566"/>
    <w:rsid w:val="00FE35D1"/>
    <w:rsid w:val="00FE361B"/>
    <w:rsid w:val="00FE3680"/>
    <w:rsid w:val="00FE3786"/>
    <w:rsid w:val="00FE3789"/>
    <w:rsid w:val="00FE38EA"/>
    <w:rsid w:val="00FE3939"/>
    <w:rsid w:val="00FE3C43"/>
    <w:rsid w:val="00FE3DA3"/>
    <w:rsid w:val="00FE3DBF"/>
    <w:rsid w:val="00FE3E0F"/>
    <w:rsid w:val="00FE3E26"/>
    <w:rsid w:val="00FE3F27"/>
    <w:rsid w:val="00FE4245"/>
    <w:rsid w:val="00FE4424"/>
    <w:rsid w:val="00FE44E0"/>
    <w:rsid w:val="00FE4622"/>
    <w:rsid w:val="00FE47AD"/>
    <w:rsid w:val="00FE489F"/>
    <w:rsid w:val="00FE4ABE"/>
    <w:rsid w:val="00FE4BAB"/>
    <w:rsid w:val="00FE4CA6"/>
    <w:rsid w:val="00FE4E8C"/>
    <w:rsid w:val="00FE4EAF"/>
    <w:rsid w:val="00FE4F8F"/>
    <w:rsid w:val="00FE4FD0"/>
    <w:rsid w:val="00FE4FF2"/>
    <w:rsid w:val="00FE50DC"/>
    <w:rsid w:val="00FE515B"/>
    <w:rsid w:val="00FE519C"/>
    <w:rsid w:val="00FE51BF"/>
    <w:rsid w:val="00FE5287"/>
    <w:rsid w:val="00FE530C"/>
    <w:rsid w:val="00FE5338"/>
    <w:rsid w:val="00FE559C"/>
    <w:rsid w:val="00FE55AD"/>
    <w:rsid w:val="00FE5687"/>
    <w:rsid w:val="00FE56C2"/>
    <w:rsid w:val="00FE5727"/>
    <w:rsid w:val="00FE57C2"/>
    <w:rsid w:val="00FE5AB2"/>
    <w:rsid w:val="00FE5E24"/>
    <w:rsid w:val="00FE6092"/>
    <w:rsid w:val="00FE6116"/>
    <w:rsid w:val="00FE6173"/>
    <w:rsid w:val="00FE627B"/>
    <w:rsid w:val="00FE6911"/>
    <w:rsid w:val="00FE6BDD"/>
    <w:rsid w:val="00FE6F53"/>
    <w:rsid w:val="00FE7053"/>
    <w:rsid w:val="00FE709B"/>
    <w:rsid w:val="00FE70A3"/>
    <w:rsid w:val="00FE718C"/>
    <w:rsid w:val="00FE7680"/>
    <w:rsid w:val="00FE76F9"/>
    <w:rsid w:val="00FE7A1A"/>
    <w:rsid w:val="00FE7AA6"/>
    <w:rsid w:val="00FE7C31"/>
    <w:rsid w:val="00FE7C5C"/>
    <w:rsid w:val="00FF006B"/>
    <w:rsid w:val="00FF0259"/>
    <w:rsid w:val="00FF0695"/>
    <w:rsid w:val="00FF06D6"/>
    <w:rsid w:val="00FF0790"/>
    <w:rsid w:val="00FF0B14"/>
    <w:rsid w:val="00FF0B62"/>
    <w:rsid w:val="00FF0C59"/>
    <w:rsid w:val="00FF139A"/>
    <w:rsid w:val="00FF17D3"/>
    <w:rsid w:val="00FF192F"/>
    <w:rsid w:val="00FF198E"/>
    <w:rsid w:val="00FF1BEC"/>
    <w:rsid w:val="00FF1F6A"/>
    <w:rsid w:val="00FF1F8A"/>
    <w:rsid w:val="00FF2028"/>
    <w:rsid w:val="00FF212B"/>
    <w:rsid w:val="00FF229B"/>
    <w:rsid w:val="00FF23A4"/>
    <w:rsid w:val="00FF255B"/>
    <w:rsid w:val="00FF2759"/>
    <w:rsid w:val="00FF2789"/>
    <w:rsid w:val="00FF2A25"/>
    <w:rsid w:val="00FF2A40"/>
    <w:rsid w:val="00FF2AD1"/>
    <w:rsid w:val="00FF2D97"/>
    <w:rsid w:val="00FF2EBF"/>
    <w:rsid w:val="00FF2EF0"/>
    <w:rsid w:val="00FF2EFF"/>
    <w:rsid w:val="00FF3256"/>
    <w:rsid w:val="00FF33D5"/>
    <w:rsid w:val="00FF3561"/>
    <w:rsid w:val="00FF373A"/>
    <w:rsid w:val="00FF3971"/>
    <w:rsid w:val="00FF398D"/>
    <w:rsid w:val="00FF3B68"/>
    <w:rsid w:val="00FF3BF4"/>
    <w:rsid w:val="00FF3C3F"/>
    <w:rsid w:val="00FF3C84"/>
    <w:rsid w:val="00FF4107"/>
    <w:rsid w:val="00FF414F"/>
    <w:rsid w:val="00FF415F"/>
    <w:rsid w:val="00FF416D"/>
    <w:rsid w:val="00FF41BA"/>
    <w:rsid w:val="00FF41E2"/>
    <w:rsid w:val="00FF4329"/>
    <w:rsid w:val="00FF4426"/>
    <w:rsid w:val="00FF453B"/>
    <w:rsid w:val="00FF476C"/>
    <w:rsid w:val="00FF4948"/>
    <w:rsid w:val="00FF495D"/>
    <w:rsid w:val="00FF49CB"/>
    <w:rsid w:val="00FF4E89"/>
    <w:rsid w:val="00FF4EBF"/>
    <w:rsid w:val="00FF4ECA"/>
    <w:rsid w:val="00FF4FCE"/>
    <w:rsid w:val="00FF5317"/>
    <w:rsid w:val="00FF55E4"/>
    <w:rsid w:val="00FF5626"/>
    <w:rsid w:val="00FF58E6"/>
    <w:rsid w:val="00FF5C47"/>
    <w:rsid w:val="00FF5EB2"/>
    <w:rsid w:val="00FF5ED1"/>
    <w:rsid w:val="00FF60E9"/>
    <w:rsid w:val="00FF61B5"/>
    <w:rsid w:val="00FF625D"/>
    <w:rsid w:val="00FF637C"/>
    <w:rsid w:val="00FF6493"/>
    <w:rsid w:val="00FF66A1"/>
    <w:rsid w:val="00FF6B4A"/>
    <w:rsid w:val="00FF6C3E"/>
    <w:rsid w:val="00FF6CD9"/>
    <w:rsid w:val="00FF6E90"/>
    <w:rsid w:val="00FF6EC8"/>
    <w:rsid w:val="00FF702E"/>
    <w:rsid w:val="00FF7084"/>
    <w:rsid w:val="00FF71C0"/>
    <w:rsid w:val="00FF7331"/>
    <w:rsid w:val="00FF749F"/>
    <w:rsid w:val="00FF7591"/>
    <w:rsid w:val="00FF76EC"/>
    <w:rsid w:val="00FF7A83"/>
    <w:rsid w:val="00FF7C66"/>
    <w:rsid w:val="00FF7D5F"/>
    <w:rsid w:val="00FF7F53"/>
    <w:rsid w:val="057DD212"/>
    <w:rsid w:val="05DF34CE"/>
    <w:rsid w:val="084BD090"/>
    <w:rsid w:val="450EFAB4"/>
    <w:rsid w:val="4DCAA8A0"/>
    <w:rsid w:val="59B92215"/>
    <w:rsid w:val="70F9B183"/>
    <w:rsid w:val="72BFE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8C96"/>
  <w15:chartTrackingRefBased/>
  <w15:docId w15:val="{5E488016-0CAF-4E44-96A3-D26082D029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A054BC"/>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A054BC"/>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A054BC"/>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A054BC"/>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unhideWhenUsed/>
    <w:qFormat/>
    <w:rsid w:val="00A054BC"/>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unhideWhenUsed/>
    <w:qFormat/>
    <w:rsid w:val="00A054BC"/>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unhideWhenUsed/>
    <w:qFormat/>
    <w:rsid w:val="00A054BC"/>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unhideWhenUsed/>
    <w:qFormat/>
    <w:rsid w:val="00A054BC"/>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unhideWhenUsed/>
    <w:qFormat/>
    <w:rsid w:val="00A054BC"/>
    <w:pPr>
      <w:keepNext/>
      <w:keepLines/>
      <w:widowControl/>
      <w:numPr>
        <w:ilvl w:val="8"/>
        <w:numId w:val="15"/>
      </w:numPr>
      <w:spacing w:line="480" w:lineRule="auto"/>
      <w:outlineLvl w:val="8"/>
    </w:pPr>
    <w:rPr>
      <w:rFonts w:eastAsiaTheme="majorEastAsia"/>
      <w:b/>
      <w:iCs/>
      <w:kern w:val="32"/>
      <w:szCs w:val="21"/>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yTOC1" w:customStyle="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styleId="myTOC2" w:customStyle="1">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styleId="myTOC3" w:customStyle="1">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styleId="myTOC4" w:customStyle="1">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styleId="myTOC5" w:customStyle="1">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styleId="myTOC6" w:customStyle="1">
    <w:name w:val="myTOC 6"/>
    <w:basedOn w:val="Normal"/>
    <w:next w:val="Normal"/>
    <w:rsid w:val="004C456B"/>
    <w:pPr>
      <w:tabs>
        <w:tab w:val="right" w:leader="dot" w:pos="9360"/>
      </w:tabs>
      <w:ind w:left="1440"/>
    </w:pPr>
    <w:rPr>
      <w:rFonts w:eastAsia="Times New Roman"/>
      <w:szCs w:val="26"/>
    </w:rPr>
  </w:style>
  <w:style w:type="paragraph" w:styleId="myTOC7" w:customStyle="1">
    <w:name w:val="myTOC 7"/>
    <w:basedOn w:val="Normal"/>
    <w:next w:val="Normal"/>
    <w:rsid w:val="004C456B"/>
    <w:pPr>
      <w:tabs>
        <w:tab w:val="right" w:leader="dot" w:pos="9360"/>
      </w:tabs>
      <w:ind w:left="1728"/>
    </w:pPr>
    <w:rPr>
      <w:rFonts w:eastAsia="Times New Roman"/>
      <w:szCs w:val="26"/>
    </w:rPr>
  </w:style>
  <w:style w:type="paragraph" w:styleId="myTOC8" w:customStyle="1">
    <w:name w:val="myTOC 8"/>
    <w:basedOn w:val="Normal"/>
    <w:next w:val="Normal"/>
    <w:rsid w:val="004C456B"/>
    <w:pPr>
      <w:tabs>
        <w:tab w:val="right" w:leader="dot" w:pos="9360"/>
      </w:tabs>
      <w:ind w:left="2016"/>
    </w:pPr>
    <w:rPr>
      <w:rFonts w:eastAsia="Times New Roman"/>
      <w:szCs w:val="26"/>
    </w:rPr>
  </w:style>
  <w:style w:type="paragraph" w:styleId="myTOC9" w:customStyle="1">
    <w:name w:val="myTOC 9"/>
    <w:basedOn w:val="Normal"/>
    <w:next w:val="Normal"/>
    <w:rsid w:val="004C456B"/>
    <w:pPr>
      <w:tabs>
        <w:tab w:val="right" w:leader="dot" w:pos="9360"/>
      </w:tabs>
      <w:ind w:left="2304"/>
    </w:pPr>
    <w:rPr>
      <w:rFonts w:eastAsia="Times New Roman"/>
      <w:szCs w:val="26"/>
    </w:rPr>
  </w:style>
  <w:style w:type="paragraph" w:styleId="Non-TOCStyle" w:customStyle="1">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styleId="BalloonTextChar" w:customStyle="1">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styleId="BodyTextChar" w:customStyle="1">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styleId="BodyText2Char" w:customStyle="1">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styleId="BodyText3Char" w:customStyle="1">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styleId="BodyTextFirstIndentChar" w:customStyle="1">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styleId="BodyTextIndentChar" w:customStyle="1">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styleId="BodyTextFirstIndent2Char" w:customStyle="1">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styleId="BodyTextIndent2Char" w:customStyle="1">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styleId="ClosingChar" w:customStyle="1">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styleId="CommentTextChar" w:customStyle="1">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styleId="CommentSubjectChar" w:customStyle="1">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styleId="DateChar" w:customStyle="1">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styleId="DocumentMapChar" w:customStyle="1">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styleId="E-mailSignatureChar" w:customStyle="1">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styleId="EndnoteTextChar" w:customStyle="1">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CE7F13"/>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styleId="FooterChar" w:customStyle="1">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styleId="HeaderChar" w:customStyle="1">
    <w:name w:val="Header Char"/>
    <w:basedOn w:val="DefaultParagraphFont"/>
    <w:link w:val="Header"/>
    <w:uiPriority w:val="99"/>
    <w:rsid w:val="00CE7F13"/>
  </w:style>
  <w:style w:type="character" w:styleId="9" w:customStyle="1">
    <w:name w:val="9"/>
    <w:basedOn w:val="DefaultParagraphFont"/>
    <w:uiPriority w:val="9"/>
    <w:semiHidden/>
    <w:rsid w:val="00CE7F13"/>
    <w:rPr>
      <w:rFonts w:asciiTheme="majorHAnsi" w:hAnsiTheme="majorHAnsi" w:eastAsiaTheme="majorEastAsia" w:cstheme="majorBidi"/>
      <w:color w:val="2E74B5" w:themeColor="accent1" w:themeShade="BF"/>
      <w:sz w:val="26"/>
      <w:szCs w:val="26"/>
    </w:rPr>
  </w:style>
  <w:style w:type="character" w:styleId="8" w:customStyle="1">
    <w:name w:val="8"/>
    <w:basedOn w:val="DefaultParagraphFont"/>
    <w:uiPriority w:val="9"/>
    <w:semiHidden/>
    <w:rsid w:val="00CE7F13"/>
    <w:rPr>
      <w:rFonts w:asciiTheme="majorHAnsi" w:hAnsiTheme="majorHAnsi" w:eastAsiaTheme="majorEastAsia" w:cstheme="majorBidi"/>
      <w:color w:val="1F4D78" w:themeColor="accent1" w:themeShade="7F"/>
      <w:sz w:val="24"/>
      <w:szCs w:val="24"/>
    </w:rPr>
  </w:style>
  <w:style w:type="character" w:styleId="7" w:customStyle="1">
    <w:name w:val="7"/>
    <w:basedOn w:val="DefaultParagraphFont"/>
    <w:uiPriority w:val="9"/>
    <w:semiHidden/>
    <w:rsid w:val="00CE7F13"/>
    <w:rPr>
      <w:rFonts w:asciiTheme="majorHAnsi" w:hAnsiTheme="majorHAnsi" w:eastAsiaTheme="majorEastAsia" w:cstheme="majorBidi"/>
      <w:i/>
      <w:iCs/>
      <w:color w:val="2E74B5" w:themeColor="accent1" w:themeShade="BF"/>
    </w:rPr>
  </w:style>
  <w:style w:type="character" w:styleId="6" w:customStyle="1">
    <w:name w:val="6"/>
    <w:basedOn w:val="DefaultParagraphFont"/>
    <w:uiPriority w:val="9"/>
    <w:semiHidden/>
    <w:rsid w:val="00CE7F13"/>
    <w:rPr>
      <w:rFonts w:asciiTheme="majorHAnsi" w:hAnsiTheme="majorHAnsi" w:eastAsiaTheme="majorEastAsia" w:cstheme="majorBidi"/>
      <w:color w:val="2E74B5" w:themeColor="accent1" w:themeShade="BF"/>
    </w:rPr>
  </w:style>
  <w:style w:type="character" w:styleId="5" w:customStyle="1">
    <w:name w:val="5"/>
    <w:basedOn w:val="DefaultParagraphFont"/>
    <w:uiPriority w:val="9"/>
    <w:semiHidden/>
    <w:rsid w:val="00CE7F13"/>
    <w:rPr>
      <w:rFonts w:asciiTheme="majorHAnsi" w:hAnsiTheme="majorHAnsi" w:eastAsiaTheme="majorEastAsia" w:cstheme="majorBidi"/>
      <w:color w:val="1F4D78" w:themeColor="accent1" w:themeShade="7F"/>
    </w:rPr>
  </w:style>
  <w:style w:type="character" w:styleId="4" w:customStyle="1">
    <w:name w:val="4"/>
    <w:basedOn w:val="DefaultParagraphFont"/>
    <w:uiPriority w:val="9"/>
    <w:semiHidden/>
    <w:rsid w:val="00CE7F13"/>
    <w:rPr>
      <w:rFonts w:asciiTheme="majorHAnsi" w:hAnsiTheme="majorHAnsi" w:eastAsiaTheme="majorEastAsia" w:cstheme="majorBidi"/>
      <w:i/>
      <w:iCs/>
      <w:color w:val="1F4D78" w:themeColor="accent1" w:themeShade="7F"/>
    </w:rPr>
  </w:style>
  <w:style w:type="character" w:styleId="3" w:customStyle="1">
    <w:name w:val="3"/>
    <w:basedOn w:val="DefaultParagraphFont"/>
    <w:uiPriority w:val="9"/>
    <w:semiHidden/>
    <w:rsid w:val="00CE7F13"/>
    <w:rPr>
      <w:rFonts w:asciiTheme="majorHAnsi" w:hAnsiTheme="majorHAnsi" w:eastAsiaTheme="majorEastAsia" w:cstheme="majorBidi"/>
      <w:color w:val="272727" w:themeColor="text1" w:themeTint="D8"/>
      <w:sz w:val="21"/>
      <w:szCs w:val="21"/>
    </w:rPr>
  </w:style>
  <w:style w:type="character" w:styleId="2" w:customStyle="1">
    <w:name w:val="2"/>
    <w:basedOn w:val="DefaultParagraphFont"/>
    <w:uiPriority w:val="9"/>
    <w:semiHidden/>
    <w:rsid w:val="00CE7F13"/>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styleId="HTMLAddressChar" w:customStyle="1">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CE7F13"/>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styleId="MacroTextChar" w:customStyle="1">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CE7F13"/>
    <w:rPr>
      <w:rFonts w:asciiTheme="majorHAnsi" w:hAnsiTheme="majorHAnsi" w:eastAsiaTheme="majorEastAsia"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styleId="NoteHeadingChar" w:customStyle="1">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styleId="PlainTextChar" w:customStyle="1">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styleId="SalutationChar" w:customStyle="1">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styleId="SignatureChar" w:customStyle="1">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E7F13"/>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hAnsiTheme="majorHAnsi" w:eastAsiaTheme="majorEastAsia"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styleId="FERCparanumber" w:customStyle="1">
    <w:name w:val="FERC paranumber"/>
    <w:basedOn w:val="Normal"/>
    <w:link w:val="FERCparanumberChar"/>
    <w:qFormat/>
    <w:rsid w:val="00C274AA"/>
    <w:pPr>
      <w:widowControl/>
      <w:numPr>
        <w:numId w:val="34"/>
      </w:numPr>
      <w:tabs>
        <w:tab w:val="num" w:pos="720"/>
      </w:tabs>
      <w:spacing w:line="480" w:lineRule="auto"/>
    </w:pPr>
  </w:style>
  <w:style w:type="character" w:styleId="FERCparanumberChar" w:customStyle="1">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8020B"/>
    <w:rPr>
      <w:color w:val="0563C1" w:themeColor="hyperlink"/>
      <w:u w:val="single"/>
    </w:rPr>
  </w:style>
  <w:style w:type="character" w:styleId="Heading1Char" w:customStyle="1">
    <w:name w:val="Heading 1 Char"/>
    <w:basedOn w:val="DefaultParagraphFont"/>
    <w:link w:val="Heading1"/>
    <w:uiPriority w:val="9"/>
    <w:rsid w:val="00EB5D6A"/>
    <w:rPr>
      <w:rFonts w:ascii="Times New Roman" w:hAnsi="Times New Roman" w:cs="Times New Roman" w:eastAsiaTheme="majorEastAsia"/>
      <w:b/>
      <w:kern w:val="32"/>
      <w:sz w:val="26"/>
      <w:szCs w:val="32"/>
      <w:u w:val="single"/>
    </w:rPr>
  </w:style>
  <w:style w:type="character" w:styleId="Heading2Char" w:customStyle="1">
    <w:name w:val="Heading 2 Char"/>
    <w:basedOn w:val="DefaultParagraphFont"/>
    <w:link w:val="Heading2"/>
    <w:uiPriority w:val="9"/>
    <w:rsid w:val="00EB5D6A"/>
    <w:rPr>
      <w:rFonts w:ascii="Times New Roman" w:hAnsi="Times New Roman" w:cs="Times New Roman" w:eastAsiaTheme="majorEastAsia"/>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A054BC"/>
    <w:pPr>
      <w:spacing w:after="260"/>
      <w:ind w:firstLine="720"/>
    </w:pPr>
    <w:rPr>
      <w:szCs w:val="20"/>
    </w:rPr>
  </w:style>
  <w:style w:type="character" w:styleId="FootnoteTextChar" w:customStyle="1">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A054BC"/>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A054BC"/>
    <w:rPr>
      <w:rFonts w:ascii="Times New Roman" w:hAnsi="Times New Roman" w:cs="Times New Roman"/>
      <w:b/>
      <w:sz w:val="26"/>
      <w:vertAlign w:val="superscript"/>
    </w:rPr>
  </w:style>
  <w:style w:type="paragraph" w:styleId="FERCNopara" w:customStyle="1">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paragraph" w:styleId="Revision">
    <w:name w:val="Revision"/>
    <w:hidden/>
    <w:uiPriority w:val="99"/>
    <w:semiHidden/>
    <w:rsid w:val="00C14E3C"/>
    <w:pPr>
      <w:spacing w:after="0" w:line="240" w:lineRule="auto"/>
    </w:pPr>
    <w:rPr>
      <w:rFonts w:ascii="Times New Roman" w:hAnsi="Times New Roman" w:cs="Times New Roman"/>
      <w:sz w:val="26"/>
    </w:rPr>
  </w:style>
  <w:style w:type="character" w:styleId="UnresolvedMention10" w:customStyle="1">
    <w:name w:val="Unresolved Mention10"/>
    <w:basedOn w:val="DefaultParagraphFont"/>
    <w:uiPriority w:val="99"/>
    <w:unhideWhenUsed/>
    <w:rsid w:val="00984A7B"/>
    <w:rPr>
      <w:color w:val="605E5C"/>
      <w:shd w:val="clear" w:color="auto" w:fill="E1DFDD"/>
    </w:rPr>
  </w:style>
  <w:style w:type="character" w:styleId="FollowedHyperlink">
    <w:name w:val="FollowedHyperlink"/>
    <w:basedOn w:val="DefaultParagraphFont"/>
    <w:uiPriority w:val="99"/>
    <w:semiHidden/>
    <w:unhideWhenUsed/>
    <w:rsid w:val="00531D9F"/>
    <w:rPr>
      <w:color w:val="954F72" w:themeColor="followedHyperlink"/>
      <w:u w:val="single"/>
    </w:rPr>
  </w:style>
  <w:style w:type="paragraph" w:styleId="xmsolistparagraph" w:customStyle="1">
    <w:name w:val="x_msolistparagraph"/>
    <w:basedOn w:val="Normal"/>
    <w:rsid w:val="006D2A14"/>
    <w:pPr>
      <w:widowControl/>
      <w:spacing w:before="100" w:beforeAutospacing="1" w:after="100" w:afterAutospacing="1"/>
    </w:pPr>
    <w:rPr>
      <w:rFonts w:ascii="Calibri" w:hAnsi="Calibri" w:cs="Calibri"/>
      <w:sz w:val="22"/>
    </w:rPr>
  </w:style>
  <w:style w:type="character" w:styleId="UnresolvedMention2" w:customStyle="1">
    <w:name w:val="Unresolved Mention2"/>
    <w:basedOn w:val="DefaultParagraphFont"/>
    <w:uiPriority w:val="99"/>
    <w:semiHidden/>
    <w:unhideWhenUsed/>
    <w:rsid w:val="00100C66"/>
    <w:rPr>
      <w:color w:val="605E5C"/>
      <w:shd w:val="clear" w:color="auto" w:fill="E1DFDD"/>
    </w:rPr>
  </w:style>
  <w:style w:type="character" w:styleId="UnresolvedMention1" w:customStyle="1">
    <w:name w:val="Unresolved Mention1"/>
    <w:basedOn w:val="DefaultParagraphFont"/>
    <w:uiPriority w:val="99"/>
    <w:unhideWhenUsed/>
    <w:rsid w:val="002711BD"/>
    <w:rPr>
      <w:color w:val="605E5C"/>
      <w:shd w:val="clear" w:color="auto" w:fill="E1DFDD"/>
    </w:rPr>
  </w:style>
  <w:style w:type="character" w:styleId="Mention1" w:customStyle="1">
    <w:name w:val="Mention1"/>
    <w:basedOn w:val="DefaultParagraphFont"/>
    <w:uiPriority w:val="99"/>
    <w:unhideWhenUsed/>
    <w:rsid w:val="00446904"/>
    <w:rPr>
      <w:color w:val="2B579A"/>
      <w:shd w:val="clear" w:color="auto" w:fill="E1DFDD"/>
    </w:rPr>
  </w:style>
  <w:style w:type="character" w:styleId="UnresolvedMention100" w:customStyle="1">
    <w:name w:val="Unresolved Mention100"/>
    <w:basedOn w:val="DefaultParagraphFont"/>
    <w:uiPriority w:val="99"/>
    <w:unhideWhenUsed/>
    <w:rsid w:val="00D9393E"/>
    <w:rPr>
      <w:color w:val="605E5C"/>
      <w:shd w:val="clear" w:color="auto" w:fill="E1DFDD"/>
    </w:rPr>
  </w:style>
  <w:style w:type="character" w:styleId="UnresolvedMention1000" w:customStyle="1">
    <w:name w:val="Unresolved Mention1000"/>
    <w:basedOn w:val="DefaultParagraphFont"/>
    <w:uiPriority w:val="99"/>
    <w:unhideWhenUsed/>
    <w:rsid w:val="00606571"/>
    <w:rPr>
      <w:color w:val="605E5C"/>
      <w:shd w:val="clear" w:color="auto" w:fill="E1DFDD"/>
    </w:rPr>
  </w:style>
  <w:style w:type="character" w:styleId="UnresolvedMention10000" w:customStyle="1">
    <w:name w:val="Unresolved Mention10000"/>
    <w:basedOn w:val="DefaultParagraphFont"/>
    <w:uiPriority w:val="99"/>
    <w:unhideWhenUsed/>
    <w:rsid w:val="00FD3CCD"/>
    <w:rPr>
      <w:color w:val="605E5C"/>
      <w:shd w:val="clear" w:color="auto" w:fill="E1DFDD"/>
    </w:rPr>
  </w:style>
  <w:style w:type="character" w:styleId="UnresolvedMention100000" w:customStyle="1">
    <w:name w:val="Unresolved Mention100000"/>
    <w:basedOn w:val="DefaultParagraphFont"/>
    <w:uiPriority w:val="99"/>
    <w:unhideWhenUsed/>
    <w:rsid w:val="000E7EDE"/>
    <w:rPr>
      <w:color w:val="605E5C"/>
      <w:shd w:val="clear" w:color="auto" w:fill="E1DFDD"/>
    </w:rPr>
  </w:style>
  <w:style w:type="character" w:styleId="UnresolvedMention1000000" w:customStyle="1">
    <w:name w:val="Unresolved Mention1000000"/>
    <w:basedOn w:val="DefaultParagraphFont"/>
    <w:uiPriority w:val="99"/>
    <w:unhideWhenUsed/>
    <w:rsid w:val="00017575"/>
    <w:rPr>
      <w:color w:val="605E5C"/>
      <w:shd w:val="clear" w:color="auto" w:fill="E1DFDD"/>
    </w:rPr>
  </w:style>
  <w:style w:type="character" w:styleId="UnresolvedMention10000000" w:customStyle="1">
    <w:name w:val="Unresolved Mention10000000"/>
    <w:basedOn w:val="DefaultParagraphFont"/>
    <w:uiPriority w:val="99"/>
    <w:unhideWhenUsed/>
    <w:rsid w:val="007958E3"/>
    <w:rPr>
      <w:color w:val="605E5C"/>
      <w:shd w:val="clear" w:color="auto" w:fill="E1DFDD"/>
    </w:rPr>
  </w:style>
  <w:style w:type="character" w:styleId="UnresolvedMention100000000" w:customStyle="1">
    <w:name w:val="Unresolved Mention100000000"/>
    <w:basedOn w:val="DefaultParagraphFont"/>
    <w:uiPriority w:val="99"/>
    <w:unhideWhenUsed/>
    <w:rsid w:val="00A85870"/>
    <w:rPr>
      <w:color w:val="605E5C"/>
      <w:shd w:val="clear" w:color="auto" w:fill="E1DFDD"/>
    </w:rPr>
  </w:style>
  <w:style w:type="character" w:styleId="UnresolvedMention3" w:customStyle="1">
    <w:name w:val="Unresolved Mention3"/>
    <w:basedOn w:val="DefaultParagraphFont"/>
    <w:uiPriority w:val="99"/>
    <w:unhideWhenUsed/>
    <w:rsid w:val="00F026B1"/>
    <w:rPr>
      <w:color w:val="605E5C"/>
      <w:shd w:val="clear" w:color="auto" w:fill="E1DFDD"/>
    </w:rPr>
  </w:style>
  <w:style w:type="character" w:styleId="Mention2" w:customStyle="1">
    <w:name w:val="Mention2"/>
    <w:basedOn w:val="DefaultParagraphFont"/>
    <w:uiPriority w:val="99"/>
    <w:unhideWhenUsed/>
    <w:rsid w:val="00F026B1"/>
    <w:rPr>
      <w:color w:val="2B579A"/>
      <w:shd w:val="clear" w:color="auto" w:fill="E1DFDD"/>
    </w:rPr>
  </w:style>
  <w:style w:type="character" w:styleId="UnresolvedMention1000000000" w:customStyle="1">
    <w:name w:val="Unresolved Mention1000000000"/>
    <w:basedOn w:val="DefaultParagraphFont"/>
    <w:uiPriority w:val="99"/>
    <w:unhideWhenUsed/>
    <w:rsid w:val="00F026B1"/>
    <w:rPr>
      <w:color w:val="605E5C"/>
      <w:shd w:val="clear" w:color="auto" w:fill="E1DFDD"/>
    </w:rPr>
  </w:style>
  <w:style w:type="character" w:styleId="UnresolvedMention4" w:customStyle="1">
    <w:name w:val="Unresolved Mention4"/>
    <w:basedOn w:val="DefaultParagraphFont"/>
    <w:uiPriority w:val="99"/>
    <w:semiHidden/>
    <w:unhideWhenUsed/>
    <w:rsid w:val="00C905AF"/>
    <w:rPr>
      <w:color w:val="605E5C"/>
      <w:shd w:val="clear" w:color="auto" w:fill="E1DFDD"/>
    </w:rPr>
  </w:style>
  <w:style w:type="character" w:styleId="UnresolvedMention5" w:customStyle="1">
    <w:name w:val="Unresolved Mention5"/>
    <w:basedOn w:val="DefaultParagraphFont"/>
    <w:uiPriority w:val="99"/>
    <w:semiHidden/>
    <w:unhideWhenUsed/>
    <w:rsid w:val="001B4033"/>
    <w:rPr>
      <w:color w:val="605E5C"/>
      <w:shd w:val="clear" w:color="auto" w:fill="E1DFDD"/>
    </w:rPr>
  </w:style>
  <w:style w:type="character" w:styleId="UnresolvedMention6" w:customStyle="1">
    <w:name w:val="Unresolved Mention6"/>
    <w:basedOn w:val="DefaultParagraphFont"/>
    <w:uiPriority w:val="99"/>
    <w:semiHidden/>
    <w:unhideWhenUsed/>
    <w:rsid w:val="008D2FCC"/>
    <w:rPr>
      <w:color w:val="605E5C"/>
      <w:shd w:val="clear" w:color="auto" w:fill="E1DFDD"/>
    </w:rPr>
  </w:style>
  <w:style w:type="character" w:styleId="UnresolvedMention7" w:customStyle="1">
    <w:name w:val="Unresolved Mention7"/>
    <w:basedOn w:val="DefaultParagraphFont"/>
    <w:uiPriority w:val="99"/>
    <w:semiHidden/>
    <w:unhideWhenUsed/>
    <w:rsid w:val="008318F9"/>
    <w:rPr>
      <w:color w:val="605E5C"/>
      <w:shd w:val="clear" w:color="auto" w:fill="E1DFDD"/>
    </w:rPr>
  </w:style>
  <w:style w:type="character" w:styleId="UnresolvedMention">
    <w:name w:val="Unresolved Mention"/>
    <w:basedOn w:val="DefaultParagraphFont"/>
    <w:uiPriority w:val="99"/>
    <w:semiHidden/>
    <w:unhideWhenUsed/>
    <w:rsid w:val="003A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20">
      <w:bodyDiv w:val="1"/>
      <w:marLeft w:val="0"/>
      <w:marRight w:val="0"/>
      <w:marTop w:val="0"/>
      <w:marBottom w:val="0"/>
      <w:divBdr>
        <w:top w:val="none" w:sz="0" w:space="0" w:color="auto"/>
        <w:left w:val="none" w:sz="0" w:space="0" w:color="auto"/>
        <w:bottom w:val="none" w:sz="0" w:space="0" w:color="auto"/>
        <w:right w:val="none" w:sz="0" w:space="0" w:color="auto"/>
      </w:divBdr>
    </w:div>
    <w:div w:id="77749680">
      <w:bodyDiv w:val="1"/>
      <w:marLeft w:val="0"/>
      <w:marRight w:val="0"/>
      <w:marTop w:val="0"/>
      <w:marBottom w:val="0"/>
      <w:divBdr>
        <w:top w:val="none" w:sz="0" w:space="0" w:color="auto"/>
        <w:left w:val="none" w:sz="0" w:space="0" w:color="auto"/>
        <w:bottom w:val="none" w:sz="0" w:space="0" w:color="auto"/>
        <w:right w:val="none" w:sz="0" w:space="0" w:color="auto"/>
      </w:divBdr>
    </w:div>
    <w:div w:id="92095770">
      <w:bodyDiv w:val="1"/>
      <w:marLeft w:val="0"/>
      <w:marRight w:val="0"/>
      <w:marTop w:val="0"/>
      <w:marBottom w:val="0"/>
      <w:divBdr>
        <w:top w:val="none" w:sz="0" w:space="0" w:color="auto"/>
        <w:left w:val="none" w:sz="0" w:space="0" w:color="auto"/>
        <w:bottom w:val="none" w:sz="0" w:space="0" w:color="auto"/>
        <w:right w:val="none" w:sz="0" w:space="0" w:color="auto"/>
      </w:divBdr>
    </w:div>
    <w:div w:id="116221254">
      <w:bodyDiv w:val="1"/>
      <w:marLeft w:val="0"/>
      <w:marRight w:val="0"/>
      <w:marTop w:val="0"/>
      <w:marBottom w:val="0"/>
      <w:divBdr>
        <w:top w:val="none" w:sz="0" w:space="0" w:color="auto"/>
        <w:left w:val="none" w:sz="0" w:space="0" w:color="auto"/>
        <w:bottom w:val="none" w:sz="0" w:space="0" w:color="auto"/>
        <w:right w:val="none" w:sz="0" w:space="0" w:color="auto"/>
      </w:divBdr>
    </w:div>
    <w:div w:id="193349362">
      <w:bodyDiv w:val="1"/>
      <w:marLeft w:val="0"/>
      <w:marRight w:val="0"/>
      <w:marTop w:val="0"/>
      <w:marBottom w:val="0"/>
      <w:divBdr>
        <w:top w:val="none" w:sz="0" w:space="0" w:color="auto"/>
        <w:left w:val="none" w:sz="0" w:space="0" w:color="auto"/>
        <w:bottom w:val="none" w:sz="0" w:space="0" w:color="auto"/>
        <w:right w:val="none" w:sz="0" w:space="0" w:color="auto"/>
      </w:divBdr>
    </w:div>
    <w:div w:id="258610631">
      <w:bodyDiv w:val="1"/>
      <w:marLeft w:val="0"/>
      <w:marRight w:val="0"/>
      <w:marTop w:val="0"/>
      <w:marBottom w:val="0"/>
      <w:divBdr>
        <w:top w:val="none" w:sz="0" w:space="0" w:color="auto"/>
        <w:left w:val="none" w:sz="0" w:space="0" w:color="auto"/>
        <w:bottom w:val="none" w:sz="0" w:space="0" w:color="auto"/>
        <w:right w:val="none" w:sz="0" w:space="0" w:color="auto"/>
      </w:divBdr>
    </w:div>
    <w:div w:id="278072051">
      <w:bodyDiv w:val="1"/>
      <w:marLeft w:val="0"/>
      <w:marRight w:val="0"/>
      <w:marTop w:val="0"/>
      <w:marBottom w:val="0"/>
      <w:divBdr>
        <w:top w:val="none" w:sz="0" w:space="0" w:color="auto"/>
        <w:left w:val="none" w:sz="0" w:space="0" w:color="auto"/>
        <w:bottom w:val="none" w:sz="0" w:space="0" w:color="auto"/>
        <w:right w:val="none" w:sz="0" w:space="0" w:color="auto"/>
      </w:divBdr>
    </w:div>
    <w:div w:id="491336221">
      <w:bodyDiv w:val="1"/>
      <w:marLeft w:val="0"/>
      <w:marRight w:val="0"/>
      <w:marTop w:val="0"/>
      <w:marBottom w:val="0"/>
      <w:divBdr>
        <w:top w:val="none" w:sz="0" w:space="0" w:color="auto"/>
        <w:left w:val="none" w:sz="0" w:space="0" w:color="auto"/>
        <w:bottom w:val="none" w:sz="0" w:space="0" w:color="auto"/>
        <w:right w:val="none" w:sz="0" w:space="0" w:color="auto"/>
      </w:divBdr>
    </w:div>
    <w:div w:id="519274464">
      <w:bodyDiv w:val="1"/>
      <w:marLeft w:val="0"/>
      <w:marRight w:val="0"/>
      <w:marTop w:val="0"/>
      <w:marBottom w:val="0"/>
      <w:divBdr>
        <w:top w:val="none" w:sz="0" w:space="0" w:color="auto"/>
        <w:left w:val="none" w:sz="0" w:space="0" w:color="auto"/>
        <w:bottom w:val="none" w:sz="0" w:space="0" w:color="auto"/>
        <w:right w:val="none" w:sz="0" w:space="0" w:color="auto"/>
      </w:divBdr>
    </w:div>
    <w:div w:id="541403761">
      <w:bodyDiv w:val="1"/>
      <w:marLeft w:val="0"/>
      <w:marRight w:val="0"/>
      <w:marTop w:val="0"/>
      <w:marBottom w:val="0"/>
      <w:divBdr>
        <w:top w:val="none" w:sz="0" w:space="0" w:color="auto"/>
        <w:left w:val="none" w:sz="0" w:space="0" w:color="auto"/>
        <w:bottom w:val="none" w:sz="0" w:space="0" w:color="auto"/>
        <w:right w:val="none" w:sz="0" w:space="0" w:color="auto"/>
      </w:divBdr>
    </w:div>
    <w:div w:id="553662554">
      <w:bodyDiv w:val="1"/>
      <w:marLeft w:val="0"/>
      <w:marRight w:val="0"/>
      <w:marTop w:val="0"/>
      <w:marBottom w:val="0"/>
      <w:divBdr>
        <w:top w:val="none" w:sz="0" w:space="0" w:color="auto"/>
        <w:left w:val="none" w:sz="0" w:space="0" w:color="auto"/>
        <w:bottom w:val="none" w:sz="0" w:space="0" w:color="auto"/>
        <w:right w:val="none" w:sz="0" w:space="0" w:color="auto"/>
      </w:divBdr>
    </w:div>
    <w:div w:id="603339673">
      <w:bodyDiv w:val="1"/>
      <w:marLeft w:val="0"/>
      <w:marRight w:val="0"/>
      <w:marTop w:val="0"/>
      <w:marBottom w:val="0"/>
      <w:divBdr>
        <w:top w:val="none" w:sz="0" w:space="0" w:color="auto"/>
        <w:left w:val="none" w:sz="0" w:space="0" w:color="auto"/>
        <w:bottom w:val="none" w:sz="0" w:space="0" w:color="auto"/>
        <w:right w:val="none" w:sz="0" w:space="0" w:color="auto"/>
      </w:divBdr>
    </w:div>
    <w:div w:id="617418165">
      <w:bodyDiv w:val="1"/>
      <w:marLeft w:val="0"/>
      <w:marRight w:val="0"/>
      <w:marTop w:val="0"/>
      <w:marBottom w:val="0"/>
      <w:divBdr>
        <w:top w:val="none" w:sz="0" w:space="0" w:color="auto"/>
        <w:left w:val="none" w:sz="0" w:space="0" w:color="auto"/>
        <w:bottom w:val="none" w:sz="0" w:space="0" w:color="auto"/>
        <w:right w:val="none" w:sz="0" w:space="0" w:color="auto"/>
      </w:divBdr>
    </w:div>
    <w:div w:id="689262030">
      <w:bodyDiv w:val="1"/>
      <w:marLeft w:val="0"/>
      <w:marRight w:val="0"/>
      <w:marTop w:val="0"/>
      <w:marBottom w:val="0"/>
      <w:divBdr>
        <w:top w:val="none" w:sz="0" w:space="0" w:color="auto"/>
        <w:left w:val="none" w:sz="0" w:space="0" w:color="auto"/>
        <w:bottom w:val="none" w:sz="0" w:space="0" w:color="auto"/>
        <w:right w:val="none" w:sz="0" w:space="0" w:color="auto"/>
      </w:divBdr>
    </w:div>
    <w:div w:id="737358685">
      <w:bodyDiv w:val="1"/>
      <w:marLeft w:val="0"/>
      <w:marRight w:val="0"/>
      <w:marTop w:val="0"/>
      <w:marBottom w:val="0"/>
      <w:divBdr>
        <w:top w:val="none" w:sz="0" w:space="0" w:color="auto"/>
        <w:left w:val="none" w:sz="0" w:space="0" w:color="auto"/>
        <w:bottom w:val="none" w:sz="0" w:space="0" w:color="auto"/>
        <w:right w:val="none" w:sz="0" w:space="0" w:color="auto"/>
      </w:divBdr>
    </w:div>
    <w:div w:id="776825937">
      <w:bodyDiv w:val="1"/>
      <w:marLeft w:val="0"/>
      <w:marRight w:val="0"/>
      <w:marTop w:val="0"/>
      <w:marBottom w:val="0"/>
      <w:divBdr>
        <w:top w:val="none" w:sz="0" w:space="0" w:color="auto"/>
        <w:left w:val="none" w:sz="0" w:space="0" w:color="auto"/>
        <w:bottom w:val="none" w:sz="0" w:space="0" w:color="auto"/>
        <w:right w:val="none" w:sz="0" w:space="0" w:color="auto"/>
      </w:divBdr>
    </w:div>
    <w:div w:id="781918817">
      <w:bodyDiv w:val="1"/>
      <w:marLeft w:val="0"/>
      <w:marRight w:val="0"/>
      <w:marTop w:val="0"/>
      <w:marBottom w:val="0"/>
      <w:divBdr>
        <w:top w:val="none" w:sz="0" w:space="0" w:color="auto"/>
        <w:left w:val="none" w:sz="0" w:space="0" w:color="auto"/>
        <w:bottom w:val="none" w:sz="0" w:space="0" w:color="auto"/>
        <w:right w:val="none" w:sz="0" w:space="0" w:color="auto"/>
      </w:divBdr>
    </w:div>
    <w:div w:id="787427425">
      <w:bodyDiv w:val="1"/>
      <w:marLeft w:val="0"/>
      <w:marRight w:val="0"/>
      <w:marTop w:val="0"/>
      <w:marBottom w:val="0"/>
      <w:divBdr>
        <w:top w:val="none" w:sz="0" w:space="0" w:color="auto"/>
        <w:left w:val="none" w:sz="0" w:space="0" w:color="auto"/>
        <w:bottom w:val="none" w:sz="0" w:space="0" w:color="auto"/>
        <w:right w:val="none" w:sz="0" w:space="0" w:color="auto"/>
      </w:divBdr>
    </w:div>
    <w:div w:id="838622319">
      <w:bodyDiv w:val="1"/>
      <w:marLeft w:val="0"/>
      <w:marRight w:val="0"/>
      <w:marTop w:val="0"/>
      <w:marBottom w:val="0"/>
      <w:divBdr>
        <w:top w:val="none" w:sz="0" w:space="0" w:color="auto"/>
        <w:left w:val="none" w:sz="0" w:space="0" w:color="auto"/>
        <w:bottom w:val="none" w:sz="0" w:space="0" w:color="auto"/>
        <w:right w:val="none" w:sz="0" w:space="0" w:color="auto"/>
      </w:divBdr>
    </w:div>
    <w:div w:id="963073042">
      <w:bodyDiv w:val="1"/>
      <w:marLeft w:val="0"/>
      <w:marRight w:val="0"/>
      <w:marTop w:val="0"/>
      <w:marBottom w:val="0"/>
      <w:divBdr>
        <w:top w:val="none" w:sz="0" w:space="0" w:color="auto"/>
        <w:left w:val="none" w:sz="0" w:space="0" w:color="auto"/>
        <w:bottom w:val="none" w:sz="0" w:space="0" w:color="auto"/>
        <w:right w:val="none" w:sz="0" w:space="0" w:color="auto"/>
      </w:divBdr>
    </w:div>
    <w:div w:id="1045716436">
      <w:bodyDiv w:val="1"/>
      <w:marLeft w:val="0"/>
      <w:marRight w:val="0"/>
      <w:marTop w:val="0"/>
      <w:marBottom w:val="0"/>
      <w:divBdr>
        <w:top w:val="none" w:sz="0" w:space="0" w:color="auto"/>
        <w:left w:val="none" w:sz="0" w:space="0" w:color="auto"/>
        <w:bottom w:val="none" w:sz="0" w:space="0" w:color="auto"/>
        <w:right w:val="none" w:sz="0" w:space="0" w:color="auto"/>
      </w:divBdr>
    </w:div>
    <w:div w:id="1059937927">
      <w:bodyDiv w:val="1"/>
      <w:marLeft w:val="0"/>
      <w:marRight w:val="0"/>
      <w:marTop w:val="0"/>
      <w:marBottom w:val="0"/>
      <w:divBdr>
        <w:top w:val="none" w:sz="0" w:space="0" w:color="auto"/>
        <w:left w:val="none" w:sz="0" w:space="0" w:color="auto"/>
        <w:bottom w:val="none" w:sz="0" w:space="0" w:color="auto"/>
        <w:right w:val="none" w:sz="0" w:space="0" w:color="auto"/>
      </w:divBdr>
    </w:div>
    <w:div w:id="1129325867">
      <w:bodyDiv w:val="1"/>
      <w:marLeft w:val="0"/>
      <w:marRight w:val="0"/>
      <w:marTop w:val="0"/>
      <w:marBottom w:val="0"/>
      <w:divBdr>
        <w:top w:val="none" w:sz="0" w:space="0" w:color="auto"/>
        <w:left w:val="none" w:sz="0" w:space="0" w:color="auto"/>
        <w:bottom w:val="none" w:sz="0" w:space="0" w:color="auto"/>
        <w:right w:val="none" w:sz="0" w:space="0" w:color="auto"/>
      </w:divBdr>
    </w:div>
    <w:div w:id="1208682069">
      <w:bodyDiv w:val="1"/>
      <w:marLeft w:val="0"/>
      <w:marRight w:val="0"/>
      <w:marTop w:val="0"/>
      <w:marBottom w:val="0"/>
      <w:divBdr>
        <w:top w:val="none" w:sz="0" w:space="0" w:color="auto"/>
        <w:left w:val="none" w:sz="0" w:space="0" w:color="auto"/>
        <w:bottom w:val="none" w:sz="0" w:space="0" w:color="auto"/>
        <w:right w:val="none" w:sz="0" w:space="0" w:color="auto"/>
      </w:divBdr>
    </w:div>
    <w:div w:id="1210530522">
      <w:bodyDiv w:val="1"/>
      <w:marLeft w:val="0"/>
      <w:marRight w:val="0"/>
      <w:marTop w:val="0"/>
      <w:marBottom w:val="0"/>
      <w:divBdr>
        <w:top w:val="none" w:sz="0" w:space="0" w:color="auto"/>
        <w:left w:val="none" w:sz="0" w:space="0" w:color="auto"/>
        <w:bottom w:val="none" w:sz="0" w:space="0" w:color="auto"/>
        <w:right w:val="none" w:sz="0" w:space="0" w:color="auto"/>
      </w:divBdr>
    </w:div>
    <w:div w:id="1228223160">
      <w:bodyDiv w:val="1"/>
      <w:marLeft w:val="0"/>
      <w:marRight w:val="0"/>
      <w:marTop w:val="0"/>
      <w:marBottom w:val="0"/>
      <w:divBdr>
        <w:top w:val="none" w:sz="0" w:space="0" w:color="auto"/>
        <w:left w:val="none" w:sz="0" w:space="0" w:color="auto"/>
        <w:bottom w:val="none" w:sz="0" w:space="0" w:color="auto"/>
        <w:right w:val="none" w:sz="0" w:space="0" w:color="auto"/>
      </w:divBdr>
    </w:div>
    <w:div w:id="1385908702">
      <w:bodyDiv w:val="1"/>
      <w:marLeft w:val="0"/>
      <w:marRight w:val="0"/>
      <w:marTop w:val="0"/>
      <w:marBottom w:val="0"/>
      <w:divBdr>
        <w:top w:val="none" w:sz="0" w:space="0" w:color="auto"/>
        <w:left w:val="none" w:sz="0" w:space="0" w:color="auto"/>
        <w:bottom w:val="none" w:sz="0" w:space="0" w:color="auto"/>
        <w:right w:val="none" w:sz="0" w:space="0" w:color="auto"/>
      </w:divBdr>
    </w:div>
    <w:div w:id="1408766288">
      <w:bodyDiv w:val="1"/>
      <w:marLeft w:val="0"/>
      <w:marRight w:val="0"/>
      <w:marTop w:val="0"/>
      <w:marBottom w:val="0"/>
      <w:divBdr>
        <w:top w:val="none" w:sz="0" w:space="0" w:color="auto"/>
        <w:left w:val="none" w:sz="0" w:space="0" w:color="auto"/>
        <w:bottom w:val="none" w:sz="0" w:space="0" w:color="auto"/>
        <w:right w:val="none" w:sz="0" w:space="0" w:color="auto"/>
      </w:divBdr>
    </w:div>
    <w:div w:id="1419251150">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678001426">
      <w:bodyDiv w:val="1"/>
      <w:marLeft w:val="0"/>
      <w:marRight w:val="0"/>
      <w:marTop w:val="0"/>
      <w:marBottom w:val="0"/>
      <w:divBdr>
        <w:top w:val="none" w:sz="0" w:space="0" w:color="auto"/>
        <w:left w:val="none" w:sz="0" w:space="0" w:color="auto"/>
        <w:bottom w:val="none" w:sz="0" w:space="0" w:color="auto"/>
        <w:right w:val="none" w:sz="0" w:space="0" w:color="auto"/>
      </w:divBdr>
    </w:div>
    <w:div w:id="1736314109">
      <w:bodyDiv w:val="1"/>
      <w:marLeft w:val="0"/>
      <w:marRight w:val="0"/>
      <w:marTop w:val="0"/>
      <w:marBottom w:val="0"/>
      <w:divBdr>
        <w:top w:val="none" w:sz="0" w:space="0" w:color="auto"/>
        <w:left w:val="none" w:sz="0" w:space="0" w:color="auto"/>
        <w:bottom w:val="none" w:sz="0" w:space="0" w:color="auto"/>
        <w:right w:val="none" w:sz="0" w:space="0" w:color="auto"/>
      </w:divBdr>
    </w:div>
    <w:div w:id="1806240804">
      <w:bodyDiv w:val="1"/>
      <w:marLeft w:val="0"/>
      <w:marRight w:val="0"/>
      <w:marTop w:val="0"/>
      <w:marBottom w:val="0"/>
      <w:divBdr>
        <w:top w:val="none" w:sz="0" w:space="0" w:color="auto"/>
        <w:left w:val="none" w:sz="0" w:space="0" w:color="auto"/>
        <w:bottom w:val="none" w:sz="0" w:space="0" w:color="auto"/>
        <w:right w:val="none" w:sz="0" w:space="0" w:color="auto"/>
      </w:divBdr>
    </w:div>
    <w:div w:id="1859656649">
      <w:bodyDiv w:val="1"/>
      <w:marLeft w:val="0"/>
      <w:marRight w:val="0"/>
      <w:marTop w:val="0"/>
      <w:marBottom w:val="0"/>
      <w:divBdr>
        <w:top w:val="none" w:sz="0" w:space="0" w:color="auto"/>
        <w:left w:val="none" w:sz="0" w:space="0" w:color="auto"/>
        <w:bottom w:val="none" w:sz="0" w:space="0" w:color="auto"/>
        <w:right w:val="none" w:sz="0" w:space="0" w:color="auto"/>
      </w:divBdr>
    </w:div>
    <w:div w:id="1871609118">
      <w:bodyDiv w:val="1"/>
      <w:marLeft w:val="0"/>
      <w:marRight w:val="0"/>
      <w:marTop w:val="0"/>
      <w:marBottom w:val="0"/>
      <w:divBdr>
        <w:top w:val="none" w:sz="0" w:space="0" w:color="auto"/>
        <w:left w:val="none" w:sz="0" w:space="0" w:color="auto"/>
        <w:bottom w:val="none" w:sz="0" w:space="0" w:color="auto"/>
        <w:right w:val="none" w:sz="0" w:space="0" w:color="auto"/>
      </w:divBdr>
    </w:div>
    <w:div w:id="1893616336">
      <w:bodyDiv w:val="1"/>
      <w:marLeft w:val="0"/>
      <w:marRight w:val="0"/>
      <w:marTop w:val="0"/>
      <w:marBottom w:val="0"/>
      <w:divBdr>
        <w:top w:val="none" w:sz="0" w:space="0" w:color="auto"/>
        <w:left w:val="none" w:sz="0" w:space="0" w:color="auto"/>
        <w:bottom w:val="none" w:sz="0" w:space="0" w:color="auto"/>
        <w:right w:val="none" w:sz="0" w:space="0" w:color="auto"/>
      </w:divBdr>
    </w:div>
    <w:div w:id="20748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mailto:ferconlinesupport@ferc.gov" TargetMode="External" Id="rId18" /><Relationship Type="http://schemas.openxmlformats.org/officeDocument/2006/relationships/header" Target="header7.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www.ferc.gov" TargetMode="External" Id="rId17" /><Relationship Type="http://schemas.openxmlformats.org/officeDocument/2006/relationships/footer" Target="footer6.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4.xml" Id="rId20" /><Relationship Type="http://schemas.openxmlformats.org/officeDocument/2006/relationships/footer" Target="footer8.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6.xm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5.xml" Id="rId23" /><Relationship Type="http://schemas.openxmlformats.org/officeDocument/2006/relationships/footer" Target="footer7.xml" Id="rId28" /><Relationship Type="http://schemas.openxmlformats.org/officeDocument/2006/relationships/endnotes" Target="endnotes.xml" Id="rId10" /><Relationship Type="http://schemas.openxmlformats.org/officeDocument/2006/relationships/hyperlink" Target="mailto:public.referenceroom@ferc.gov" TargetMode="External" Id="rId19" /><Relationship Type="http://schemas.openxmlformats.org/officeDocument/2006/relationships/footer" Target="footer9.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4.xml" Id="rId22" /><Relationship Type="http://schemas.openxmlformats.org/officeDocument/2006/relationships/header" Target="header8.xml" Id="rId27" /><Relationship Type="http://schemas.openxmlformats.org/officeDocument/2006/relationships/header" Target="header9.xml" Id="rId30" /><Relationship Type="http://schemas.openxmlformats.org/officeDocument/2006/relationships/webSettings" Target="webSettings.xml" Id="rId8" /></Relationships>
</file>

<file path=word/_rels/footnotes.xml.rels><?xml version="1.0" encoding="UTF-8" standalone="yes"?>
<Relationships xmlns="http://schemas.openxmlformats.org/package/2006/relationships"><Relationship Id="rId3" Type="http://schemas.openxmlformats.org/officeDocument/2006/relationships/hyperlink" Target="https://www.eia.gov/totalenergy/data/monthly" TargetMode="External"/><Relationship Id="rId2" Type="http://schemas.openxmlformats.org/officeDocument/2006/relationships/hyperlink" Target="https://elibrary.ferc.gov/idmws/common/OpenNat.asp?fileID=14882250" TargetMode="External"/><Relationship Id="rId1" Type="http://schemas.openxmlformats.org/officeDocument/2006/relationships/hyperlink" Target="https://elibrary.ferc.gov/idmws/common/opennat.asp?fileID=14856384" TargetMode="External"/><Relationship Id="rId4" Type="http://schemas.openxmlformats.org/officeDocument/2006/relationships/hyperlink" Target="https://www.ferc.gov/legal/staff-reports/2019/july-energy-infrastruc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246efd-2ce8-4863-b562-441b680ad44a">
      <UserInfo>
        <DisplayName>Allen Freifeld</DisplayName>
        <AccountId>20144</AccountId>
        <AccountType/>
      </UserInfo>
    </SharedWithUsers>
    <IconOverlay xmlns="http://schemas.microsoft.com/sharepoint/v4" xsi:nil="true"/>
    <TaxCatchAll xmlns="78246efd-2ce8-4863-b562-441b680ad44a" xsi:nil="true"/>
    <lcf76f155ced4ddcb4097134ff3c332f xmlns="f7b95497-1419-411b-9cc7-8a19a5b0de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D7F58B74DD554E80D52FEF0879C01B" ma:contentTypeVersion="15" ma:contentTypeDescription="Create a new document." ma:contentTypeScope="" ma:versionID="f6f516b761cecfd7aee61aa67322e04c">
  <xsd:schema xmlns:xsd="http://www.w3.org/2001/XMLSchema" xmlns:xs="http://www.w3.org/2001/XMLSchema" xmlns:p="http://schemas.microsoft.com/office/2006/metadata/properties" xmlns:ns2="f7b95497-1419-411b-9cc7-8a19a5b0de7a" xmlns:ns3="78246efd-2ce8-4863-b562-441b680ad44a" xmlns:ns4="http://schemas.microsoft.com/sharepoint/v4" targetNamespace="http://schemas.microsoft.com/office/2006/metadata/properties" ma:root="true" ma:fieldsID="b9fa74b8648f8328a1191e49b1684af0" ns2:_="" ns3:_="" ns4:_="">
    <xsd:import namespace="f7b95497-1419-411b-9cc7-8a19a5b0de7a"/>
    <xsd:import namespace="78246efd-2ce8-4863-b562-441b680ad44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5497-1419-411b-9cc7-8a19a5b0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d69c4c-0006-453e-b89f-6da6dd7fb1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246efd-2ce8-4863-b562-441b680ad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e2bc1-eceb-49f3-a3ab-09bf7f6401df}" ma:internalName="TaxCatchAll" ma:showField="CatchAllData" ma:web="78246efd-2ce8-4863-b562-441b680ad4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D8300-1FEB-4A09-9231-31B6E51EE505}">
  <ds:schemaRefs>
    <ds:schemaRef ds:uri="http://schemas.microsoft.com/office/2006/metadata/properties"/>
    <ds:schemaRef ds:uri="http://schemas.microsoft.com/office/infopath/2007/PartnerControls"/>
    <ds:schemaRef ds:uri="78246efd-2ce8-4863-b562-441b680ad44a"/>
    <ds:schemaRef ds:uri="http://schemas.microsoft.com/sharepoint/v4"/>
  </ds:schemaRefs>
</ds:datastoreItem>
</file>

<file path=customXml/itemProps2.xml><?xml version="1.0" encoding="utf-8"?>
<ds:datastoreItem xmlns:ds="http://schemas.openxmlformats.org/officeDocument/2006/customXml" ds:itemID="{96922E0E-B065-477C-B282-0AB187E9664D}">
  <ds:schemaRefs>
    <ds:schemaRef ds:uri="http://schemas.openxmlformats.org/officeDocument/2006/bibliography"/>
  </ds:schemaRefs>
</ds:datastoreItem>
</file>

<file path=customXml/itemProps3.xml><?xml version="1.0" encoding="utf-8"?>
<ds:datastoreItem xmlns:ds="http://schemas.openxmlformats.org/officeDocument/2006/customXml" ds:itemID="{55971BFA-B36D-4EE6-9055-CFD909B07928}">
  <ds:schemaRefs>
    <ds:schemaRef ds:uri="http://schemas.microsoft.com/sharepoint/v3/contenttype/forms"/>
  </ds:schemaRefs>
</ds:datastoreItem>
</file>

<file path=customXml/itemProps4.xml><?xml version="1.0" encoding="utf-8"?>
<ds:datastoreItem xmlns:ds="http://schemas.openxmlformats.org/officeDocument/2006/customXml" ds:itemID="{AAF486AE-95F5-49ED-9ED1-36EEDA8BC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Kenneth Schisler (CPower)</cp:lastModifiedBy>
  <cp:revision>6</cp:revision>
  <dcterms:created xsi:type="dcterms:W3CDTF">2021-03-31T14:37:00Z</dcterms:created>
  <dcterms:modified xsi:type="dcterms:W3CDTF">2022-08-15T13:09:26Z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0x01010023D7F58B74DD554E80D52FEF0879C01B</vt:lpwstr>
  </property>
  <property fmtid="{D5CDD505-2E9C-101B-9397-08002B2CF9AE}" pid="3" name="MediaServiceImageTags">
    <vt:lpwstr/>
  </property>
</Properties>
</file>